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DIAGRAMA CONCEPTUAL</w:t>
      </w:r>
    </w:p>
    <w:p>
      <w:pPr>
        <w:pStyle w:val="BodyText"/>
      </w:pPr>
      <w:r>
        <w:rPr>
          <w:iCs/>
          <w:i/>
        </w:rPr>
        <w:t xml:space="preserve">Anexo 2026 — diagrama de alto nivel del alcance funcional o arquitectura de la solucion (actualizar si el diseno evoluciona).</w:t>
      </w:r>
    </w:p>
    <w:p>
      <w:pPr>
        <w:pStyle w:val="BodyText"/>
      </w:pPr>
      <w:r>
        <w:drawing>
          <wp:inline>
            <wp:extent cx="5334000" cy="346734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04_Anexo_Diagrama_Conceptual_ATDT_2026__image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Elaboro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927100" cy="584200"/>
                  <wp:effectExtent b="0" l="0" r="0" t="0"/>
                  <wp:docPr descr="Sello o firma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04_Anexo_Diagrama_Conceptual_ATDT_2026__image2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58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 Oscar Luis Briones Villarreal, Secretario de Posgrado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Joaquin Cazares Martinez, Coordinador de Tecnologias de la Informacion y Comunicaciones</w:t>
            </w:r>
          </w:p>
        </w:tc>
      </w:tr>
    </w:tbl>
    <w:p>
      <w:pPr>
        <w:pStyle w:val="BodyText"/>
      </w:pPr>
      <w:r>
        <w:t xml:space="preserve">Xalapa, Ver.,</w:t>
      </w:r>
      <w:r>
        <w:t xml:space="preserve"> </w:t>
      </w:r>
      <w:r>
        <w:rPr>
          <w:iCs/>
          <w:i/>
        </w:rPr>
        <w:t xml:space="preserve">[fecha 2026]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2026-03-25T00:25:02Z</dcterms:created>
  <dcterms:modified xsi:type="dcterms:W3CDTF">2026-03-25T00:25:02Z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