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8FC" w:rsidRDefault="00AD08FC" w:rsidP="005A0E3E">
      <w:pPr>
        <w:jc w:val="center"/>
        <w:rPr>
          <w:rFonts w:ascii="Times New Roman" w:hAnsi="Times New Roman" w:cs="Times New Roman"/>
          <w:sz w:val="56"/>
          <w:szCs w:val="56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56"/>
          <w:szCs w:val="56"/>
          <w:lang w:val="pt-PT" w:eastAsia="pt-PT"/>
        </w:rPr>
        <w:drawing>
          <wp:inline distT="0" distB="0" distL="0" distR="0">
            <wp:extent cx="606056" cy="606056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21202-WA001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97" cy="63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3E" w:rsidRPr="00FE5478" w:rsidRDefault="005A0E3E" w:rsidP="005A0E3E">
      <w:pPr>
        <w:jc w:val="center"/>
        <w:rPr>
          <w:rFonts w:ascii="Times New Roman" w:hAnsi="Times New Roman" w:cs="Times New Roman"/>
          <w:sz w:val="24"/>
          <w:szCs w:val="24"/>
        </w:rPr>
      </w:pPr>
      <w:r w:rsidRPr="00FE5478">
        <w:rPr>
          <w:rFonts w:ascii="Times New Roman" w:hAnsi="Times New Roman" w:cs="Times New Roman"/>
          <w:sz w:val="24"/>
          <w:szCs w:val="24"/>
        </w:rPr>
        <w:t>Campus Universitário de Viana</w:t>
      </w:r>
    </w:p>
    <w:p w:rsidR="005A0E3E" w:rsidRPr="00FE5478" w:rsidRDefault="005A0E3E" w:rsidP="005A0E3E">
      <w:pPr>
        <w:jc w:val="center"/>
        <w:rPr>
          <w:rFonts w:ascii="Times New Roman" w:hAnsi="Times New Roman" w:cs="Times New Roman"/>
          <w:sz w:val="32"/>
          <w:szCs w:val="32"/>
        </w:rPr>
      </w:pPr>
      <w:r w:rsidRPr="00FE5478">
        <w:rPr>
          <w:rFonts w:ascii="Times New Roman" w:hAnsi="Times New Roman" w:cs="Times New Roman"/>
          <w:sz w:val="32"/>
          <w:szCs w:val="32"/>
        </w:rPr>
        <w:t>Universidade Jean Piaget de Angola</w:t>
      </w:r>
    </w:p>
    <w:p w:rsidR="005A0E3E" w:rsidRPr="00FE5478" w:rsidRDefault="005A0E3E" w:rsidP="005A0E3E">
      <w:pPr>
        <w:jc w:val="center"/>
        <w:rPr>
          <w:rFonts w:ascii="Times New Roman" w:hAnsi="Times New Roman" w:cs="Times New Roman"/>
          <w:sz w:val="24"/>
          <w:szCs w:val="24"/>
        </w:rPr>
      </w:pPr>
      <w:r w:rsidRPr="00FE5478">
        <w:rPr>
          <w:rFonts w:ascii="Times New Roman" w:hAnsi="Times New Roman" w:cs="Times New Roman"/>
          <w:sz w:val="24"/>
          <w:szCs w:val="24"/>
        </w:rPr>
        <w:t>(</w:t>
      </w:r>
      <w:r w:rsidR="00E626B7" w:rsidRPr="00FE5478">
        <w:rPr>
          <w:rFonts w:ascii="Times New Roman" w:hAnsi="Times New Roman" w:cs="Times New Roman"/>
          <w:sz w:val="24"/>
          <w:szCs w:val="24"/>
        </w:rPr>
        <w:t>Criada pelo Decreto n</w:t>
      </w:r>
      <w:r w:rsidR="00E626B7" w:rsidRPr="00FE5478">
        <w:rPr>
          <w:rFonts w:ascii="Times New Roman" w:hAnsi="Times New Roman" w:cs="Times New Roman"/>
          <w:sz w:val="24"/>
          <w:szCs w:val="24"/>
          <w:lang w:val="pt-PT"/>
        </w:rPr>
        <w:t>º</w:t>
      </w:r>
      <w:r w:rsidRPr="00FE5478">
        <w:rPr>
          <w:rFonts w:ascii="Times New Roman" w:hAnsi="Times New Roman" w:cs="Times New Roman"/>
          <w:sz w:val="24"/>
          <w:szCs w:val="24"/>
        </w:rPr>
        <w:t xml:space="preserve"> 44-A/01 de 6 de julho de 2001)</w:t>
      </w:r>
    </w:p>
    <w:p w:rsidR="005A0E3E" w:rsidRPr="00FE5478" w:rsidRDefault="005A0E3E" w:rsidP="005A0E3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A0E3E" w:rsidRPr="00FE5478" w:rsidRDefault="005A0E3E" w:rsidP="005A0E3E">
      <w:pPr>
        <w:jc w:val="center"/>
        <w:rPr>
          <w:rFonts w:ascii="Times New Roman" w:hAnsi="Times New Roman" w:cs="Times New Roman"/>
          <w:sz w:val="32"/>
          <w:szCs w:val="32"/>
        </w:rPr>
      </w:pPr>
      <w:r w:rsidRPr="00FE5478">
        <w:rPr>
          <w:rFonts w:ascii="Times New Roman" w:hAnsi="Times New Roman" w:cs="Times New Roman"/>
          <w:sz w:val="32"/>
          <w:szCs w:val="32"/>
        </w:rPr>
        <w:t xml:space="preserve">Faculdade </w:t>
      </w:r>
      <w:r w:rsidR="000521FA" w:rsidRPr="00FE5478">
        <w:rPr>
          <w:rFonts w:ascii="Times New Roman" w:hAnsi="Times New Roman" w:cs="Times New Roman"/>
          <w:sz w:val="32"/>
          <w:szCs w:val="32"/>
        </w:rPr>
        <w:t xml:space="preserve">de </w:t>
      </w:r>
      <w:r w:rsidR="0018255A">
        <w:rPr>
          <w:rFonts w:ascii="Times New Roman" w:hAnsi="Times New Roman" w:cs="Times New Roman"/>
          <w:sz w:val="32"/>
          <w:szCs w:val="32"/>
        </w:rPr>
        <w:t>C</w:t>
      </w:r>
      <w:r w:rsidR="000521FA" w:rsidRPr="00FE5478">
        <w:rPr>
          <w:rFonts w:ascii="Times New Roman" w:hAnsi="Times New Roman" w:cs="Times New Roman"/>
          <w:sz w:val="32"/>
          <w:szCs w:val="32"/>
        </w:rPr>
        <w:t xml:space="preserve">iências </w:t>
      </w:r>
      <w:r w:rsidR="0018255A">
        <w:rPr>
          <w:rFonts w:ascii="Times New Roman" w:hAnsi="Times New Roman" w:cs="Times New Roman"/>
          <w:sz w:val="32"/>
          <w:szCs w:val="32"/>
        </w:rPr>
        <w:t>da</w:t>
      </w:r>
      <w:r w:rsidR="000521FA" w:rsidRPr="00FE5478">
        <w:rPr>
          <w:rFonts w:ascii="Times New Roman" w:hAnsi="Times New Roman" w:cs="Times New Roman"/>
          <w:sz w:val="32"/>
          <w:szCs w:val="32"/>
        </w:rPr>
        <w:t xml:space="preserve"> </w:t>
      </w:r>
      <w:r w:rsidR="0018255A">
        <w:rPr>
          <w:rFonts w:ascii="Times New Roman" w:hAnsi="Times New Roman" w:cs="Times New Roman"/>
          <w:sz w:val="32"/>
          <w:szCs w:val="32"/>
        </w:rPr>
        <w:t>S</w:t>
      </w:r>
      <w:r w:rsidR="000521FA" w:rsidRPr="00FE5478">
        <w:rPr>
          <w:rFonts w:ascii="Times New Roman" w:hAnsi="Times New Roman" w:cs="Times New Roman"/>
          <w:sz w:val="32"/>
          <w:szCs w:val="32"/>
        </w:rPr>
        <w:t>aúde</w:t>
      </w:r>
    </w:p>
    <w:p w:rsidR="005A0E3E" w:rsidRPr="00FE5478" w:rsidRDefault="005A0E3E" w:rsidP="005A0E3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A0E3E" w:rsidRPr="00FE5478" w:rsidRDefault="005A0E3E" w:rsidP="005A0E3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A0E3E" w:rsidRPr="00FE5478" w:rsidRDefault="005A0E3E" w:rsidP="005A0E3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948E5" w:rsidRPr="00FE5478" w:rsidRDefault="00D61E27" w:rsidP="005A0E3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PRIMEIROS SOCORROS E REANIMAÇÃO</w:t>
      </w:r>
      <w:r w:rsidR="00E948E5" w:rsidRPr="00FE547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76ACB" w:rsidRPr="00FE5478" w:rsidRDefault="00E76ACB" w:rsidP="00FE5478">
      <w:pPr>
        <w:rPr>
          <w:rFonts w:ascii="Times New Roman" w:hAnsi="Times New Roman" w:cs="Times New Roman"/>
          <w:sz w:val="32"/>
          <w:szCs w:val="32"/>
        </w:rPr>
      </w:pPr>
    </w:p>
    <w:p w:rsidR="00E76ACB" w:rsidRPr="00FE5478" w:rsidRDefault="00E76ACB" w:rsidP="005A0E3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E5478" w:rsidRPr="00FE5478" w:rsidRDefault="00D61E27" w:rsidP="00E76AC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ESCALA DE COMA DE GLASGOW</w:t>
      </w:r>
    </w:p>
    <w:p w:rsidR="00FE5478" w:rsidRPr="00FE5478" w:rsidRDefault="00FE5478" w:rsidP="00E76A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E5478" w:rsidRDefault="00FE5478" w:rsidP="00E76A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E5478" w:rsidRPr="00FE5478" w:rsidRDefault="00FE5478" w:rsidP="00E76A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E5478" w:rsidRPr="00FE5478" w:rsidRDefault="00FE5478" w:rsidP="00E76A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E5478" w:rsidRPr="00FE5478" w:rsidRDefault="00FE5478" w:rsidP="00D15B82">
      <w:pPr>
        <w:ind w:right="849"/>
        <w:jc w:val="right"/>
        <w:rPr>
          <w:rFonts w:ascii="Times New Roman" w:hAnsi="Times New Roman" w:cs="Times New Roman"/>
          <w:sz w:val="32"/>
          <w:szCs w:val="32"/>
        </w:rPr>
      </w:pPr>
      <w:r w:rsidRPr="00FE5478">
        <w:rPr>
          <w:rFonts w:ascii="Times New Roman" w:hAnsi="Times New Roman" w:cs="Times New Roman"/>
          <w:sz w:val="32"/>
          <w:szCs w:val="32"/>
        </w:rPr>
        <w:t>Docente</w:t>
      </w:r>
    </w:p>
    <w:p w:rsidR="00FE5478" w:rsidRPr="00FE5478" w:rsidRDefault="00FE5478" w:rsidP="00FE5478">
      <w:pPr>
        <w:jc w:val="right"/>
        <w:rPr>
          <w:rFonts w:ascii="Times New Roman" w:hAnsi="Times New Roman" w:cs="Times New Roman"/>
          <w:sz w:val="32"/>
          <w:szCs w:val="32"/>
        </w:rPr>
      </w:pPr>
      <w:r w:rsidRPr="00FE5478">
        <w:rPr>
          <w:rFonts w:ascii="Times New Roman" w:hAnsi="Times New Roman" w:cs="Times New Roman"/>
          <w:sz w:val="32"/>
          <w:szCs w:val="32"/>
        </w:rPr>
        <w:t>__________________</w:t>
      </w:r>
    </w:p>
    <w:p w:rsidR="00FE5478" w:rsidRPr="00FE5478" w:rsidRDefault="000A62B8" w:rsidP="00D15B82">
      <w:pPr>
        <w:ind w:right="424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Carlos Sebastião</w:t>
      </w:r>
    </w:p>
    <w:p w:rsidR="00FE5478" w:rsidRPr="00FE5478" w:rsidRDefault="00FE5478" w:rsidP="00E76A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E5478" w:rsidRPr="00FE5478" w:rsidRDefault="00FE5478" w:rsidP="00FE5478">
      <w:pPr>
        <w:rPr>
          <w:rFonts w:ascii="Times New Roman" w:hAnsi="Times New Roman" w:cs="Times New Roman"/>
          <w:sz w:val="32"/>
          <w:szCs w:val="32"/>
        </w:rPr>
      </w:pPr>
    </w:p>
    <w:p w:rsidR="00FE5478" w:rsidRPr="00FE5478" w:rsidRDefault="00FE5478" w:rsidP="00E76A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E5478" w:rsidRPr="00FE5478" w:rsidRDefault="00FE5478" w:rsidP="00E76ACB">
      <w:pPr>
        <w:jc w:val="center"/>
        <w:rPr>
          <w:rFonts w:ascii="Times New Roman" w:hAnsi="Times New Roman" w:cs="Times New Roman"/>
          <w:sz w:val="32"/>
          <w:szCs w:val="32"/>
        </w:rPr>
      </w:pPr>
      <w:r w:rsidRPr="00FE5478">
        <w:rPr>
          <w:rFonts w:ascii="Times New Roman" w:hAnsi="Times New Roman" w:cs="Times New Roman"/>
          <w:sz w:val="32"/>
          <w:szCs w:val="32"/>
        </w:rPr>
        <w:t xml:space="preserve">Vianda, </w:t>
      </w:r>
      <w:proofErr w:type="gramStart"/>
      <w:r w:rsidR="00075611">
        <w:rPr>
          <w:rFonts w:ascii="Times New Roman" w:hAnsi="Times New Roman" w:cs="Times New Roman"/>
          <w:sz w:val="32"/>
          <w:szCs w:val="32"/>
        </w:rPr>
        <w:t>Dezembro</w:t>
      </w:r>
      <w:proofErr w:type="gramEnd"/>
      <w:r w:rsidRPr="00FE5478">
        <w:rPr>
          <w:rFonts w:ascii="Times New Roman" w:hAnsi="Times New Roman" w:cs="Times New Roman"/>
          <w:sz w:val="32"/>
          <w:szCs w:val="32"/>
        </w:rPr>
        <w:t xml:space="preserve"> de 2022 </w:t>
      </w:r>
    </w:p>
    <w:p w:rsidR="00F03A1A" w:rsidRPr="00625B99" w:rsidRDefault="00763C20" w:rsidP="00887C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56"/>
          <w:szCs w:val="56"/>
          <w:lang w:val="pt-PT" w:eastAsia="pt-PT"/>
        </w:rPr>
        <w:lastRenderedPageBreak/>
        <w:drawing>
          <wp:inline distT="0" distB="0" distL="0" distR="0" wp14:anchorId="62583FC3" wp14:editId="6E92F4B4">
            <wp:extent cx="606056" cy="606056"/>
            <wp:effectExtent l="0" t="0" r="381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21202-WA001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97" cy="63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20" w:rsidRPr="00763C20" w:rsidRDefault="00763C20" w:rsidP="00887C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4EB8" w:rsidRPr="00605B1C" w:rsidRDefault="00887C02" w:rsidP="00887C02">
      <w:pPr>
        <w:jc w:val="center"/>
        <w:rPr>
          <w:rFonts w:ascii="Times New Roman" w:hAnsi="Times New Roman" w:cs="Times New Roman"/>
          <w:sz w:val="32"/>
          <w:szCs w:val="32"/>
        </w:rPr>
      </w:pPr>
      <w:r w:rsidRPr="00605B1C">
        <w:rPr>
          <w:rFonts w:ascii="Times New Roman" w:hAnsi="Times New Roman" w:cs="Times New Roman"/>
          <w:sz w:val="32"/>
          <w:szCs w:val="32"/>
        </w:rPr>
        <w:t>UNIVERSIDADE JEAN PIAGET DE ANGOLA</w:t>
      </w:r>
    </w:p>
    <w:p w:rsidR="00887C02" w:rsidRPr="00605B1C" w:rsidRDefault="00887C02" w:rsidP="00887C02">
      <w:pPr>
        <w:jc w:val="center"/>
        <w:rPr>
          <w:rFonts w:ascii="Times New Roman" w:hAnsi="Times New Roman" w:cs="Times New Roman"/>
          <w:sz w:val="32"/>
          <w:szCs w:val="32"/>
        </w:rPr>
      </w:pPr>
      <w:r w:rsidRPr="00605B1C">
        <w:rPr>
          <w:rFonts w:ascii="Times New Roman" w:hAnsi="Times New Roman" w:cs="Times New Roman"/>
          <w:sz w:val="32"/>
          <w:szCs w:val="32"/>
        </w:rPr>
        <w:t>FACULDADE DE CIÊNCIAS DA SAÚDE</w:t>
      </w:r>
    </w:p>
    <w:p w:rsidR="00887C02" w:rsidRPr="00605B1C" w:rsidRDefault="00887C02" w:rsidP="00114EB8">
      <w:pPr>
        <w:rPr>
          <w:rFonts w:ascii="Times New Roman" w:hAnsi="Times New Roman" w:cs="Times New Roman"/>
          <w:sz w:val="32"/>
          <w:szCs w:val="32"/>
        </w:rPr>
      </w:pPr>
    </w:p>
    <w:p w:rsidR="00887C02" w:rsidRPr="00605B1C" w:rsidRDefault="00887C02" w:rsidP="00114EB8">
      <w:pPr>
        <w:rPr>
          <w:rFonts w:ascii="Times New Roman" w:hAnsi="Times New Roman" w:cs="Times New Roman"/>
          <w:sz w:val="32"/>
          <w:szCs w:val="32"/>
        </w:rPr>
      </w:pPr>
    </w:p>
    <w:p w:rsidR="00887C02" w:rsidRPr="00605B1C" w:rsidRDefault="00173559" w:rsidP="00887C0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PRIMEIROS SOCORROS E REANIMAÇÃO</w:t>
      </w:r>
      <w:r w:rsidR="00887C02" w:rsidRPr="00605B1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87C02" w:rsidRPr="00605B1C" w:rsidRDefault="00887C02" w:rsidP="00887C02">
      <w:pPr>
        <w:rPr>
          <w:rFonts w:ascii="Times New Roman" w:hAnsi="Times New Roman" w:cs="Times New Roman"/>
          <w:sz w:val="32"/>
          <w:szCs w:val="32"/>
        </w:rPr>
      </w:pPr>
    </w:p>
    <w:p w:rsidR="00887C02" w:rsidRPr="00605B1C" w:rsidRDefault="00887C02" w:rsidP="00887C0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87C02" w:rsidRDefault="00F5498C" w:rsidP="00887C0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ESCALA DE COMA DE GLASGOW</w:t>
      </w:r>
    </w:p>
    <w:p w:rsidR="00121D79" w:rsidRDefault="00121D79" w:rsidP="00887C0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21D79" w:rsidRDefault="00121D79" w:rsidP="00887C0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21D79" w:rsidRDefault="00121D79" w:rsidP="00887C0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21D79" w:rsidRPr="00121D79" w:rsidRDefault="00121D79" w:rsidP="00121D79">
      <w:pPr>
        <w:rPr>
          <w:rFonts w:ascii="Times New Roman" w:hAnsi="Times New Roman" w:cs="Times New Roman"/>
          <w:sz w:val="32"/>
          <w:szCs w:val="32"/>
          <w:lang w:val="pt-PT"/>
        </w:rPr>
      </w:pPr>
      <w:r>
        <w:rPr>
          <w:rFonts w:ascii="Times New Roman" w:hAnsi="Times New Roman" w:cs="Times New Roman"/>
          <w:sz w:val="32"/>
          <w:szCs w:val="32"/>
          <w:lang w:val="pt-PT"/>
        </w:rPr>
        <w:t xml:space="preserve">NOME: </w:t>
      </w:r>
      <w:r w:rsidR="007312B4">
        <w:rPr>
          <w:rFonts w:ascii="Times New Roman" w:hAnsi="Times New Roman" w:cs="Times New Roman"/>
          <w:sz w:val="32"/>
          <w:szCs w:val="32"/>
          <w:lang w:val="pt-PT"/>
        </w:rPr>
        <w:t>###</w:t>
      </w:r>
    </w:p>
    <w:p w:rsidR="00F5498C" w:rsidRPr="00C7619B" w:rsidRDefault="00F5498C" w:rsidP="00121D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7619B">
        <w:rPr>
          <w:rFonts w:ascii="Times New Roman" w:hAnsi="Times New Roman" w:cs="Times New Roman"/>
          <w:sz w:val="32"/>
          <w:szCs w:val="32"/>
          <w:lang w:val="pt-PT"/>
        </w:rPr>
        <w:t>º</w:t>
      </w:r>
      <w:r w:rsidR="00C7619B">
        <w:rPr>
          <w:rFonts w:ascii="Times New Roman" w:hAnsi="Times New Roman" w:cs="Times New Roman"/>
          <w:sz w:val="32"/>
          <w:szCs w:val="32"/>
        </w:rPr>
        <w:t xml:space="preserve"> ANO</w:t>
      </w:r>
    </w:p>
    <w:p w:rsidR="00887C02" w:rsidRPr="00605B1C" w:rsidRDefault="00CA55F9" w:rsidP="00121D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TURMA: C</w:t>
      </w:r>
    </w:p>
    <w:p w:rsidR="00605B1C" w:rsidRDefault="00F5498C" w:rsidP="00114EB8">
      <w:pPr>
        <w:rPr>
          <w:rFonts w:ascii="Times New Roman" w:hAnsi="Times New Roman" w:cs="Times New Roman"/>
          <w:sz w:val="32"/>
          <w:szCs w:val="32"/>
          <w:lang w:val="pt-PT"/>
        </w:rPr>
      </w:pPr>
      <w:r>
        <w:rPr>
          <w:rFonts w:ascii="Times New Roman" w:hAnsi="Times New Roman" w:cs="Times New Roman"/>
          <w:sz w:val="32"/>
          <w:szCs w:val="32"/>
          <w:lang w:val="pt-PT"/>
        </w:rPr>
        <w:t>TURNO: DIU</w:t>
      </w:r>
      <w:r w:rsidR="00121D79">
        <w:rPr>
          <w:rFonts w:ascii="Times New Roman" w:hAnsi="Times New Roman" w:cs="Times New Roman"/>
          <w:sz w:val="32"/>
          <w:szCs w:val="32"/>
          <w:lang w:val="pt-PT"/>
        </w:rPr>
        <w:t>R</w:t>
      </w:r>
      <w:r>
        <w:rPr>
          <w:rFonts w:ascii="Times New Roman" w:hAnsi="Times New Roman" w:cs="Times New Roman"/>
          <w:sz w:val="32"/>
          <w:szCs w:val="32"/>
          <w:lang w:val="pt-PT"/>
        </w:rPr>
        <w:t>NO</w:t>
      </w:r>
    </w:p>
    <w:p w:rsidR="005544FE" w:rsidRDefault="005544FE" w:rsidP="00114EB8">
      <w:pPr>
        <w:rPr>
          <w:rFonts w:ascii="Times New Roman" w:hAnsi="Times New Roman" w:cs="Times New Roman"/>
          <w:sz w:val="32"/>
          <w:szCs w:val="32"/>
          <w:lang w:val="pt-PT"/>
        </w:rPr>
      </w:pPr>
    </w:p>
    <w:p w:rsidR="00114EB8" w:rsidRDefault="00114EB8">
      <w:pPr>
        <w:rPr>
          <w:rFonts w:ascii="Times New Roman" w:hAnsi="Times New Roman" w:cs="Times New Roman"/>
          <w:sz w:val="32"/>
          <w:szCs w:val="32"/>
        </w:rPr>
      </w:pPr>
    </w:p>
    <w:p w:rsidR="00605B1C" w:rsidRDefault="00605B1C">
      <w:pPr>
        <w:rPr>
          <w:rFonts w:ascii="Times New Roman" w:hAnsi="Times New Roman" w:cs="Times New Roman"/>
          <w:sz w:val="32"/>
          <w:szCs w:val="32"/>
        </w:rPr>
      </w:pPr>
    </w:p>
    <w:p w:rsidR="00605B1C" w:rsidRDefault="00605B1C">
      <w:pPr>
        <w:rPr>
          <w:rFonts w:ascii="Times New Roman" w:hAnsi="Times New Roman" w:cs="Times New Roman"/>
          <w:sz w:val="32"/>
          <w:szCs w:val="32"/>
        </w:rPr>
      </w:pPr>
    </w:p>
    <w:p w:rsidR="00605B1C" w:rsidRDefault="00605B1C">
      <w:pPr>
        <w:rPr>
          <w:rFonts w:ascii="Times New Roman" w:hAnsi="Times New Roman" w:cs="Times New Roman"/>
          <w:sz w:val="32"/>
          <w:szCs w:val="32"/>
        </w:rPr>
      </w:pPr>
    </w:p>
    <w:p w:rsidR="005544FE" w:rsidRDefault="005544FE">
      <w:pPr>
        <w:rPr>
          <w:rFonts w:ascii="Times New Roman" w:hAnsi="Times New Roman" w:cs="Times New Roman"/>
          <w:sz w:val="32"/>
          <w:szCs w:val="32"/>
        </w:rPr>
      </w:pPr>
    </w:p>
    <w:p w:rsidR="00114EB8" w:rsidRPr="00605B1C" w:rsidRDefault="00605B1C" w:rsidP="00605B1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Licenciatura: Enfermagem </w:t>
      </w:r>
      <w:r w:rsidR="00114EB8" w:rsidRPr="00605B1C"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pt-BR" w:eastAsia="en-US"/>
        </w:rPr>
        <w:id w:val="-7619095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9124C" w:rsidRPr="006F49D7" w:rsidRDefault="00197483">
          <w:pPr>
            <w:pStyle w:val="CabealhodoSumrio"/>
            <w:rPr>
              <w:rFonts w:cs="Times New Roman"/>
            </w:rPr>
          </w:pPr>
          <w:r w:rsidRPr="006F49D7">
            <w:rPr>
              <w:rFonts w:cs="Times New Roman"/>
              <w:lang w:val="pt-BR"/>
            </w:rPr>
            <w:t>Índice</w:t>
          </w:r>
        </w:p>
        <w:p w:rsidR="009C1643" w:rsidRDefault="002912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r w:rsidRPr="006F49D7">
            <w:rPr>
              <w:rFonts w:ascii="Times New Roman" w:hAnsi="Times New Roman" w:cs="Times New Roman"/>
            </w:rPr>
            <w:fldChar w:fldCharType="begin"/>
          </w:r>
          <w:r w:rsidRPr="006F49D7">
            <w:rPr>
              <w:rFonts w:ascii="Times New Roman" w:hAnsi="Times New Roman" w:cs="Times New Roman"/>
            </w:rPr>
            <w:instrText xml:space="preserve"> TOC \o "1-3" \h \z \u </w:instrText>
          </w:r>
          <w:r w:rsidRPr="006F49D7">
            <w:rPr>
              <w:rFonts w:ascii="Times New Roman" w:hAnsi="Times New Roman" w:cs="Times New Roman"/>
            </w:rPr>
            <w:fldChar w:fldCharType="separate"/>
          </w:r>
          <w:hyperlink w:anchor="_Toc122206087" w:history="1">
            <w:r w:rsidR="009C1643" w:rsidRPr="009118A4">
              <w:rPr>
                <w:rStyle w:val="Hyperlink"/>
                <w:noProof/>
              </w:rPr>
              <w:t>INTRODUÇÃO</w:t>
            </w:r>
            <w:r w:rsidR="009C1643">
              <w:rPr>
                <w:noProof/>
                <w:webHidden/>
              </w:rPr>
              <w:tab/>
            </w:r>
            <w:r w:rsidR="009C1643">
              <w:rPr>
                <w:noProof/>
                <w:webHidden/>
              </w:rPr>
              <w:fldChar w:fldCharType="begin"/>
            </w:r>
            <w:r w:rsidR="009C1643">
              <w:rPr>
                <w:noProof/>
                <w:webHidden/>
              </w:rPr>
              <w:instrText xml:space="preserve"> PAGEREF _Toc122206087 \h </w:instrText>
            </w:r>
            <w:r w:rsidR="009C1643">
              <w:rPr>
                <w:noProof/>
                <w:webHidden/>
              </w:rPr>
            </w:r>
            <w:r w:rsidR="009C1643">
              <w:rPr>
                <w:noProof/>
                <w:webHidden/>
              </w:rPr>
              <w:fldChar w:fldCharType="separate"/>
            </w:r>
            <w:r w:rsidR="008D4B55">
              <w:rPr>
                <w:noProof/>
                <w:webHidden/>
              </w:rPr>
              <w:t>4</w:t>
            </w:r>
            <w:r w:rsidR="009C1643">
              <w:rPr>
                <w:noProof/>
                <w:webHidden/>
              </w:rPr>
              <w:fldChar w:fldCharType="end"/>
            </w:r>
          </w:hyperlink>
        </w:p>
        <w:p w:rsidR="009C1643" w:rsidRDefault="00552E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2206088" w:history="1">
            <w:r w:rsidR="009C1643" w:rsidRPr="009118A4">
              <w:rPr>
                <w:rStyle w:val="Hyperlink"/>
                <w:noProof/>
              </w:rPr>
              <w:t>OBJECTIVOS</w:t>
            </w:r>
            <w:r w:rsidR="009C1643">
              <w:rPr>
                <w:noProof/>
                <w:webHidden/>
              </w:rPr>
              <w:tab/>
            </w:r>
            <w:r w:rsidR="009C1643">
              <w:rPr>
                <w:noProof/>
                <w:webHidden/>
              </w:rPr>
              <w:fldChar w:fldCharType="begin"/>
            </w:r>
            <w:r w:rsidR="009C1643">
              <w:rPr>
                <w:noProof/>
                <w:webHidden/>
              </w:rPr>
              <w:instrText xml:space="preserve"> PAGEREF _Toc122206088 \h </w:instrText>
            </w:r>
            <w:r w:rsidR="009C1643">
              <w:rPr>
                <w:noProof/>
                <w:webHidden/>
              </w:rPr>
            </w:r>
            <w:r w:rsidR="009C1643">
              <w:rPr>
                <w:noProof/>
                <w:webHidden/>
              </w:rPr>
              <w:fldChar w:fldCharType="separate"/>
            </w:r>
            <w:r w:rsidR="008D4B55">
              <w:rPr>
                <w:noProof/>
                <w:webHidden/>
              </w:rPr>
              <w:t>5</w:t>
            </w:r>
            <w:r w:rsidR="009C1643">
              <w:rPr>
                <w:noProof/>
                <w:webHidden/>
              </w:rPr>
              <w:fldChar w:fldCharType="end"/>
            </w:r>
          </w:hyperlink>
        </w:p>
        <w:p w:rsidR="009C1643" w:rsidRDefault="00552E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2206089" w:history="1">
            <w:r w:rsidR="009C1643" w:rsidRPr="009118A4">
              <w:rPr>
                <w:rStyle w:val="Hyperlink"/>
                <w:noProof/>
              </w:rPr>
              <w:t>Geral</w:t>
            </w:r>
            <w:r w:rsidR="009C1643">
              <w:rPr>
                <w:noProof/>
                <w:webHidden/>
              </w:rPr>
              <w:tab/>
            </w:r>
            <w:r w:rsidR="009C1643">
              <w:rPr>
                <w:noProof/>
                <w:webHidden/>
              </w:rPr>
              <w:fldChar w:fldCharType="begin"/>
            </w:r>
            <w:r w:rsidR="009C1643">
              <w:rPr>
                <w:noProof/>
                <w:webHidden/>
              </w:rPr>
              <w:instrText xml:space="preserve"> PAGEREF _Toc122206089 \h </w:instrText>
            </w:r>
            <w:r w:rsidR="009C1643">
              <w:rPr>
                <w:noProof/>
                <w:webHidden/>
              </w:rPr>
            </w:r>
            <w:r w:rsidR="009C1643">
              <w:rPr>
                <w:noProof/>
                <w:webHidden/>
              </w:rPr>
              <w:fldChar w:fldCharType="separate"/>
            </w:r>
            <w:r w:rsidR="008D4B55">
              <w:rPr>
                <w:noProof/>
                <w:webHidden/>
              </w:rPr>
              <w:t>5</w:t>
            </w:r>
            <w:r w:rsidR="009C1643">
              <w:rPr>
                <w:noProof/>
                <w:webHidden/>
              </w:rPr>
              <w:fldChar w:fldCharType="end"/>
            </w:r>
          </w:hyperlink>
        </w:p>
        <w:p w:rsidR="009C1643" w:rsidRDefault="00552E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2206090" w:history="1">
            <w:r w:rsidR="009C1643" w:rsidRPr="009118A4">
              <w:rPr>
                <w:rStyle w:val="Hyperlink"/>
                <w:noProof/>
              </w:rPr>
              <w:t>Específicos</w:t>
            </w:r>
            <w:r w:rsidR="009C1643">
              <w:rPr>
                <w:noProof/>
                <w:webHidden/>
              </w:rPr>
              <w:tab/>
            </w:r>
            <w:r w:rsidR="009C1643">
              <w:rPr>
                <w:noProof/>
                <w:webHidden/>
              </w:rPr>
              <w:fldChar w:fldCharType="begin"/>
            </w:r>
            <w:r w:rsidR="009C1643">
              <w:rPr>
                <w:noProof/>
                <w:webHidden/>
              </w:rPr>
              <w:instrText xml:space="preserve"> PAGEREF _Toc122206090 \h </w:instrText>
            </w:r>
            <w:r w:rsidR="009C1643">
              <w:rPr>
                <w:noProof/>
                <w:webHidden/>
              </w:rPr>
            </w:r>
            <w:r w:rsidR="009C1643">
              <w:rPr>
                <w:noProof/>
                <w:webHidden/>
              </w:rPr>
              <w:fldChar w:fldCharType="separate"/>
            </w:r>
            <w:r w:rsidR="008D4B55">
              <w:rPr>
                <w:noProof/>
                <w:webHidden/>
              </w:rPr>
              <w:t>5</w:t>
            </w:r>
            <w:r w:rsidR="009C1643">
              <w:rPr>
                <w:noProof/>
                <w:webHidden/>
              </w:rPr>
              <w:fldChar w:fldCharType="end"/>
            </w:r>
          </w:hyperlink>
        </w:p>
        <w:p w:rsidR="009C1643" w:rsidRDefault="00552E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2206091" w:history="1">
            <w:r w:rsidR="009C1643" w:rsidRPr="009118A4">
              <w:rPr>
                <w:rStyle w:val="Hyperlink"/>
                <w:noProof/>
              </w:rPr>
              <w:t>FUNDAMENTAÇÃO TEORICA</w:t>
            </w:r>
            <w:r w:rsidR="009C1643">
              <w:rPr>
                <w:noProof/>
                <w:webHidden/>
              </w:rPr>
              <w:tab/>
            </w:r>
            <w:r w:rsidR="009C1643">
              <w:rPr>
                <w:noProof/>
                <w:webHidden/>
              </w:rPr>
              <w:fldChar w:fldCharType="begin"/>
            </w:r>
            <w:r w:rsidR="009C1643">
              <w:rPr>
                <w:noProof/>
                <w:webHidden/>
              </w:rPr>
              <w:instrText xml:space="preserve"> PAGEREF _Toc122206091 \h </w:instrText>
            </w:r>
            <w:r w:rsidR="009C1643">
              <w:rPr>
                <w:noProof/>
                <w:webHidden/>
              </w:rPr>
            </w:r>
            <w:r w:rsidR="009C1643">
              <w:rPr>
                <w:noProof/>
                <w:webHidden/>
              </w:rPr>
              <w:fldChar w:fldCharType="separate"/>
            </w:r>
            <w:r w:rsidR="008D4B55">
              <w:rPr>
                <w:noProof/>
                <w:webHidden/>
              </w:rPr>
              <w:t>6</w:t>
            </w:r>
            <w:r w:rsidR="009C1643">
              <w:rPr>
                <w:noProof/>
                <w:webHidden/>
              </w:rPr>
              <w:fldChar w:fldCharType="end"/>
            </w:r>
          </w:hyperlink>
        </w:p>
        <w:p w:rsidR="009C1643" w:rsidRDefault="00552E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2206092" w:history="1">
            <w:r w:rsidR="009C1643" w:rsidRPr="009118A4">
              <w:rPr>
                <w:rStyle w:val="Hyperlink"/>
                <w:noProof/>
              </w:rPr>
              <w:t>Terminologias</w:t>
            </w:r>
            <w:r w:rsidR="009C1643">
              <w:rPr>
                <w:noProof/>
                <w:webHidden/>
              </w:rPr>
              <w:tab/>
            </w:r>
            <w:r w:rsidR="009C1643">
              <w:rPr>
                <w:noProof/>
                <w:webHidden/>
              </w:rPr>
              <w:fldChar w:fldCharType="begin"/>
            </w:r>
            <w:r w:rsidR="009C1643">
              <w:rPr>
                <w:noProof/>
                <w:webHidden/>
              </w:rPr>
              <w:instrText xml:space="preserve"> PAGEREF _Toc122206092 \h </w:instrText>
            </w:r>
            <w:r w:rsidR="009C1643">
              <w:rPr>
                <w:noProof/>
                <w:webHidden/>
              </w:rPr>
            </w:r>
            <w:r w:rsidR="009C1643">
              <w:rPr>
                <w:noProof/>
                <w:webHidden/>
              </w:rPr>
              <w:fldChar w:fldCharType="separate"/>
            </w:r>
            <w:r w:rsidR="008D4B55">
              <w:rPr>
                <w:noProof/>
                <w:webHidden/>
              </w:rPr>
              <w:t>6</w:t>
            </w:r>
            <w:r w:rsidR="009C1643">
              <w:rPr>
                <w:noProof/>
                <w:webHidden/>
              </w:rPr>
              <w:fldChar w:fldCharType="end"/>
            </w:r>
          </w:hyperlink>
        </w:p>
        <w:p w:rsidR="009C1643" w:rsidRDefault="00552E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2206093" w:history="1">
            <w:r w:rsidR="009C1643" w:rsidRPr="009118A4">
              <w:rPr>
                <w:rStyle w:val="Hyperlink"/>
                <w:noProof/>
              </w:rPr>
              <w:t>História da escala de coma de Glasgow</w:t>
            </w:r>
            <w:r w:rsidR="009C1643">
              <w:rPr>
                <w:noProof/>
                <w:webHidden/>
              </w:rPr>
              <w:tab/>
            </w:r>
            <w:r w:rsidR="009C1643">
              <w:rPr>
                <w:noProof/>
                <w:webHidden/>
              </w:rPr>
              <w:fldChar w:fldCharType="begin"/>
            </w:r>
            <w:r w:rsidR="009C1643">
              <w:rPr>
                <w:noProof/>
                <w:webHidden/>
              </w:rPr>
              <w:instrText xml:space="preserve"> PAGEREF _Toc122206093 \h </w:instrText>
            </w:r>
            <w:r w:rsidR="009C1643">
              <w:rPr>
                <w:noProof/>
                <w:webHidden/>
              </w:rPr>
            </w:r>
            <w:r w:rsidR="009C1643">
              <w:rPr>
                <w:noProof/>
                <w:webHidden/>
              </w:rPr>
              <w:fldChar w:fldCharType="separate"/>
            </w:r>
            <w:r w:rsidR="008D4B55">
              <w:rPr>
                <w:noProof/>
                <w:webHidden/>
              </w:rPr>
              <w:t>6</w:t>
            </w:r>
            <w:r w:rsidR="009C1643">
              <w:rPr>
                <w:noProof/>
                <w:webHidden/>
              </w:rPr>
              <w:fldChar w:fldCharType="end"/>
            </w:r>
          </w:hyperlink>
        </w:p>
        <w:p w:rsidR="009C1643" w:rsidRDefault="00552E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2206094" w:history="1">
            <w:r w:rsidR="009C1643" w:rsidRPr="009118A4">
              <w:rPr>
                <w:rStyle w:val="Hyperlink"/>
                <w:noProof/>
              </w:rPr>
              <w:t>Nova escala de coma de Glasgow</w:t>
            </w:r>
            <w:r w:rsidR="009C1643">
              <w:rPr>
                <w:noProof/>
                <w:webHidden/>
              </w:rPr>
              <w:tab/>
            </w:r>
            <w:r w:rsidR="009C1643">
              <w:rPr>
                <w:noProof/>
                <w:webHidden/>
              </w:rPr>
              <w:fldChar w:fldCharType="begin"/>
            </w:r>
            <w:r w:rsidR="009C1643">
              <w:rPr>
                <w:noProof/>
                <w:webHidden/>
              </w:rPr>
              <w:instrText xml:space="preserve"> PAGEREF _Toc122206094 \h </w:instrText>
            </w:r>
            <w:r w:rsidR="009C1643">
              <w:rPr>
                <w:noProof/>
                <w:webHidden/>
              </w:rPr>
            </w:r>
            <w:r w:rsidR="009C1643">
              <w:rPr>
                <w:noProof/>
                <w:webHidden/>
              </w:rPr>
              <w:fldChar w:fldCharType="separate"/>
            </w:r>
            <w:r w:rsidR="008D4B55">
              <w:rPr>
                <w:noProof/>
                <w:webHidden/>
              </w:rPr>
              <w:t>7</w:t>
            </w:r>
            <w:r w:rsidR="009C1643">
              <w:rPr>
                <w:noProof/>
                <w:webHidden/>
              </w:rPr>
              <w:fldChar w:fldCharType="end"/>
            </w:r>
          </w:hyperlink>
        </w:p>
        <w:p w:rsidR="009C1643" w:rsidRDefault="00552E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2206095" w:history="1">
            <w:r w:rsidR="009C1643" w:rsidRPr="009118A4">
              <w:rPr>
                <w:rStyle w:val="Hyperlink"/>
                <w:noProof/>
              </w:rPr>
              <w:t>Utilização da escala de coma da Glasgow</w:t>
            </w:r>
            <w:r w:rsidR="009C1643">
              <w:rPr>
                <w:noProof/>
                <w:webHidden/>
              </w:rPr>
              <w:tab/>
            </w:r>
            <w:r w:rsidR="009C1643">
              <w:rPr>
                <w:noProof/>
                <w:webHidden/>
              </w:rPr>
              <w:fldChar w:fldCharType="begin"/>
            </w:r>
            <w:r w:rsidR="009C1643">
              <w:rPr>
                <w:noProof/>
                <w:webHidden/>
              </w:rPr>
              <w:instrText xml:space="preserve"> PAGEREF _Toc122206095 \h </w:instrText>
            </w:r>
            <w:r w:rsidR="009C1643">
              <w:rPr>
                <w:noProof/>
                <w:webHidden/>
              </w:rPr>
            </w:r>
            <w:r w:rsidR="009C1643">
              <w:rPr>
                <w:noProof/>
                <w:webHidden/>
              </w:rPr>
              <w:fldChar w:fldCharType="separate"/>
            </w:r>
            <w:r w:rsidR="008D4B55">
              <w:rPr>
                <w:noProof/>
                <w:webHidden/>
              </w:rPr>
              <w:t>7</w:t>
            </w:r>
            <w:r w:rsidR="009C1643">
              <w:rPr>
                <w:noProof/>
                <w:webHidden/>
              </w:rPr>
              <w:fldChar w:fldCharType="end"/>
            </w:r>
          </w:hyperlink>
        </w:p>
        <w:p w:rsidR="009C1643" w:rsidRDefault="00552E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2206096" w:history="1">
            <w:r w:rsidR="009C1643" w:rsidRPr="009118A4">
              <w:rPr>
                <w:rStyle w:val="Hyperlink"/>
                <w:noProof/>
              </w:rPr>
              <w:t>Calculo da ECG – P</w:t>
            </w:r>
            <w:r w:rsidR="009C1643">
              <w:rPr>
                <w:noProof/>
                <w:webHidden/>
              </w:rPr>
              <w:tab/>
            </w:r>
            <w:r w:rsidR="009C1643">
              <w:rPr>
                <w:noProof/>
                <w:webHidden/>
              </w:rPr>
              <w:fldChar w:fldCharType="begin"/>
            </w:r>
            <w:r w:rsidR="009C1643">
              <w:rPr>
                <w:noProof/>
                <w:webHidden/>
              </w:rPr>
              <w:instrText xml:space="preserve"> PAGEREF _Toc122206096 \h </w:instrText>
            </w:r>
            <w:r w:rsidR="009C1643">
              <w:rPr>
                <w:noProof/>
                <w:webHidden/>
              </w:rPr>
            </w:r>
            <w:r w:rsidR="009C1643">
              <w:rPr>
                <w:noProof/>
                <w:webHidden/>
              </w:rPr>
              <w:fldChar w:fldCharType="separate"/>
            </w:r>
            <w:r w:rsidR="008D4B55">
              <w:rPr>
                <w:noProof/>
                <w:webHidden/>
              </w:rPr>
              <w:t>7</w:t>
            </w:r>
            <w:r w:rsidR="009C1643">
              <w:rPr>
                <w:noProof/>
                <w:webHidden/>
              </w:rPr>
              <w:fldChar w:fldCharType="end"/>
            </w:r>
          </w:hyperlink>
        </w:p>
        <w:p w:rsidR="009C1643" w:rsidRDefault="00552E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2206097" w:history="1">
            <w:r w:rsidR="009C1643" w:rsidRPr="009118A4">
              <w:rPr>
                <w:rStyle w:val="Hyperlink"/>
                <w:noProof/>
              </w:rPr>
              <w:t>5 passos para utilizar a ECG corretamente</w:t>
            </w:r>
            <w:r w:rsidR="009C1643">
              <w:rPr>
                <w:noProof/>
                <w:webHidden/>
              </w:rPr>
              <w:tab/>
            </w:r>
            <w:r w:rsidR="009C1643">
              <w:rPr>
                <w:noProof/>
                <w:webHidden/>
              </w:rPr>
              <w:fldChar w:fldCharType="begin"/>
            </w:r>
            <w:r w:rsidR="009C1643">
              <w:rPr>
                <w:noProof/>
                <w:webHidden/>
              </w:rPr>
              <w:instrText xml:space="preserve"> PAGEREF _Toc122206097 \h </w:instrText>
            </w:r>
            <w:r w:rsidR="009C1643">
              <w:rPr>
                <w:noProof/>
                <w:webHidden/>
              </w:rPr>
            </w:r>
            <w:r w:rsidR="009C1643">
              <w:rPr>
                <w:noProof/>
                <w:webHidden/>
              </w:rPr>
              <w:fldChar w:fldCharType="separate"/>
            </w:r>
            <w:r w:rsidR="008D4B55">
              <w:rPr>
                <w:noProof/>
                <w:webHidden/>
              </w:rPr>
              <w:t>9</w:t>
            </w:r>
            <w:r w:rsidR="009C1643">
              <w:rPr>
                <w:noProof/>
                <w:webHidden/>
              </w:rPr>
              <w:fldChar w:fldCharType="end"/>
            </w:r>
          </w:hyperlink>
        </w:p>
        <w:p w:rsidR="009C1643" w:rsidRDefault="00552E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2206098" w:history="1">
            <w:r w:rsidR="009C1643" w:rsidRPr="009118A4">
              <w:rPr>
                <w:rStyle w:val="Hyperlink"/>
                <w:noProof/>
              </w:rPr>
              <w:t>CONCLUSÃO</w:t>
            </w:r>
            <w:r w:rsidR="009C1643">
              <w:rPr>
                <w:noProof/>
                <w:webHidden/>
              </w:rPr>
              <w:tab/>
            </w:r>
            <w:r w:rsidR="009C1643">
              <w:rPr>
                <w:noProof/>
                <w:webHidden/>
              </w:rPr>
              <w:fldChar w:fldCharType="begin"/>
            </w:r>
            <w:r w:rsidR="009C1643">
              <w:rPr>
                <w:noProof/>
                <w:webHidden/>
              </w:rPr>
              <w:instrText xml:space="preserve"> PAGEREF _Toc122206098 \h </w:instrText>
            </w:r>
            <w:r w:rsidR="009C1643">
              <w:rPr>
                <w:noProof/>
                <w:webHidden/>
              </w:rPr>
            </w:r>
            <w:r w:rsidR="009C1643">
              <w:rPr>
                <w:noProof/>
                <w:webHidden/>
              </w:rPr>
              <w:fldChar w:fldCharType="separate"/>
            </w:r>
            <w:r w:rsidR="008D4B55">
              <w:rPr>
                <w:noProof/>
                <w:webHidden/>
              </w:rPr>
              <w:t>11</w:t>
            </w:r>
            <w:r w:rsidR="009C1643">
              <w:rPr>
                <w:noProof/>
                <w:webHidden/>
              </w:rPr>
              <w:fldChar w:fldCharType="end"/>
            </w:r>
          </w:hyperlink>
        </w:p>
        <w:p w:rsidR="009C1643" w:rsidRDefault="00552E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22206099" w:history="1">
            <w:r w:rsidR="009C1643" w:rsidRPr="009118A4">
              <w:rPr>
                <w:rStyle w:val="Hyperlink"/>
                <w:noProof/>
              </w:rPr>
              <w:t>REFERENCIA BIBLIOGRAFICA</w:t>
            </w:r>
            <w:r w:rsidR="009C1643">
              <w:rPr>
                <w:noProof/>
                <w:webHidden/>
              </w:rPr>
              <w:tab/>
            </w:r>
            <w:r w:rsidR="009C1643">
              <w:rPr>
                <w:noProof/>
                <w:webHidden/>
              </w:rPr>
              <w:fldChar w:fldCharType="begin"/>
            </w:r>
            <w:r w:rsidR="009C1643">
              <w:rPr>
                <w:noProof/>
                <w:webHidden/>
              </w:rPr>
              <w:instrText xml:space="preserve"> PAGEREF _Toc122206099 \h </w:instrText>
            </w:r>
            <w:r w:rsidR="009C1643">
              <w:rPr>
                <w:noProof/>
                <w:webHidden/>
              </w:rPr>
            </w:r>
            <w:r w:rsidR="009C1643">
              <w:rPr>
                <w:noProof/>
                <w:webHidden/>
              </w:rPr>
              <w:fldChar w:fldCharType="separate"/>
            </w:r>
            <w:r w:rsidR="008D4B55">
              <w:rPr>
                <w:noProof/>
                <w:webHidden/>
              </w:rPr>
              <w:t>12</w:t>
            </w:r>
            <w:r w:rsidR="009C1643">
              <w:rPr>
                <w:noProof/>
                <w:webHidden/>
              </w:rPr>
              <w:fldChar w:fldCharType="end"/>
            </w:r>
          </w:hyperlink>
        </w:p>
        <w:p w:rsidR="0029124C" w:rsidRDefault="0029124C">
          <w:r w:rsidRPr="006F49D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270974" w:rsidRPr="00625B99" w:rsidRDefault="00270974">
      <w:pPr>
        <w:rPr>
          <w:rFonts w:ascii="Times New Roman" w:hAnsi="Times New Roman" w:cs="Times New Roman"/>
          <w:sz w:val="28"/>
          <w:szCs w:val="28"/>
        </w:rPr>
      </w:pPr>
    </w:p>
    <w:p w:rsidR="00FA743D" w:rsidRPr="00625B99" w:rsidRDefault="00FA743D">
      <w:pPr>
        <w:rPr>
          <w:rFonts w:ascii="Times New Roman" w:hAnsi="Times New Roman" w:cs="Times New Roman"/>
          <w:sz w:val="28"/>
          <w:szCs w:val="28"/>
        </w:rPr>
      </w:pPr>
    </w:p>
    <w:p w:rsidR="00FA743D" w:rsidRPr="00625B99" w:rsidRDefault="00FA743D">
      <w:pPr>
        <w:rPr>
          <w:rFonts w:ascii="Times New Roman" w:hAnsi="Times New Roman" w:cs="Times New Roman"/>
          <w:sz w:val="28"/>
          <w:szCs w:val="28"/>
        </w:rPr>
      </w:pPr>
      <w:r w:rsidRPr="00625B99">
        <w:rPr>
          <w:rFonts w:ascii="Times New Roman" w:hAnsi="Times New Roman" w:cs="Times New Roman"/>
          <w:sz w:val="28"/>
          <w:szCs w:val="28"/>
        </w:rPr>
        <w:br w:type="page"/>
      </w:r>
    </w:p>
    <w:p w:rsidR="00625B99" w:rsidRDefault="00625B99">
      <w:pPr>
        <w:rPr>
          <w:rFonts w:ascii="Times New Roman" w:hAnsi="Times New Roman" w:cs="Times New Roman"/>
          <w:sz w:val="28"/>
          <w:szCs w:val="28"/>
        </w:rPr>
        <w:sectPr w:rsidR="00625B99" w:rsidSect="00900AA8">
          <w:footerReference w:type="default" r:id="rId9"/>
          <w:pgSz w:w="11906" w:h="16838"/>
          <w:pgMar w:top="1417" w:right="1701" w:bottom="1417" w:left="1701" w:header="708" w:footer="708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625B99" w:rsidRPr="00625B99" w:rsidRDefault="00625B99" w:rsidP="0029124C">
      <w:pPr>
        <w:pStyle w:val="Ttulo1"/>
      </w:pPr>
      <w:bookmarkStart w:id="1" w:name="_Toc122206087"/>
      <w:r>
        <w:lastRenderedPageBreak/>
        <w:t>INTRODUÇÃO</w:t>
      </w:r>
      <w:bookmarkEnd w:id="1"/>
    </w:p>
    <w:p w:rsidR="0029124C" w:rsidRDefault="00291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´</w:t>
      </w:r>
    </w:p>
    <w:p w:rsidR="002E32AF" w:rsidRDefault="00BB7A10" w:rsidP="0001353D">
      <w:pPr>
        <w:pStyle w:val="SemEspaamento"/>
      </w:pPr>
      <w:r>
        <w:t xml:space="preserve">Segundo a pesquisa a escala de coma de Glasgow é uma escala neurológica que intenciona constituir-se de um método confiável e objetivo para registrar o nível de consciência de uma </w:t>
      </w:r>
      <w:r w:rsidR="008F606F">
        <w:t xml:space="preserve">pessoa, para avaliação inicial e continua após um traumatismo craniano. </w:t>
      </w:r>
    </w:p>
    <w:p w:rsidR="000F3F17" w:rsidRDefault="0034765E" w:rsidP="0001353D">
      <w:pPr>
        <w:pStyle w:val="SemEspaamento"/>
      </w:pPr>
      <w:r>
        <w:t xml:space="preserve">Seu valor é utilizado no prognóstico </w:t>
      </w:r>
      <w:r w:rsidR="00A55747">
        <w:t>do paciente e de grande utilidade na previsão de eventuais sequelas. Este presente trabalho</w:t>
      </w:r>
      <w:r w:rsidR="002E32AF">
        <w:t xml:space="preserve"> tem como palavra chaves: escalas, coma, Glasgow e consciência.  </w:t>
      </w:r>
      <w:r w:rsidR="00A55747">
        <w:t xml:space="preserve"> </w:t>
      </w:r>
    </w:p>
    <w:p w:rsidR="00FF7C71" w:rsidRDefault="00FF7C71" w:rsidP="00FF7C71">
      <w:pPr>
        <w:pStyle w:val="SemEspaamento"/>
      </w:pPr>
    </w:p>
    <w:p w:rsidR="00625B99" w:rsidRPr="00625B99" w:rsidRDefault="00625B99" w:rsidP="00FF7C71">
      <w:pPr>
        <w:pStyle w:val="SemEspaamento"/>
      </w:pPr>
      <w:r w:rsidRPr="00625B99">
        <w:br w:type="page"/>
      </w:r>
    </w:p>
    <w:p w:rsidR="00563B5B" w:rsidRDefault="00114EB8" w:rsidP="00563B5B">
      <w:pPr>
        <w:pStyle w:val="Ttulo1"/>
      </w:pPr>
      <w:bookmarkStart w:id="2" w:name="_Toc122206088"/>
      <w:r w:rsidRPr="00F03A1A">
        <w:lastRenderedPageBreak/>
        <w:t>OBJECTIVO</w:t>
      </w:r>
      <w:r w:rsidR="00563B5B">
        <w:t>S</w:t>
      </w:r>
      <w:bookmarkEnd w:id="2"/>
      <w:r w:rsidRPr="00F03A1A">
        <w:t xml:space="preserve"> </w:t>
      </w:r>
    </w:p>
    <w:p w:rsidR="00563B5B" w:rsidRDefault="00563B5B" w:rsidP="00114EB8">
      <w:pPr>
        <w:rPr>
          <w:rFonts w:ascii="Times New Roman" w:hAnsi="Times New Roman" w:cs="Times New Roman"/>
          <w:sz w:val="56"/>
          <w:szCs w:val="56"/>
        </w:rPr>
      </w:pPr>
    </w:p>
    <w:p w:rsidR="00563B5B" w:rsidRDefault="00563B5B" w:rsidP="00563B5B">
      <w:pPr>
        <w:pStyle w:val="Ttulo2"/>
      </w:pPr>
      <w:bookmarkStart w:id="3" w:name="_Toc122206089"/>
      <w:r>
        <w:t>Geral</w:t>
      </w:r>
      <w:bookmarkEnd w:id="3"/>
    </w:p>
    <w:p w:rsidR="004C0BED" w:rsidRPr="00C371CD" w:rsidRDefault="00C371CD" w:rsidP="00C371CD">
      <w:pPr>
        <w:pStyle w:val="SemEspaamento"/>
      </w:pPr>
      <w:r>
        <w:rPr>
          <w:rFonts w:cs="Times New Roman"/>
          <w:szCs w:val="24"/>
        </w:rPr>
        <w:t xml:space="preserve">Descrever a </w:t>
      </w:r>
      <w:r w:rsidR="00A0168E">
        <w:rPr>
          <w:rFonts w:cs="Times New Roman"/>
          <w:szCs w:val="24"/>
        </w:rPr>
        <w:t xml:space="preserve">escala de coma de Glasgow em enfermagem. </w:t>
      </w:r>
    </w:p>
    <w:p w:rsidR="004C0BED" w:rsidRPr="00563B5B" w:rsidRDefault="004C0BED" w:rsidP="00114EB8">
      <w:pPr>
        <w:rPr>
          <w:rFonts w:ascii="Times New Roman" w:hAnsi="Times New Roman" w:cs="Times New Roman"/>
          <w:sz w:val="24"/>
          <w:szCs w:val="24"/>
        </w:rPr>
      </w:pPr>
    </w:p>
    <w:p w:rsidR="00114EB8" w:rsidRPr="00F03A1A" w:rsidRDefault="00114EB8" w:rsidP="00563B5B">
      <w:pPr>
        <w:pStyle w:val="Ttulo2"/>
      </w:pPr>
      <w:r w:rsidRPr="00F03A1A">
        <w:t xml:space="preserve"> </w:t>
      </w:r>
      <w:bookmarkStart w:id="4" w:name="_Toc122206090"/>
      <w:r w:rsidR="00563B5B">
        <w:t>Específicos</w:t>
      </w:r>
      <w:bookmarkEnd w:id="4"/>
      <w:r w:rsidR="00563B5B">
        <w:t xml:space="preserve"> </w:t>
      </w:r>
    </w:p>
    <w:p w:rsidR="00114EB8" w:rsidRDefault="00114EB8">
      <w:pPr>
        <w:rPr>
          <w:rFonts w:ascii="Times New Roman" w:hAnsi="Times New Roman" w:cs="Times New Roman"/>
          <w:sz w:val="28"/>
          <w:szCs w:val="28"/>
        </w:rPr>
      </w:pPr>
    </w:p>
    <w:p w:rsidR="004C0BED" w:rsidRPr="00843051" w:rsidRDefault="00C371CD" w:rsidP="004C0BE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3051">
        <w:rPr>
          <w:rFonts w:ascii="Times New Roman" w:hAnsi="Times New Roman" w:cs="Times New Roman"/>
          <w:sz w:val="24"/>
          <w:szCs w:val="24"/>
        </w:rPr>
        <w:t xml:space="preserve">Explicar as </w:t>
      </w:r>
      <w:r w:rsidR="00E65DA3">
        <w:rPr>
          <w:rFonts w:ascii="Times New Roman" w:hAnsi="Times New Roman" w:cs="Times New Roman"/>
          <w:sz w:val="24"/>
          <w:szCs w:val="24"/>
        </w:rPr>
        <w:t>respostas obtidas</w:t>
      </w:r>
      <w:r w:rsidR="00800673">
        <w:rPr>
          <w:rFonts w:ascii="Times New Roman" w:hAnsi="Times New Roman" w:cs="Times New Roman"/>
          <w:sz w:val="24"/>
          <w:szCs w:val="24"/>
        </w:rPr>
        <w:t xml:space="preserve"> aos estímulos.</w:t>
      </w:r>
      <w:r w:rsidR="00E65DA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371CD" w:rsidRPr="00843051" w:rsidRDefault="00C371CD" w:rsidP="00C371C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3051">
        <w:rPr>
          <w:rFonts w:ascii="Times New Roman" w:hAnsi="Times New Roman" w:cs="Times New Roman"/>
          <w:sz w:val="24"/>
          <w:szCs w:val="24"/>
        </w:rPr>
        <w:t xml:space="preserve">Abordar </w:t>
      </w:r>
      <w:r w:rsidR="00800673">
        <w:rPr>
          <w:rFonts w:ascii="Times New Roman" w:hAnsi="Times New Roman" w:cs="Times New Roman"/>
          <w:sz w:val="24"/>
          <w:szCs w:val="24"/>
        </w:rPr>
        <w:t>os paços para utilizar a ECG.</w:t>
      </w:r>
    </w:p>
    <w:p w:rsidR="00114EB8" w:rsidRPr="00C371CD" w:rsidRDefault="00C371CD" w:rsidP="00C371C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3051">
        <w:rPr>
          <w:rFonts w:ascii="Times New Roman" w:hAnsi="Times New Roman" w:cs="Times New Roman"/>
          <w:sz w:val="24"/>
          <w:szCs w:val="24"/>
        </w:rPr>
        <w:t xml:space="preserve">Identificar </w:t>
      </w:r>
      <w:r w:rsidR="00800673">
        <w:rPr>
          <w:rFonts w:ascii="Times New Roman" w:hAnsi="Times New Roman" w:cs="Times New Roman"/>
          <w:sz w:val="24"/>
          <w:szCs w:val="24"/>
        </w:rPr>
        <w:t>quando e como utilizar a escala de coma de Glasgow.</w:t>
      </w:r>
      <w:r w:rsidR="00114EB8" w:rsidRPr="00C371CD">
        <w:rPr>
          <w:rFonts w:ascii="Times New Roman" w:hAnsi="Times New Roman" w:cs="Times New Roman"/>
          <w:sz w:val="28"/>
          <w:szCs w:val="28"/>
        </w:rPr>
        <w:br w:type="page"/>
      </w:r>
    </w:p>
    <w:p w:rsidR="00114EB8" w:rsidRDefault="00114EB8" w:rsidP="00CE400B">
      <w:pPr>
        <w:pStyle w:val="Ttulo1"/>
        <w:rPr>
          <w:sz w:val="28"/>
          <w:szCs w:val="28"/>
        </w:rPr>
      </w:pPr>
      <w:bookmarkStart w:id="5" w:name="_Toc122206091"/>
      <w:r w:rsidRPr="00F03A1A">
        <w:lastRenderedPageBreak/>
        <w:t>FUNDAMENTAÇÃO TEORICA</w:t>
      </w:r>
      <w:bookmarkEnd w:id="5"/>
    </w:p>
    <w:p w:rsidR="00CE400B" w:rsidRDefault="00CE400B">
      <w:pPr>
        <w:rPr>
          <w:rFonts w:ascii="Times New Roman" w:hAnsi="Times New Roman" w:cs="Times New Roman"/>
          <w:sz w:val="28"/>
          <w:szCs w:val="28"/>
        </w:rPr>
      </w:pPr>
    </w:p>
    <w:p w:rsidR="0085523B" w:rsidRDefault="0085523B" w:rsidP="00122951">
      <w:pPr>
        <w:pStyle w:val="Ttulo2"/>
      </w:pPr>
      <w:bookmarkStart w:id="6" w:name="_Toc122206092"/>
      <w:r>
        <w:t>Terminologias</w:t>
      </w:r>
      <w:bookmarkEnd w:id="6"/>
    </w:p>
    <w:p w:rsidR="00200D87" w:rsidRDefault="00EE2689" w:rsidP="00200D87">
      <w:pPr>
        <w:pStyle w:val="SemEspaamento"/>
      </w:pPr>
      <w:r>
        <w:t>Escala – é uma medida usa para definir as dimensões proporcionais dos tamanhos reais em representações gráficas.</w:t>
      </w:r>
    </w:p>
    <w:p w:rsidR="00866C2E" w:rsidRDefault="00866C2E" w:rsidP="00200D87">
      <w:pPr>
        <w:pStyle w:val="SemEspaamento"/>
      </w:pPr>
      <w:r>
        <w:t>Coma –</w:t>
      </w:r>
      <w:r w:rsidR="00596CDF">
        <w:t xml:space="preserve"> vem do grego </w:t>
      </w:r>
      <w:proofErr w:type="spellStart"/>
      <w:r w:rsidR="00596CDF">
        <w:t>koma</w:t>
      </w:r>
      <w:proofErr w:type="spellEnd"/>
      <w:r w:rsidR="00596CDF">
        <w:t>, que significa “estado de dormir”,</w:t>
      </w:r>
      <w:r>
        <w:t xml:space="preserve"> é um estado de total inconsciência em que o paciente n</w:t>
      </w:r>
      <w:r w:rsidR="00936276">
        <w:t xml:space="preserve">ão consegui abrir os olhos, não pode ser </w:t>
      </w:r>
      <w:r w:rsidR="00B934D3">
        <w:t>despertado e não responde a nenhum estimulo interno ou externo.</w:t>
      </w:r>
      <w:r w:rsidR="00596CDF">
        <w:t xml:space="preserve"> Obviamente um indivíduo nesse estado não está dormindo, uma vez que impossível acorda-lo através de estímulos, como um barulho, por exemplo. O estado de coma é caracterizado pela atividade mínima do cérebro.</w:t>
      </w:r>
    </w:p>
    <w:p w:rsidR="008979E6" w:rsidRDefault="00596CDF" w:rsidP="00200D87">
      <w:pPr>
        <w:pStyle w:val="SemEspaamento"/>
      </w:pPr>
      <w:r>
        <w:t>Glasgow – é uma escala neurológica que permite medir ou avaliar o nível de consciência de uma pessoa que tenha sofrido um traumatismo crânio-encefálico</w:t>
      </w:r>
      <w:r w:rsidR="008979E6">
        <w:t>.</w:t>
      </w:r>
    </w:p>
    <w:p w:rsidR="000258ED" w:rsidRDefault="008979E6" w:rsidP="00200D87">
      <w:pPr>
        <w:pStyle w:val="SemEspaamento"/>
      </w:pPr>
      <w:r>
        <w:t xml:space="preserve">Consciência </w:t>
      </w:r>
      <w:r w:rsidR="00E64BCD">
        <w:t>–</w:t>
      </w:r>
      <w:r>
        <w:t xml:space="preserve"> </w:t>
      </w:r>
      <w:r w:rsidR="00E64BCD">
        <w:t>é uma qualidade da mente, considerando abranger qualificações tais como subjetividade, autoconsciência e capacidade de perceber a relação entre si e o ambiente.</w:t>
      </w:r>
    </w:p>
    <w:p w:rsidR="00596CDF" w:rsidRPr="00EE2689" w:rsidRDefault="00E64BCD" w:rsidP="00200D87">
      <w:pPr>
        <w:pStyle w:val="SemEspaamento"/>
        <w:rPr>
          <w:rFonts w:cs="Times New Roman"/>
          <w:sz w:val="28"/>
          <w:szCs w:val="28"/>
          <w:lang w:val="pt-PT"/>
        </w:rPr>
      </w:pPr>
      <w:r>
        <w:t xml:space="preserve"> </w:t>
      </w:r>
    </w:p>
    <w:p w:rsidR="00AD7246" w:rsidRDefault="000258ED" w:rsidP="00200D87">
      <w:pPr>
        <w:pStyle w:val="Ttulo2"/>
      </w:pPr>
      <w:bookmarkStart w:id="7" w:name="_Toc122206093"/>
      <w:r>
        <w:t>História da</w:t>
      </w:r>
      <w:r w:rsidR="00AD7246">
        <w:t xml:space="preserve"> </w:t>
      </w:r>
      <w:r>
        <w:t xml:space="preserve">escala </w:t>
      </w:r>
      <w:r w:rsidR="00E24B6D">
        <w:t>de coma de Glasgow</w:t>
      </w:r>
      <w:bookmarkEnd w:id="7"/>
      <w:r w:rsidR="00E24B6D">
        <w:t xml:space="preserve"> </w:t>
      </w:r>
    </w:p>
    <w:p w:rsidR="00D0680B" w:rsidRDefault="00E24B6D" w:rsidP="008222E3">
      <w:pPr>
        <w:pStyle w:val="SemEspaamento"/>
      </w:pPr>
      <w:r>
        <w:t xml:space="preserve">Apesar de ser muito utilizada atualmente pela medicina e enfermagem, essa classificação de assistência é </w:t>
      </w:r>
      <w:r w:rsidR="00F81BD7">
        <w:t>recente.</w:t>
      </w:r>
      <w:r w:rsidR="00B90CAF">
        <w:t xml:space="preserve"> Em 1974, Grah</w:t>
      </w:r>
      <w:r w:rsidR="00B81E38">
        <w:t xml:space="preserve">am </w:t>
      </w:r>
      <w:proofErr w:type="spellStart"/>
      <w:r w:rsidR="00B81E38">
        <w:t>Teasdale</w:t>
      </w:r>
      <w:proofErr w:type="spellEnd"/>
      <w:r w:rsidR="00B81E38">
        <w:t xml:space="preserve"> </w:t>
      </w:r>
      <w:r w:rsidR="00B90CAF">
        <w:t xml:space="preserve">e Bryan J. </w:t>
      </w:r>
      <w:proofErr w:type="spellStart"/>
      <w:r w:rsidR="00B90CAF">
        <w:t>Jennett</w:t>
      </w:r>
      <w:proofErr w:type="spellEnd"/>
      <w:r w:rsidR="00B90CAF">
        <w:t xml:space="preserve"> (do instituto de ciências neurológicas de Glasgow) publicaram oficialmente a escala na revista Lancet. A princípio</w:t>
      </w:r>
      <w:r w:rsidR="00D674A0">
        <w:t>,</w:t>
      </w:r>
      <w:r w:rsidR="00B90CAF">
        <w:t xml:space="preserve"> o objetivo </w:t>
      </w:r>
      <w:r w:rsidR="00D674A0">
        <w:t>era fornece uma metodologia de atendimento que apontasse tanto a profundidade do dano neurológico quanto a duração clínica de inconsciência e coma.</w:t>
      </w:r>
    </w:p>
    <w:p w:rsidR="00B81E38" w:rsidRDefault="00B81E38" w:rsidP="008222E3">
      <w:pPr>
        <w:pStyle w:val="SemEspaamento"/>
      </w:pPr>
      <w:r>
        <w:t xml:space="preserve">A escala considera 3 fatores principais </w:t>
      </w:r>
      <w:r w:rsidR="001061D6">
        <w:t xml:space="preserve">e determina uma pontuação de acordo com o nível </w:t>
      </w:r>
      <w:r w:rsidR="00061405">
        <w:t xml:space="preserve">de consciência apontada a cada um desses casos (espontaneamente </w:t>
      </w:r>
      <w:r w:rsidR="001C6A64">
        <w:t>ou através</w:t>
      </w:r>
      <w:r w:rsidR="00061405">
        <w:t xml:space="preserve"> de </w:t>
      </w:r>
      <w:r w:rsidR="001C6A64">
        <w:t>estimulo).</w:t>
      </w:r>
      <w:r w:rsidR="0089499A">
        <w:t xml:space="preserve"> São:</w:t>
      </w:r>
    </w:p>
    <w:p w:rsidR="00971FF6" w:rsidRPr="00971FF6" w:rsidRDefault="00971FF6" w:rsidP="00474FAF">
      <w:pPr>
        <w:pStyle w:val="SemEspaamento"/>
        <w:numPr>
          <w:ilvl w:val="0"/>
          <w:numId w:val="12"/>
        </w:numPr>
        <w:rPr>
          <w:rFonts w:cs="Times New Roman"/>
          <w:sz w:val="28"/>
          <w:szCs w:val="28"/>
        </w:rPr>
      </w:pPr>
      <w:r>
        <w:t>Abertura</w:t>
      </w:r>
      <w:r w:rsidR="00A72DD5">
        <w:t xml:space="preserve"> ocular </w:t>
      </w:r>
    </w:p>
    <w:p w:rsidR="001C6A64" w:rsidRPr="00971FF6" w:rsidRDefault="00971FF6" w:rsidP="00474FAF">
      <w:pPr>
        <w:pStyle w:val="SemEspaamento"/>
        <w:numPr>
          <w:ilvl w:val="0"/>
          <w:numId w:val="12"/>
        </w:numPr>
        <w:rPr>
          <w:rFonts w:cs="Times New Roman"/>
          <w:sz w:val="28"/>
          <w:szCs w:val="28"/>
        </w:rPr>
      </w:pPr>
      <w:r>
        <w:t>Resposta</w:t>
      </w:r>
      <w:r w:rsidR="0089499A">
        <w:t xml:space="preserve"> verbal</w:t>
      </w:r>
    </w:p>
    <w:p w:rsidR="00971FF6" w:rsidRPr="00971FF6" w:rsidRDefault="00971FF6" w:rsidP="00474FAF">
      <w:pPr>
        <w:pStyle w:val="SemEspaamento"/>
        <w:numPr>
          <w:ilvl w:val="0"/>
          <w:numId w:val="12"/>
        </w:numPr>
        <w:rPr>
          <w:rFonts w:cs="Times New Roman"/>
          <w:sz w:val="28"/>
          <w:szCs w:val="28"/>
        </w:rPr>
      </w:pPr>
      <w:r>
        <w:t>Melhor resposta motora</w:t>
      </w:r>
    </w:p>
    <w:p w:rsidR="005E3C3A" w:rsidRDefault="005E3C3A" w:rsidP="008D4BCF">
      <w:pPr>
        <w:pStyle w:val="SemEspaamento"/>
        <w:ind w:firstLine="0"/>
        <w:rPr>
          <w:rFonts w:cs="Times New Roman"/>
          <w:sz w:val="28"/>
          <w:szCs w:val="28"/>
        </w:rPr>
      </w:pPr>
    </w:p>
    <w:p w:rsidR="008D4BCF" w:rsidRDefault="008D4BCF" w:rsidP="009509A7">
      <w:pPr>
        <w:pStyle w:val="Ttulo2"/>
      </w:pPr>
      <w:bookmarkStart w:id="8" w:name="_Toc122206094"/>
      <w:r>
        <w:lastRenderedPageBreak/>
        <w:t>Nova escala de coma de Glasgow</w:t>
      </w:r>
      <w:bookmarkEnd w:id="8"/>
      <w:r>
        <w:t xml:space="preserve"> </w:t>
      </w:r>
    </w:p>
    <w:p w:rsidR="00E51BE0" w:rsidRPr="00E51BE0" w:rsidRDefault="008D4BCF" w:rsidP="00E51BE0">
      <w:pPr>
        <w:pStyle w:val="SemEspaamento"/>
      </w:pPr>
      <w:r w:rsidRPr="00E51BE0">
        <w:t xml:space="preserve">Quarenta anos depois, o senhor Graham </w:t>
      </w:r>
      <w:proofErr w:type="spellStart"/>
      <w:r w:rsidRPr="00E51BE0">
        <w:t>Teasdale</w:t>
      </w:r>
      <w:proofErr w:type="spellEnd"/>
      <w:r w:rsidRPr="00E51BE0">
        <w:t xml:space="preserve"> conduziu um projeto que procurou entender o atual uso escala e que foi incorporado nas novas diretrizes. Em 2018</w:t>
      </w:r>
      <w:r w:rsidR="00922C21" w:rsidRPr="00E51BE0">
        <w:t xml:space="preserve">, o neurocirurgião e sua equipe publicaram um estudo no </w:t>
      </w:r>
      <w:proofErr w:type="spellStart"/>
      <w:r w:rsidR="00922C21" w:rsidRPr="00E51BE0">
        <w:t>Journal</w:t>
      </w:r>
      <w:proofErr w:type="spellEnd"/>
      <w:r w:rsidR="00922C21" w:rsidRPr="00E51BE0">
        <w:t xml:space="preserve"> </w:t>
      </w:r>
      <w:proofErr w:type="spellStart"/>
      <w:r w:rsidR="00922C21" w:rsidRPr="00E51BE0">
        <w:t>of</w:t>
      </w:r>
      <w:proofErr w:type="spellEnd"/>
      <w:r w:rsidR="00922C21" w:rsidRPr="00E51BE0">
        <w:t xml:space="preserve"> </w:t>
      </w:r>
      <w:proofErr w:type="spellStart"/>
      <w:r w:rsidR="00922C21" w:rsidRPr="00E51BE0">
        <w:t>Neurosurgery</w:t>
      </w:r>
      <w:proofErr w:type="spellEnd"/>
      <w:r w:rsidR="00922C21" w:rsidRPr="00E51BE0">
        <w:t xml:space="preserve"> e adicionou outro fator para ser medido a escala:</w:t>
      </w:r>
      <w:r w:rsidR="00F42C76" w:rsidRPr="00E51BE0">
        <w:t xml:space="preserve"> a reatividade pupilar. Essa publicação tem objetivo ou teve uma tentativa de obter melhores informações sobre o prognóstico no traumatismo crânio-encefálico</w:t>
      </w:r>
      <w:r w:rsidR="008B7E31" w:rsidRPr="00E51BE0">
        <w:t>, incluindo a probabilidade de morte.</w:t>
      </w:r>
    </w:p>
    <w:p w:rsidR="0039784F" w:rsidRDefault="00E51BE0" w:rsidP="00E51BE0">
      <w:pPr>
        <w:pStyle w:val="SemEspaamento"/>
      </w:pPr>
      <w:r>
        <w:t xml:space="preserve">Dessa forma, nasceu a versão mais recente da escala, denominada escala de coma de Glasgow </w:t>
      </w:r>
      <w:r w:rsidR="0039784F">
        <w:t>com resposta pupilar (ECG - P).</w:t>
      </w:r>
    </w:p>
    <w:p w:rsidR="008D4BCF" w:rsidRPr="00E51BE0" w:rsidRDefault="00E51BE0" w:rsidP="00E51BE0">
      <w:pPr>
        <w:pStyle w:val="SemEspaamento"/>
      </w:pPr>
      <w:r>
        <w:t xml:space="preserve"> </w:t>
      </w:r>
    </w:p>
    <w:p w:rsidR="002F7E59" w:rsidRDefault="007D2435" w:rsidP="00D0680B">
      <w:pPr>
        <w:pStyle w:val="Ttulo2"/>
      </w:pPr>
      <w:bookmarkStart w:id="9" w:name="_Toc122206095"/>
      <w:r>
        <w:t xml:space="preserve">Utilização </w:t>
      </w:r>
      <w:r w:rsidR="001A11E6">
        <w:t>da escala de coma da Glasgow</w:t>
      </w:r>
      <w:bookmarkEnd w:id="9"/>
    </w:p>
    <w:p w:rsidR="001A11E6" w:rsidRDefault="002F7E59" w:rsidP="001A11E6">
      <w:pPr>
        <w:pStyle w:val="SemEspaamento"/>
      </w:pPr>
      <w:r>
        <w:t xml:space="preserve"> </w:t>
      </w:r>
      <w:r w:rsidR="001A11E6">
        <w:t>De acordo doutora Roberta Prado, enfermeira especialista com ampla experiência na área, o método é hoje uma necessidade na assistência em enfermagem.</w:t>
      </w:r>
    </w:p>
    <w:p w:rsidR="0005295A" w:rsidRDefault="001A11E6" w:rsidP="0005295A">
      <w:pPr>
        <w:pStyle w:val="SemEspaamento"/>
      </w:pPr>
      <w:r>
        <w:t>“A escala de como de Glasgow (ECG) é a mais utilizada ao redor do mundo por diversos profissionais da saúde com o intuito de definir o estado neurológico de paciente</w:t>
      </w:r>
      <w:r w:rsidR="0005295A">
        <w:t xml:space="preserve"> a partir da análise de seu nível de consciência” (Prado).</w:t>
      </w:r>
    </w:p>
    <w:p w:rsidR="00C83708" w:rsidRDefault="0005295A" w:rsidP="0005295A">
      <w:pPr>
        <w:pStyle w:val="SemEspaamento"/>
      </w:pPr>
      <w:r>
        <w:t xml:space="preserve">Os cuidados na utilização do recurso, devem ser </w:t>
      </w:r>
      <w:r w:rsidR="00C83708">
        <w:t>considerados</w:t>
      </w:r>
      <w:r>
        <w:t xml:space="preserve"> somente para a vítima de traumatismo craniano </w:t>
      </w:r>
      <w:r w:rsidR="006B61A6">
        <w:t xml:space="preserve">e </w:t>
      </w:r>
      <w:r w:rsidR="006B61A6">
        <w:rPr>
          <w:lang w:val="pt-PT"/>
        </w:rPr>
        <w:t xml:space="preserve">| </w:t>
      </w:r>
      <w:r w:rsidR="006B61A6">
        <w:t>ou com rebaixamentos neurológicos.</w:t>
      </w:r>
    </w:p>
    <w:p w:rsidR="00C83708" w:rsidRDefault="00C83708" w:rsidP="0005295A">
      <w:pPr>
        <w:pStyle w:val="SemEspaamento"/>
      </w:pPr>
      <w:r>
        <w:t>“Não se deve utilizar a ECG – P em paciente, por exemplo. Nesses pacientes recomenda-se utilizar escala de sedação”.</w:t>
      </w:r>
    </w:p>
    <w:p w:rsidR="00AB7522" w:rsidRDefault="00C83708" w:rsidP="0005295A">
      <w:pPr>
        <w:pStyle w:val="SemEspaamento"/>
      </w:pPr>
      <w:r>
        <w:t xml:space="preserve">Isso porque a perda de estimulo e </w:t>
      </w:r>
      <w:proofErr w:type="spellStart"/>
      <w:r w:rsidR="00AB7522">
        <w:t>responsividade</w:t>
      </w:r>
      <w:proofErr w:type="spellEnd"/>
      <w:r w:rsidR="00AB7522">
        <w:t xml:space="preserve"> da sedação é induzida pelos fármacos administrados.</w:t>
      </w:r>
    </w:p>
    <w:p w:rsidR="00673095" w:rsidRDefault="00AB7522" w:rsidP="0005295A">
      <w:pPr>
        <w:pStyle w:val="SemEspaamento"/>
      </w:pPr>
      <w:r>
        <w:t>Ela destaca dois fatores para aplicação dos procedimentos:</w:t>
      </w:r>
      <w:r w:rsidR="00673095">
        <w:t xml:space="preserve"> muito estudo e pratica. São eles que vão permitir que o profissional de saúde consiga se manter atualizado e salvando vida.</w:t>
      </w:r>
    </w:p>
    <w:p w:rsidR="00673095" w:rsidRDefault="00673095" w:rsidP="0005295A">
      <w:pPr>
        <w:pStyle w:val="SemEspaamento"/>
      </w:pPr>
    </w:p>
    <w:p w:rsidR="00673095" w:rsidRDefault="00673095" w:rsidP="00673095">
      <w:pPr>
        <w:pStyle w:val="Ttulo2"/>
      </w:pPr>
      <w:bookmarkStart w:id="10" w:name="_Toc122206096"/>
      <w:r>
        <w:t>Calculo da ECG – P</w:t>
      </w:r>
      <w:bookmarkEnd w:id="10"/>
      <w:r>
        <w:t xml:space="preserve"> </w:t>
      </w:r>
    </w:p>
    <w:p w:rsidR="00AD3227" w:rsidRDefault="00673095" w:rsidP="0005295A">
      <w:pPr>
        <w:pStyle w:val="SemEspaamento"/>
      </w:pPr>
      <w:r>
        <w:t>As notas devem ser registrada</w:t>
      </w:r>
      <w:r w:rsidR="00E13CB6">
        <w:t>s</w:t>
      </w:r>
      <w:r>
        <w:t xml:space="preserve"> ao longo do atendimento</w:t>
      </w:r>
      <w:r w:rsidR="00E13CB6">
        <w:t>, para que possam indicar a progressão do paciente. Em todos se</w:t>
      </w:r>
      <w:r w:rsidR="00D73D4C">
        <w:t>g</w:t>
      </w:r>
      <w:r w:rsidR="00E13CB6">
        <w:t>mentos observado pelo profissional de saúde</w:t>
      </w:r>
      <w:r w:rsidR="00D73D4C">
        <w:t xml:space="preserve">, </w:t>
      </w:r>
      <w:r w:rsidR="00D92CE1">
        <w:t xml:space="preserve">a primeira opção é uma resposta normal do paciente </w:t>
      </w:r>
      <w:r w:rsidR="00083203">
        <w:t>(nota máxima na escala) e a última uma reação inexistente ou “ausente” (nota 1).</w:t>
      </w:r>
      <w:r w:rsidR="00AD3227">
        <w:t xml:space="preserve"> É preciso marcar NT na pontuação caso não seja possível obter resposta do paciente por conta de alguma limitação com forme explica doutora Prado:</w:t>
      </w:r>
    </w:p>
    <w:p w:rsidR="00BA41EA" w:rsidRDefault="00AD3227" w:rsidP="0005295A">
      <w:pPr>
        <w:pStyle w:val="SemEspaamento"/>
      </w:pPr>
      <w:r>
        <w:lastRenderedPageBreak/>
        <w:t>“Consideramos as necessidades ind</w:t>
      </w:r>
      <w:r w:rsidR="00BA41EA">
        <w:t>ividuais, por exemplo:</w:t>
      </w:r>
    </w:p>
    <w:p w:rsidR="008108AF" w:rsidRDefault="00BA41EA" w:rsidP="0005295A">
      <w:pPr>
        <w:pStyle w:val="SemEspaamento"/>
      </w:pPr>
      <w:r>
        <w:t xml:space="preserve">Pacientes sedados entubado que não conseguem verbalizar, pacientes com lesão medular não conseguem movimentar </w:t>
      </w:r>
      <w:r w:rsidR="004B4EF9">
        <w:t>os membros</w:t>
      </w:r>
      <w:r w:rsidR="008108AF">
        <w:t>”</w:t>
      </w:r>
      <w:r w:rsidR="004B4EF9">
        <w:t>.</w:t>
      </w:r>
    </w:p>
    <w:p w:rsidR="00E5462C" w:rsidRDefault="008108AF" w:rsidP="0005295A">
      <w:pPr>
        <w:pStyle w:val="SemEspaamento"/>
      </w:pPr>
      <w:r>
        <w:t xml:space="preserve">Para </w:t>
      </w:r>
      <w:r w:rsidR="00505A86">
        <w:t>a resposta observada</w:t>
      </w:r>
      <w:r>
        <w:t xml:space="preserve"> em cada parâmetro da nova escala de Glasgow</w:t>
      </w:r>
      <w:r w:rsidR="00E5462C">
        <w:t>, temos:</w:t>
      </w:r>
    </w:p>
    <w:p w:rsidR="00E5462C" w:rsidRDefault="00E5462C" w:rsidP="0005295A">
      <w:pPr>
        <w:pStyle w:val="SemEspaamento"/>
      </w:pPr>
      <w:r>
        <w:t>Ocular pode ser:</w:t>
      </w:r>
    </w:p>
    <w:p w:rsidR="00474FAF" w:rsidRDefault="00474FAF" w:rsidP="00447625">
      <w:pPr>
        <w:pStyle w:val="SemEspaamento"/>
        <w:numPr>
          <w:ilvl w:val="0"/>
          <w:numId w:val="14"/>
        </w:numPr>
      </w:pPr>
      <w:r>
        <w:t>(+4) espontânea</w:t>
      </w:r>
      <w:r w:rsidR="00E5462C">
        <w:t xml:space="preserve"> – O paciente abre os olhos sem necessidade de estimulo externo.</w:t>
      </w:r>
    </w:p>
    <w:p w:rsidR="00474FAF" w:rsidRDefault="00474FAF" w:rsidP="00F00A52">
      <w:pPr>
        <w:pStyle w:val="SemEspaamento"/>
        <w:numPr>
          <w:ilvl w:val="0"/>
          <w:numId w:val="14"/>
        </w:numPr>
      </w:pPr>
      <w:r>
        <w:t>(+3) a</w:t>
      </w:r>
      <w:r w:rsidR="00E5462C">
        <w:t>o som – O paciente abre os olhos quando é chamado.</w:t>
      </w:r>
    </w:p>
    <w:p w:rsidR="00474FAF" w:rsidRDefault="00474FAF" w:rsidP="00A548ED">
      <w:pPr>
        <w:pStyle w:val="SemEspaamento"/>
        <w:numPr>
          <w:ilvl w:val="0"/>
          <w:numId w:val="14"/>
        </w:numPr>
      </w:pPr>
      <w:r>
        <w:t>(+2) a</w:t>
      </w:r>
      <w:r w:rsidR="00E5462C">
        <w:t xml:space="preserve"> pressão – O paciente abre os olhos após pressão na extremidade dos dedos (aumentando progressivamente a intensidade por segundo).</w:t>
      </w:r>
    </w:p>
    <w:p w:rsidR="00474FAF" w:rsidRDefault="00474FAF" w:rsidP="006D03CA">
      <w:pPr>
        <w:pStyle w:val="SemEspaamento"/>
        <w:numPr>
          <w:ilvl w:val="0"/>
          <w:numId w:val="14"/>
        </w:numPr>
      </w:pPr>
      <w:r>
        <w:t>(+1) a</w:t>
      </w:r>
      <w:r w:rsidR="00E5462C">
        <w:t>usente – O paciente não abre os olhos,</w:t>
      </w:r>
      <w:r w:rsidR="002225E6">
        <w:t xml:space="preserve"> apesar de ser fisicamente capaz de abri-los.</w:t>
      </w:r>
    </w:p>
    <w:p w:rsidR="002225E6" w:rsidRDefault="002225E6" w:rsidP="006D03CA">
      <w:pPr>
        <w:pStyle w:val="SemEspaamento"/>
        <w:numPr>
          <w:ilvl w:val="0"/>
          <w:numId w:val="14"/>
        </w:numPr>
      </w:pPr>
      <w:r>
        <w:t>Não testável (NT) – O paciente tem os olhos fechado devido o fator local impossibilitar a AO.</w:t>
      </w:r>
    </w:p>
    <w:p w:rsidR="00474FAF" w:rsidRDefault="00474FAF" w:rsidP="00474FAF">
      <w:pPr>
        <w:pStyle w:val="SemEspaamento"/>
        <w:ind w:left="720" w:firstLine="0"/>
      </w:pPr>
    </w:p>
    <w:p w:rsidR="002225E6" w:rsidRDefault="002225E6" w:rsidP="00E5462C">
      <w:pPr>
        <w:pStyle w:val="SemEspaamento"/>
      </w:pPr>
      <w:r>
        <w:t>Verbal pode ser:</w:t>
      </w:r>
    </w:p>
    <w:p w:rsidR="00474FAF" w:rsidRDefault="00474FAF" w:rsidP="00BD350E">
      <w:pPr>
        <w:pStyle w:val="SemEspaamento"/>
        <w:numPr>
          <w:ilvl w:val="0"/>
          <w:numId w:val="15"/>
        </w:numPr>
      </w:pPr>
      <w:r>
        <w:t>(+5) o</w:t>
      </w:r>
      <w:r w:rsidR="002225E6">
        <w:t>rientada – Paciente consegue responder adequadamente o nome, local e data.</w:t>
      </w:r>
    </w:p>
    <w:p w:rsidR="00474FAF" w:rsidRDefault="00474FAF" w:rsidP="00474FAF">
      <w:pPr>
        <w:pStyle w:val="SemEspaamento"/>
        <w:numPr>
          <w:ilvl w:val="0"/>
          <w:numId w:val="15"/>
        </w:numPr>
      </w:pPr>
      <w:r>
        <w:t>(+4) c</w:t>
      </w:r>
      <w:r w:rsidR="002225E6">
        <w:t xml:space="preserve">onfusa – O paciente consegue conversar em frase, mais não responde corretamente as perguntas de nome, local e data. </w:t>
      </w:r>
    </w:p>
    <w:p w:rsidR="00474FAF" w:rsidRDefault="00474FAF" w:rsidP="008B3618">
      <w:pPr>
        <w:pStyle w:val="SemEspaamento"/>
        <w:numPr>
          <w:ilvl w:val="0"/>
          <w:numId w:val="15"/>
        </w:numPr>
      </w:pPr>
      <w:r>
        <w:t>(+3) p</w:t>
      </w:r>
      <w:r w:rsidR="002225E6">
        <w:t>alavras – O paciente não consegue falar em frase, mais interage através de palavras isoladas.</w:t>
      </w:r>
    </w:p>
    <w:p w:rsidR="00DC383F" w:rsidRDefault="00474FAF" w:rsidP="00163489">
      <w:pPr>
        <w:pStyle w:val="SemEspaamento"/>
        <w:numPr>
          <w:ilvl w:val="0"/>
          <w:numId w:val="15"/>
        </w:numPr>
      </w:pPr>
      <w:r>
        <w:t>(+2) s</w:t>
      </w:r>
      <w:r w:rsidR="002225E6">
        <w:t>ons - O paciente somente produz gemidos.</w:t>
      </w:r>
    </w:p>
    <w:p w:rsidR="00DC383F" w:rsidRDefault="00DC383F" w:rsidP="0008183E">
      <w:pPr>
        <w:pStyle w:val="SemEspaamento"/>
        <w:numPr>
          <w:ilvl w:val="0"/>
          <w:numId w:val="15"/>
        </w:numPr>
      </w:pPr>
      <w:r>
        <w:t>(+1) a</w:t>
      </w:r>
      <w:r w:rsidR="002225E6">
        <w:t xml:space="preserve">usente -  O paciente não produz sons, apesar de ser fisicamente </w:t>
      </w:r>
      <w:r w:rsidR="008644D5">
        <w:t>capaz de realizá</w:t>
      </w:r>
      <w:r w:rsidR="002225E6">
        <w:t>-los.</w:t>
      </w:r>
    </w:p>
    <w:p w:rsidR="008644D5" w:rsidRDefault="00DC383F" w:rsidP="0008183E">
      <w:pPr>
        <w:pStyle w:val="SemEspaamento"/>
        <w:numPr>
          <w:ilvl w:val="0"/>
          <w:numId w:val="15"/>
        </w:numPr>
      </w:pPr>
      <w:r>
        <w:t>N</w:t>
      </w:r>
      <w:r w:rsidR="008644D5">
        <w:t xml:space="preserve">ão testável – O paciente não emite sons devido algum fator que impossibilita a comunicação. </w:t>
      </w:r>
    </w:p>
    <w:p w:rsidR="00DC383F" w:rsidRDefault="00DC383F" w:rsidP="00DC383F">
      <w:pPr>
        <w:pStyle w:val="SemEspaamento"/>
        <w:ind w:left="720" w:firstLine="0"/>
      </w:pPr>
    </w:p>
    <w:p w:rsidR="008644D5" w:rsidRDefault="008644D5" w:rsidP="002225E6">
      <w:pPr>
        <w:pStyle w:val="SemEspaamento"/>
      </w:pPr>
      <w:r>
        <w:t xml:space="preserve">Motora pode ser: </w:t>
      </w:r>
    </w:p>
    <w:p w:rsidR="00DC383F" w:rsidRDefault="00DC383F" w:rsidP="009B15F7">
      <w:pPr>
        <w:pStyle w:val="SemEspaamento"/>
        <w:numPr>
          <w:ilvl w:val="0"/>
          <w:numId w:val="16"/>
        </w:numPr>
      </w:pPr>
      <w:r>
        <w:t>(+6) à</w:t>
      </w:r>
      <w:r w:rsidR="008644D5">
        <w:t xml:space="preserve"> ordem </w:t>
      </w:r>
      <w:r w:rsidR="004F0C27">
        <w:t>– O paciente cumpre ordens de atividade motora (duas ações) como apertar a mão do profissional e color a língua para fora</w:t>
      </w:r>
      <w:r w:rsidR="00AB1DE9">
        <w:t>.</w:t>
      </w:r>
    </w:p>
    <w:p w:rsidR="00461F07" w:rsidRDefault="00DC383F" w:rsidP="00AC0AB5">
      <w:pPr>
        <w:pStyle w:val="SemEspaamento"/>
        <w:numPr>
          <w:ilvl w:val="0"/>
          <w:numId w:val="16"/>
        </w:numPr>
      </w:pPr>
      <w:r>
        <w:lastRenderedPageBreak/>
        <w:t>(</w:t>
      </w:r>
      <w:r w:rsidR="00461F07">
        <w:t>+5</w:t>
      </w:r>
      <w:r>
        <w:t>) l</w:t>
      </w:r>
      <w:r w:rsidR="000D7682">
        <w:t>ocalizadora</w:t>
      </w:r>
      <w:r w:rsidR="00EE0654">
        <w:t xml:space="preserve"> - </w:t>
      </w:r>
      <w:r w:rsidR="000D7682">
        <w:t xml:space="preserve">O paciente eleva a mão acima do nível da clavícula </w:t>
      </w:r>
      <w:r w:rsidR="00EE0654">
        <w:t>em uma tentativa</w:t>
      </w:r>
      <w:r w:rsidR="000D7682">
        <w:t xml:space="preserve"> de interromper o est</w:t>
      </w:r>
      <w:r w:rsidR="00EE0654">
        <w:t>í</w:t>
      </w:r>
      <w:r w:rsidR="000D7682">
        <w:t>mulo</w:t>
      </w:r>
      <w:r w:rsidR="00EE0654">
        <w:t xml:space="preserve"> (durante o </w:t>
      </w:r>
      <w:proofErr w:type="spellStart"/>
      <w:r w:rsidR="00EE0654">
        <w:t>pinçamento</w:t>
      </w:r>
      <w:proofErr w:type="spellEnd"/>
      <w:r w:rsidR="00EE0654">
        <w:t xml:space="preserve"> do trapézio ou incisura supraorbitária)</w:t>
      </w:r>
      <w:r w:rsidR="00654F48">
        <w:t>.</w:t>
      </w:r>
    </w:p>
    <w:p w:rsidR="00461F07" w:rsidRDefault="00461F07" w:rsidP="00C76041">
      <w:pPr>
        <w:pStyle w:val="SemEspaamento"/>
        <w:numPr>
          <w:ilvl w:val="0"/>
          <w:numId w:val="16"/>
        </w:numPr>
      </w:pPr>
      <w:r>
        <w:t>(+4) f</w:t>
      </w:r>
      <w:r w:rsidR="00654F48">
        <w:t>lexão normal – A mão do paciente não alcança a fonte do estimulo, mais há uma flexão do braço a nível do cotovelo e na direç</w:t>
      </w:r>
      <w:r w:rsidR="002111E0">
        <w:t>ão externa ao corpo.</w:t>
      </w:r>
    </w:p>
    <w:p w:rsidR="00461F07" w:rsidRDefault="00461F07" w:rsidP="00B0595C">
      <w:pPr>
        <w:pStyle w:val="SemEspaamento"/>
        <w:numPr>
          <w:ilvl w:val="0"/>
          <w:numId w:val="16"/>
        </w:numPr>
      </w:pPr>
      <w:r>
        <w:t>(+3) f</w:t>
      </w:r>
      <w:r w:rsidR="002111E0">
        <w:t>lexão anormal – A mão do paciente não alcança a fonte do estimulo, mas à uma flexão lente do braço na direção interna do corpo.</w:t>
      </w:r>
    </w:p>
    <w:p w:rsidR="00461F07" w:rsidRDefault="00461F07" w:rsidP="00A26EF4">
      <w:pPr>
        <w:pStyle w:val="SemEspaamento"/>
        <w:numPr>
          <w:ilvl w:val="0"/>
          <w:numId w:val="16"/>
        </w:numPr>
      </w:pPr>
      <w:r>
        <w:t>(+2) e</w:t>
      </w:r>
      <w:r w:rsidR="002111E0">
        <w:t>xtensão – Há uma extensão do braço ao nível do cotovelo.</w:t>
      </w:r>
    </w:p>
    <w:p w:rsidR="00461F07" w:rsidRDefault="00461F07" w:rsidP="00E843E4">
      <w:pPr>
        <w:pStyle w:val="SemEspaamento"/>
        <w:numPr>
          <w:ilvl w:val="0"/>
          <w:numId w:val="16"/>
        </w:numPr>
      </w:pPr>
      <w:r>
        <w:t>(+1) a</w:t>
      </w:r>
      <w:r w:rsidR="002111E0">
        <w:t>usente - Não há resposta motora do membro superiores e inferiores, apesar do paciente ser fisicamente capaz de realizá-la.</w:t>
      </w:r>
    </w:p>
    <w:p w:rsidR="002111E0" w:rsidRDefault="002111E0" w:rsidP="00E843E4">
      <w:pPr>
        <w:pStyle w:val="SemEspaamento"/>
        <w:numPr>
          <w:ilvl w:val="0"/>
          <w:numId w:val="16"/>
        </w:numPr>
      </w:pPr>
      <w:r>
        <w:t xml:space="preserve">Não testável </w:t>
      </w:r>
      <w:r w:rsidR="00074322">
        <w:t>–</w:t>
      </w:r>
      <w:r>
        <w:t xml:space="preserve"> </w:t>
      </w:r>
      <w:r w:rsidR="00074322">
        <w:t>Não movimenta membro superiores e inferiores devido algum fator que impossibilita a movimentação.</w:t>
      </w:r>
    </w:p>
    <w:p w:rsidR="00461F07" w:rsidRDefault="00461F07" w:rsidP="00461F07">
      <w:pPr>
        <w:pStyle w:val="SemEspaamento"/>
        <w:ind w:left="720" w:firstLine="0"/>
      </w:pPr>
    </w:p>
    <w:p w:rsidR="00074322" w:rsidRDefault="00074322" w:rsidP="00EE0654">
      <w:pPr>
        <w:pStyle w:val="SemEspaamento"/>
      </w:pPr>
      <w:r>
        <w:t xml:space="preserve">Reatividade Pupilar </w:t>
      </w:r>
      <w:r w:rsidR="00F13C3D">
        <w:t>(atualização 2018)</w:t>
      </w:r>
      <w:r>
        <w:t xml:space="preserve"> </w:t>
      </w:r>
      <w:r w:rsidR="00A76991">
        <w:t>pode ser:</w:t>
      </w:r>
    </w:p>
    <w:p w:rsidR="00461F07" w:rsidRDefault="00461F07" w:rsidP="00E345F9">
      <w:pPr>
        <w:pStyle w:val="SemEspaamento"/>
        <w:numPr>
          <w:ilvl w:val="0"/>
          <w:numId w:val="17"/>
        </w:numPr>
      </w:pPr>
      <w:r>
        <w:t>(-2) a</w:t>
      </w:r>
      <w:r w:rsidR="00A76991">
        <w:t>mbas as pupilas -  os pacientes não reagem ao estimulo de luz.</w:t>
      </w:r>
    </w:p>
    <w:p w:rsidR="00461F07" w:rsidRDefault="00461F07" w:rsidP="00BD5DC7">
      <w:pPr>
        <w:pStyle w:val="SemEspaamento"/>
        <w:numPr>
          <w:ilvl w:val="0"/>
          <w:numId w:val="17"/>
        </w:numPr>
      </w:pPr>
      <w:r>
        <w:t>(-1) u</w:t>
      </w:r>
      <w:r w:rsidR="00A76991">
        <w:t xml:space="preserve">ma pupila - paciente não reage </w:t>
      </w:r>
      <w:r w:rsidR="00BB35F9">
        <w:t>ao estimulo de luz.</w:t>
      </w:r>
    </w:p>
    <w:p w:rsidR="00BB35F9" w:rsidRDefault="00461F07" w:rsidP="00BD5DC7">
      <w:pPr>
        <w:pStyle w:val="SemEspaamento"/>
        <w:numPr>
          <w:ilvl w:val="0"/>
          <w:numId w:val="17"/>
        </w:numPr>
      </w:pPr>
      <w:r>
        <w:t>(0) n</w:t>
      </w:r>
      <w:r w:rsidR="00BB35F9">
        <w:t>enhuma pupila – o paciente fica sem reação ao estimulo de luz.</w:t>
      </w:r>
    </w:p>
    <w:p w:rsidR="008302F3" w:rsidRDefault="008302F3"/>
    <w:p w:rsidR="008302F3" w:rsidRDefault="008302F3" w:rsidP="008302F3">
      <w:pPr>
        <w:pStyle w:val="Ttulo2"/>
      </w:pPr>
      <w:bookmarkStart w:id="11" w:name="_Toc122206097"/>
      <w:r>
        <w:t>5 passos para utilizar a ECG corretamente</w:t>
      </w:r>
      <w:bookmarkEnd w:id="11"/>
      <w:r>
        <w:t xml:space="preserve"> </w:t>
      </w:r>
    </w:p>
    <w:p w:rsidR="00EB6931" w:rsidRDefault="008302F3" w:rsidP="009C039C">
      <w:pPr>
        <w:pStyle w:val="PargrafodaLista"/>
        <w:numPr>
          <w:ilvl w:val="0"/>
          <w:numId w:val="21"/>
        </w:numPr>
      </w:pPr>
      <w:r>
        <w:t>Verifique</w:t>
      </w:r>
    </w:p>
    <w:p w:rsidR="00EB6931" w:rsidRDefault="00EB6931" w:rsidP="007E711F">
      <w:pPr>
        <w:pStyle w:val="PargrafodaLista"/>
        <w:numPr>
          <w:ilvl w:val="0"/>
          <w:numId w:val="21"/>
        </w:numPr>
      </w:pPr>
      <w:r>
        <w:t>Observe</w:t>
      </w:r>
    </w:p>
    <w:p w:rsidR="00EB6931" w:rsidRDefault="008302F3" w:rsidP="00F93BC8">
      <w:pPr>
        <w:pStyle w:val="PargrafodaLista"/>
        <w:numPr>
          <w:ilvl w:val="0"/>
          <w:numId w:val="21"/>
        </w:numPr>
      </w:pPr>
      <w:r>
        <w:t>Estimule</w:t>
      </w:r>
    </w:p>
    <w:p w:rsidR="00EB6931" w:rsidRDefault="008302F3" w:rsidP="002F5926">
      <w:pPr>
        <w:pStyle w:val="PargrafodaLista"/>
        <w:numPr>
          <w:ilvl w:val="0"/>
          <w:numId w:val="21"/>
        </w:numPr>
      </w:pPr>
      <w:r>
        <w:t>Pontue e some</w:t>
      </w:r>
    </w:p>
    <w:p w:rsidR="00EB6931" w:rsidRDefault="008302F3" w:rsidP="002F5926">
      <w:pPr>
        <w:pStyle w:val="PargrafodaLista"/>
        <w:numPr>
          <w:ilvl w:val="0"/>
          <w:numId w:val="21"/>
        </w:numPr>
      </w:pPr>
      <w:r>
        <w:t xml:space="preserve">Analise a reatividade pupilar  </w:t>
      </w:r>
    </w:p>
    <w:p w:rsidR="00EB6931" w:rsidRDefault="00EB6931" w:rsidP="006C5FD2">
      <w:pPr>
        <w:pStyle w:val="SemEspaamento"/>
      </w:pPr>
    </w:p>
    <w:p w:rsidR="006C5FD2" w:rsidRDefault="006C5FD2" w:rsidP="006C5FD2">
      <w:pPr>
        <w:pStyle w:val="SemEspaamento"/>
      </w:pPr>
      <w:r>
        <w:t>Verifique desde já, identifique fatores que podem interferir na capacidade de resposta do paciente. É importante considerar na sua avalição se ele possui alguma limitação anterior ou devido ao ocorrido que o impedi de reagir adequadamente naquele tópico. Por exemplo, um paciente surdo não poderá reagir normalmente ao estimulo verbal. Logo, esse será “não testável” alterando a soma total da ECG – P.</w:t>
      </w:r>
    </w:p>
    <w:p w:rsidR="006C5FD2" w:rsidRDefault="006C5FD2" w:rsidP="006C5FD2">
      <w:pPr>
        <w:pStyle w:val="SemEspaamento"/>
      </w:pPr>
      <w:r>
        <w:t>Observe em seguida, o paciente e fique atento a qualquer comportamento espontâneo dentro dos 3 componentes da escala.</w:t>
      </w:r>
    </w:p>
    <w:p w:rsidR="006C5FD2" w:rsidRDefault="006C5FD2" w:rsidP="006C5FD2">
      <w:pPr>
        <w:pStyle w:val="SemEspaamento"/>
      </w:pPr>
      <w:r>
        <w:t>Estimule caso o paciente não haja espontaneamente nos tópicos da escala, é preciso estimular uma resposta. Assim sendo, faça abordagem na ordem abaixo.</w:t>
      </w:r>
    </w:p>
    <w:p w:rsidR="006C5FD2" w:rsidRDefault="006C5FD2" w:rsidP="006C5FD2">
      <w:pPr>
        <w:pStyle w:val="SemEspaamento"/>
      </w:pPr>
      <w:r>
        <w:lastRenderedPageBreak/>
        <w:t>Estimulo sonoro: peça (em tom de voz normal ou em voz alta) para que o paciente realize a ação desejada;</w:t>
      </w:r>
    </w:p>
    <w:p w:rsidR="00D1599B" w:rsidRDefault="006C5FD2" w:rsidP="006C5FD2">
      <w:pPr>
        <w:pStyle w:val="SemEspaamento"/>
      </w:pPr>
      <w:r>
        <w:t xml:space="preserve">Estimulo físico: aplique pressão na extremidade dos dedos, trapézio ou </w:t>
      </w:r>
      <w:r w:rsidR="00D1599B">
        <w:t>incisura supra – orbitaria.</w:t>
      </w:r>
    </w:p>
    <w:p w:rsidR="00817E32" w:rsidRDefault="00D1599B" w:rsidP="006C5FD2">
      <w:pPr>
        <w:pStyle w:val="SemEspaamento"/>
      </w:pPr>
      <w:r>
        <w:t>Pontue e some os estímulos que obtiveram a melhor resposta do</w:t>
      </w:r>
      <w:r w:rsidR="00360706">
        <w:t xml:space="preserve"> paciente devem ser marcados em cada um dos 3 tópicos escala. Conforme abordamos no primeiro ponto, se algum fator impede de realizar a tarefa, é marcado “NT”. Ao mesmo tempo, as respostas correspondem a uma pontuação que irá indicar, de forma simples e pratica, a situação do paciente. </w:t>
      </w:r>
      <w:proofErr w:type="spellStart"/>
      <w:r w:rsidR="00360706">
        <w:t>Ex</w:t>
      </w:r>
      <w:proofErr w:type="spellEnd"/>
      <w:r w:rsidR="00360706">
        <w:t xml:space="preserve"> </w:t>
      </w:r>
      <w:r w:rsidR="006A2A33">
        <w:t xml:space="preserve">E4, V2, M1 e P1, significando respetivamente a nota para </w:t>
      </w:r>
      <w:r w:rsidR="00817E32">
        <w:t>ocular, verbal</w:t>
      </w:r>
      <w:r w:rsidR="006A2A33">
        <w:t>, motora e pupilar, com resultado final 6, ou seja, E4V2M1-P1</w:t>
      </w:r>
      <w:r w:rsidR="006A2A33">
        <w:rPr>
          <w:lang w:val="pt-PT"/>
        </w:rPr>
        <w:t>=</w:t>
      </w:r>
      <w:r w:rsidR="00B26793">
        <w:t>6</w:t>
      </w:r>
      <w:r w:rsidR="00817E32">
        <w:t>.</w:t>
      </w:r>
    </w:p>
    <w:p w:rsidR="0039308B" w:rsidRDefault="00817E32" w:rsidP="002225E6">
      <w:pPr>
        <w:pStyle w:val="SemEspaamento"/>
      </w:pPr>
      <w:r>
        <w:t xml:space="preserve">Analise a reatividade pupilar a princípio, suspenda cuidadosamente as pálpebras do paciente e direcione um foco de luz para seus olhos. Registre </w:t>
      </w:r>
      <w:r w:rsidR="005146B8">
        <w:t xml:space="preserve">anota correspondente a reação ao estimulo. Esse valor será subtraído da nota obtida anteriormente gerando um resultado final mais preciso. Além disso, </w:t>
      </w:r>
      <w:r w:rsidR="00E86515">
        <w:t>essas reações</w:t>
      </w:r>
      <w:r w:rsidR="005146B8">
        <w:t xml:space="preserve"> devem ser anotadas periodicamente para possibilitar </w:t>
      </w:r>
      <w:r w:rsidR="00E86515">
        <w:t>uma visão geral</w:t>
      </w:r>
      <w:r w:rsidR="005146B8">
        <w:t xml:space="preserve"> do progresso ou deterioração do estado neurológico do paciente.</w:t>
      </w:r>
    </w:p>
    <w:p w:rsidR="0039308B" w:rsidRDefault="0039308B" w:rsidP="002225E6">
      <w:pPr>
        <w:pStyle w:val="SemEspaamento"/>
      </w:pPr>
    </w:p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9308B" w:rsidTr="006D1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9308B" w:rsidRDefault="0039308B" w:rsidP="00EB2F40">
            <w:pPr>
              <w:pStyle w:val="SemEspaamento"/>
              <w:ind w:firstLine="0"/>
              <w:jc w:val="center"/>
            </w:pPr>
            <w:r>
              <w:t>Abertura ocular</w:t>
            </w:r>
          </w:p>
        </w:tc>
        <w:tc>
          <w:tcPr>
            <w:tcW w:w="2831" w:type="dxa"/>
          </w:tcPr>
          <w:p w:rsidR="0039308B" w:rsidRDefault="0039308B" w:rsidP="00EB2F40">
            <w:pPr>
              <w:pStyle w:val="SemEspaamen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Resposta verbal</w:t>
            </w:r>
          </w:p>
        </w:tc>
        <w:tc>
          <w:tcPr>
            <w:tcW w:w="2832" w:type="dxa"/>
          </w:tcPr>
          <w:p w:rsidR="0039308B" w:rsidRDefault="0039308B" w:rsidP="00EB2F40">
            <w:pPr>
              <w:pStyle w:val="SemEspaamen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Resposta motora</w:t>
            </w:r>
          </w:p>
        </w:tc>
      </w:tr>
      <w:tr w:rsidR="0039308B" w:rsidTr="006D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9308B" w:rsidRDefault="0039308B" w:rsidP="00EB2F40">
            <w:pPr>
              <w:pStyle w:val="SemEspaamento"/>
              <w:ind w:firstLine="0"/>
              <w:jc w:val="center"/>
            </w:pPr>
            <w:r>
              <w:t>Espontânea 4</w:t>
            </w:r>
          </w:p>
        </w:tc>
        <w:tc>
          <w:tcPr>
            <w:tcW w:w="2831" w:type="dxa"/>
          </w:tcPr>
          <w:p w:rsidR="0039308B" w:rsidRDefault="0039308B" w:rsidP="00EB2F40">
            <w:pPr>
              <w:pStyle w:val="SemEspaamen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Orientado 5</w:t>
            </w:r>
          </w:p>
        </w:tc>
        <w:tc>
          <w:tcPr>
            <w:tcW w:w="2832" w:type="dxa"/>
          </w:tcPr>
          <w:p w:rsidR="0039308B" w:rsidRDefault="0039308B" w:rsidP="00EB2F40">
            <w:pPr>
              <w:pStyle w:val="SemEspaamen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Obedece 6</w:t>
            </w:r>
          </w:p>
        </w:tc>
      </w:tr>
      <w:tr w:rsidR="0039308B" w:rsidTr="006D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9308B" w:rsidRDefault="0039308B" w:rsidP="00EB2F40">
            <w:pPr>
              <w:pStyle w:val="SemEspaamento"/>
              <w:ind w:firstLine="0"/>
              <w:jc w:val="center"/>
            </w:pPr>
            <w:r>
              <w:t>Ao chamado 3</w:t>
            </w:r>
          </w:p>
        </w:tc>
        <w:tc>
          <w:tcPr>
            <w:tcW w:w="2831" w:type="dxa"/>
          </w:tcPr>
          <w:p w:rsidR="0039308B" w:rsidRDefault="0039308B" w:rsidP="00EB2F40">
            <w:pPr>
              <w:pStyle w:val="SemEspaamen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Confuso 4</w:t>
            </w:r>
          </w:p>
        </w:tc>
        <w:tc>
          <w:tcPr>
            <w:tcW w:w="2832" w:type="dxa"/>
          </w:tcPr>
          <w:p w:rsidR="0039308B" w:rsidRDefault="0039308B" w:rsidP="00EB2F40">
            <w:pPr>
              <w:pStyle w:val="SemEspaamen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Localiza 5</w:t>
            </w:r>
          </w:p>
        </w:tc>
      </w:tr>
      <w:tr w:rsidR="0039308B" w:rsidTr="006D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9308B" w:rsidRDefault="0039308B" w:rsidP="00EB2F40">
            <w:pPr>
              <w:pStyle w:val="SemEspaamento"/>
              <w:ind w:firstLine="0"/>
              <w:jc w:val="center"/>
            </w:pPr>
            <w:r>
              <w:t>À dor 2</w:t>
            </w:r>
          </w:p>
          <w:p w:rsidR="00A32478" w:rsidRDefault="00A32478" w:rsidP="00EB2F40">
            <w:pPr>
              <w:pStyle w:val="SemEspaamento"/>
              <w:ind w:firstLine="0"/>
              <w:jc w:val="center"/>
            </w:pPr>
            <w:r>
              <w:t>Ausente 1</w:t>
            </w:r>
          </w:p>
        </w:tc>
        <w:tc>
          <w:tcPr>
            <w:tcW w:w="2831" w:type="dxa"/>
          </w:tcPr>
          <w:p w:rsidR="0039308B" w:rsidRDefault="0039308B" w:rsidP="00EB2F40">
            <w:pPr>
              <w:pStyle w:val="SemEspaamen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Palavras 3</w:t>
            </w:r>
          </w:p>
          <w:p w:rsidR="00A32478" w:rsidRDefault="00A32478" w:rsidP="00EB2F40">
            <w:pPr>
              <w:pStyle w:val="SemEspaamen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Sons 2</w:t>
            </w:r>
          </w:p>
        </w:tc>
        <w:tc>
          <w:tcPr>
            <w:tcW w:w="2832" w:type="dxa"/>
          </w:tcPr>
          <w:p w:rsidR="0039308B" w:rsidRDefault="0039308B" w:rsidP="00EB2F40">
            <w:pPr>
              <w:pStyle w:val="SemEspaamen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Flet</w:t>
            </w:r>
            <w:r w:rsidR="00A32478">
              <w:t>e</w:t>
            </w:r>
            <w:r>
              <w:t xml:space="preserve"> 4</w:t>
            </w:r>
          </w:p>
          <w:p w:rsidR="00A32478" w:rsidRDefault="00A32478" w:rsidP="00EB2F40">
            <w:pPr>
              <w:pStyle w:val="SemEspaamen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Flexão anormal 3</w:t>
            </w:r>
          </w:p>
        </w:tc>
      </w:tr>
      <w:tr w:rsidR="0039308B" w:rsidTr="006D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9308B" w:rsidRDefault="0039308B" w:rsidP="00EB2F40">
            <w:pPr>
              <w:pStyle w:val="SemEspaamento"/>
              <w:ind w:firstLine="0"/>
              <w:jc w:val="center"/>
            </w:pPr>
          </w:p>
        </w:tc>
        <w:tc>
          <w:tcPr>
            <w:tcW w:w="2831" w:type="dxa"/>
          </w:tcPr>
          <w:p w:rsidR="0039308B" w:rsidRDefault="0039308B" w:rsidP="00EB2F40">
            <w:pPr>
              <w:pStyle w:val="SemEspaamen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Ausente 1</w:t>
            </w:r>
          </w:p>
        </w:tc>
        <w:tc>
          <w:tcPr>
            <w:tcW w:w="2832" w:type="dxa"/>
          </w:tcPr>
          <w:p w:rsidR="0039308B" w:rsidRDefault="0039308B" w:rsidP="00EB2F40">
            <w:pPr>
              <w:pStyle w:val="SemEspaamen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Extensão 2</w:t>
            </w:r>
          </w:p>
        </w:tc>
      </w:tr>
    </w:tbl>
    <w:p w:rsidR="008644D5" w:rsidRPr="00E5462C" w:rsidRDefault="00D1599B" w:rsidP="002225E6">
      <w:pPr>
        <w:pStyle w:val="SemEspaamento"/>
      </w:pPr>
      <w:r>
        <w:t xml:space="preserve"> </w:t>
      </w:r>
    </w:p>
    <w:p w:rsidR="00114EB8" w:rsidRPr="000B7F3A" w:rsidRDefault="00EB2F40" w:rsidP="0005295A">
      <w:pPr>
        <w:pStyle w:val="SemEspaamento"/>
        <w:rPr>
          <w:rFonts w:cs="Times New Roman"/>
          <w:szCs w:val="24"/>
        </w:rPr>
      </w:pPr>
      <w:r>
        <w:t xml:space="preserve">Soma dos critérios avalia o nível consciência de 1 </w:t>
      </w:r>
      <w:proofErr w:type="gramStart"/>
      <w:r>
        <w:t>à</w:t>
      </w:r>
      <w:proofErr w:type="gramEnd"/>
      <w:r>
        <w:t xml:space="preserve"> 3 mínimo e 4 a 15 máximo. </w:t>
      </w:r>
      <w:r w:rsidR="00C83708">
        <w:t xml:space="preserve"> </w:t>
      </w:r>
      <w:r w:rsidR="006B61A6">
        <w:t xml:space="preserve">  </w:t>
      </w:r>
      <w:r w:rsidR="00AD7246" w:rsidRPr="002F7E59">
        <w:rPr>
          <w:rFonts w:cs="Times New Roman"/>
          <w:szCs w:val="24"/>
        </w:rPr>
        <w:br w:type="page"/>
      </w:r>
    </w:p>
    <w:p w:rsidR="00114EB8" w:rsidRDefault="00114EB8" w:rsidP="00CE400B">
      <w:pPr>
        <w:pStyle w:val="Ttulo1"/>
      </w:pPr>
      <w:bookmarkStart w:id="12" w:name="_Toc122206098"/>
      <w:r w:rsidRPr="00F03A1A">
        <w:lastRenderedPageBreak/>
        <w:t>CONCLUSÃO</w:t>
      </w:r>
      <w:bookmarkEnd w:id="12"/>
    </w:p>
    <w:p w:rsidR="00CE400B" w:rsidRDefault="00CE400B">
      <w:pPr>
        <w:rPr>
          <w:rFonts w:ascii="Times New Roman" w:hAnsi="Times New Roman" w:cs="Times New Roman"/>
          <w:sz w:val="24"/>
          <w:szCs w:val="24"/>
        </w:rPr>
      </w:pPr>
    </w:p>
    <w:p w:rsidR="00924E45" w:rsidRDefault="0095201F" w:rsidP="00F0557F">
      <w:pPr>
        <w:pStyle w:val="SemEspaamento"/>
      </w:pPr>
      <w:r>
        <w:t xml:space="preserve">Em suma, </w:t>
      </w:r>
      <w:r w:rsidR="00F0557F">
        <w:t xml:space="preserve">é através dessa escala que possível mensurar o nível de consciência dos pacientes. A aplicação da escala de coma de Glasgow orienta a tomada a tomada de decisão inicial a necessidade de novas ações, e a partir desses dados podemos encaminhar o paciente de maneira mais segura. </w:t>
      </w:r>
    </w:p>
    <w:p w:rsidR="00924E45" w:rsidRDefault="00924E45" w:rsidP="00F0557F">
      <w:pPr>
        <w:pStyle w:val="SemEspaamento"/>
      </w:pPr>
    </w:p>
    <w:p w:rsidR="00114EB8" w:rsidRPr="00EB2F40" w:rsidRDefault="00F0557F" w:rsidP="00EB2F40">
      <w:pPr>
        <w:pStyle w:val="SemEspaamento"/>
      </w:pPr>
      <w:r>
        <w:t>Aconselha-se aos enfermeiros a utilizar a ECG – P durante as 24 horas após o trauma do paciente</w:t>
      </w:r>
      <w:r w:rsidR="00BB0BF3">
        <w:t xml:space="preserve"> porque será um método bastante confiável </w:t>
      </w:r>
      <w:r w:rsidR="00CB493E">
        <w:t xml:space="preserve">para detectar o nível de consciência de uma pessoa após acidentes.  </w:t>
      </w:r>
      <w:r w:rsidR="00BB0BF3">
        <w:t xml:space="preserve"> </w:t>
      </w:r>
      <w:r>
        <w:t xml:space="preserve">   </w:t>
      </w:r>
      <w:r w:rsidR="00297AF4">
        <w:t xml:space="preserve">  </w:t>
      </w:r>
      <w:r w:rsidR="00F722D6">
        <w:t xml:space="preserve">        </w:t>
      </w:r>
      <w:r w:rsidR="0095201F">
        <w:t xml:space="preserve"> </w:t>
      </w:r>
      <w:r w:rsidR="0095201F" w:rsidRPr="00CE400B">
        <w:t xml:space="preserve"> </w:t>
      </w:r>
      <w:r w:rsidR="00114EB8" w:rsidRPr="00E64AB8">
        <w:rPr>
          <w:rFonts w:cs="Times New Roman"/>
          <w:szCs w:val="24"/>
        </w:rPr>
        <w:br w:type="page"/>
      </w:r>
    </w:p>
    <w:p w:rsidR="00114EB8" w:rsidRPr="00F03A1A" w:rsidRDefault="00114EB8" w:rsidP="00E64AB8">
      <w:pPr>
        <w:pStyle w:val="Ttulo1"/>
      </w:pPr>
      <w:bookmarkStart w:id="13" w:name="_Toc122206099"/>
      <w:r w:rsidRPr="00F03A1A">
        <w:lastRenderedPageBreak/>
        <w:t>REFERENCIA BIBLIOGRAFICA</w:t>
      </w:r>
      <w:bookmarkEnd w:id="13"/>
    </w:p>
    <w:p w:rsidR="00270974" w:rsidRDefault="00270974">
      <w:pPr>
        <w:rPr>
          <w:rFonts w:ascii="Times New Roman" w:hAnsi="Times New Roman" w:cs="Times New Roman"/>
          <w:sz w:val="28"/>
          <w:szCs w:val="28"/>
        </w:rPr>
      </w:pPr>
    </w:p>
    <w:p w:rsidR="005655B0" w:rsidRDefault="00563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MCNAMARA, </w:t>
      </w:r>
      <w:proofErr w:type="spellStart"/>
      <w:r>
        <w:rPr>
          <w:rFonts w:ascii="Times New Roman" w:hAnsi="Times New Roman" w:cs="Times New Roman"/>
          <w:sz w:val="28"/>
          <w:szCs w:val="28"/>
        </w:rPr>
        <w:t>Damian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Escala de coma de Glasgow ganha atualização esclarecedora. Acesso em: 30 de </w:t>
      </w:r>
      <w:proofErr w:type="gramStart"/>
      <w:r>
        <w:rPr>
          <w:rFonts w:ascii="Times New Roman" w:hAnsi="Times New Roman" w:cs="Times New Roman"/>
          <w:sz w:val="28"/>
          <w:szCs w:val="28"/>
        </w:rPr>
        <w:t>Abril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 2018.</w:t>
      </w:r>
    </w:p>
    <w:p w:rsidR="001F78AB" w:rsidRDefault="00563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M.BRENNAN, Paul; D. Murray, Gordon</w:t>
      </w:r>
      <w:r w:rsidR="00085E7A">
        <w:rPr>
          <w:rFonts w:ascii="Times New Roman" w:hAnsi="Times New Roman" w:cs="Times New Roman"/>
          <w:sz w:val="28"/>
          <w:szCs w:val="28"/>
        </w:rPr>
        <w:t xml:space="preserve">; M. TEASDALE, Graham. </w:t>
      </w:r>
      <w:r w:rsidR="00A929FE">
        <w:rPr>
          <w:rFonts w:ascii="Times New Roman" w:hAnsi="Times New Roman" w:cs="Times New Roman"/>
          <w:sz w:val="28"/>
          <w:szCs w:val="28"/>
        </w:rPr>
        <w:t>Simplificando o uso de informações prognosticas em traumatismo crânio encefálico</w:t>
      </w:r>
      <w:r w:rsidR="001F78AB">
        <w:rPr>
          <w:rFonts w:ascii="Times New Roman" w:hAnsi="Times New Roman" w:cs="Times New Roman"/>
          <w:sz w:val="28"/>
          <w:szCs w:val="28"/>
        </w:rPr>
        <w:t>, Jornal da neurocirurgia, 2018.</w:t>
      </w:r>
    </w:p>
    <w:p w:rsidR="00563359" w:rsidRPr="00114EB8" w:rsidRDefault="001F7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Acesso em: 30 de </w:t>
      </w:r>
      <w:proofErr w:type="gramStart"/>
      <w:r>
        <w:rPr>
          <w:rFonts w:ascii="Times New Roman" w:hAnsi="Times New Roman" w:cs="Times New Roman"/>
          <w:sz w:val="28"/>
          <w:szCs w:val="28"/>
        </w:rPr>
        <w:t>Abril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 2018. </w:t>
      </w:r>
      <w:r w:rsidR="00A929FE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63359" w:rsidRPr="00114EB8" w:rsidSect="00B75E04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E0C" w:rsidRDefault="00552E0C" w:rsidP="00625B99">
      <w:pPr>
        <w:spacing w:after="0" w:line="240" w:lineRule="auto"/>
      </w:pPr>
      <w:r>
        <w:separator/>
      </w:r>
    </w:p>
  </w:endnote>
  <w:endnote w:type="continuationSeparator" w:id="0">
    <w:p w:rsidR="00552E0C" w:rsidRDefault="00552E0C" w:rsidP="00625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322" w:rsidRDefault="00074322">
    <w:pPr>
      <w:pStyle w:val="Rodap"/>
      <w:jc w:val="center"/>
    </w:pPr>
  </w:p>
  <w:p w:rsidR="00074322" w:rsidRDefault="0007432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6061815"/>
      <w:docPartObj>
        <w:docPartGallery w:val="Page Numbers (Bottom of Page)"/>
        <w:docPartUnique/>
      </w:docPartObj>
    </w:sdtPr>
    <w:sdtEndPr/>
    <w:sdtContent>
      <w:p w:rsidR="00074322" w:rsidRDefault="0007432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B55">
          <w:rPr>
            <w:noProof/>
          </w:rPr>
          <w:t>12</w:t>
        </w:r>
        <w:r>
          <w:fldChar w:fldCharType="end"/>
        </w:r>
      </w:p>
    </w:sdtContent>
  </w:sdt>
  <w:p w:rsidR="00074322" w:rsidRDefault="000743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E0C" w:rsidRDefault="00552E0C" w:rsidP="00625B99">
      <w:pPr>
        <w:spacing w:after="0" w:line="240" w:lineRule="auto"/>
      </w:pPr>
      <w:r>
        <w:separator/>
      </w:r>
    </w:p>
  </w:footnote>
  <w:footnote w:type="continuationSeparator" w:id="0">
    <w:p w:rsidR="00552E0C" w:rsidRDefault="00552E0C" w:rsidP="00625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322" w:rsidRDefault="000743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1E3D"/>
    <w:multiLevelType w:val="hybridMultilevel"/>
    <w:tmpl w:val="737E1B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C5431"/>
    <w:multiLevelType w:val="hybridMultilevel"/>
    <w:tmpl w:val="3398BA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E6A6E"/>
    <w:multiLevelType w:val="hybridMultilevel"/>
    <w:tmpl w:val="E57EC290"/>
    <w:lvl w:ilvl="0" w:tplc="F81AB46A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95D9C"/>
    <w:multiLevelType w:val="hybridMultilevel"/>
    <w:tmpl w:val="057CE6A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B6234"/>
    <w:multiLevelType w:val="hybridMultilevel"/>
    <w:tmpl w:val="6CBA79D8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12423A6"/>
    <w:multiLevelType w:val="hybridMultilevel"/>
    <w:tmpl w:val="954AD5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F6B66"/>
    <w:multiLevelType w:val="hybridMultilevel"/>
    <w:tmpl w:val="27CE8EDE"/>
    <w:lvl w:ilvl="0" w:tplc="0816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2AA83191"/>
    <w:multiLevelType w:val="hybridMultilevel"/>
    <w:tmpl w:val="A87C48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B715B"/>
    <w:multiLevelType w:val="hybridMultilevel"/>
    <w:tmpl w:val="8A28A69A"/>
    <w:lvl w:ilvl="0" w:tplc="0816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9" w15:restartNumberingAfterBreak="0">
    <w:nsid w:val="3D326FE8"/>
    <w:multiLevelType w:val="hybridMultilevel"/>
    <w:tmpl w:val="B8120E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63E45"/>
    <w:multiLevelType w:val="hybridMultilevel"/>
    <w:tmpl w:val="2DC07F52"/>
    <w:lvl w:ilvl="0" w:tplc="0816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50982766"/>
    <w:multiLevelType w:val="hybridMultilevel"/>
    <w:tmpl w:val="14985F6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E5087"/>
    <w:multiLevelType w:val="hybridMultilevel"/>
    <w:tmpl w:val="3DBA5BE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562612B"/>
    <w:multiLevelType w:val="hybridMultilevel"/>
    <w:tmpl w:val="143EDDBC"/>
    <w:lvl w:ilvl="0" w:tplc="08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58BC7338"/>
    <w:multiLevelType w:val="hybridMultilevel"/>
    <w:tmpl w:val="19E6D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DE4135"/>
    <w:multiLevelType w:val="hybridMultilevel"/>
    <w:tmpl w:val="C22A445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433BE"/>
    <w:multiLevelType w:val="hybridMultilevel"/>
    <w:tmpl w:val="97ECA9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2B5BF1"/>
    <w:multiLevelType w:val="hybridMultilevel"/>
    <w:tmpl w:val="DE18BF1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77AE2B7C"/>
    <w:multiLevelType w:val="hybridMultilevel"/>
    <w:tmpl w:val="730ADA0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873B4"/>
    <w:multiLevelType w:val="hybridMultilevel"/>
    <w:tmpl w:val="C35C31CA"/>
    <w:lvl w:ilvl="0" w:tplc="8D4E6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571157"/>
    <w:multiLevelType w:val="hybridMultilevel"/>
    <w:tmpl w:val="E092036E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9"/>
  </w:num>
  <w:num w:numId="2">
    <w:abstractNumId w:val="20"/>
  </w:num>
  <w:num w:numId="3">
    <w:abstractNumId w:val="11"/>
  </w:num>
  <w:num w:numId="4">
    <w:abstractNumId w:val="5"/>
  </w:num>
  <w:num w:numId="5">
    <w:abstractNumId w:val="0"/>
  </w:num>
  <w:num w:numId="6">
    <w:abstractNumId w:val="15"/>
  </w:num>
  <w:num w:numId="7">
    <w:abstractNumId w:val="18"/>
  </w:num>
  <w:num w:numId="8">
    <w:abstractNumId w:val="6"/>
  </w:num>
  <w:num w:numId="9">
    <w:abstractNumId w:val="10"/>
  </w:num>
  <w:num w:numId="10">
    <w:abstractNumId w:val="3"/>
  </w:num>
  <w:num w:numId="11">
    <w:abstractNumId w:val="8"/>
  </w:num>
  <w:num w:numId="12">
    <w:abstractNumId w:val="9"/>
  </w:num>
  <w:num w:numId="13">
    <w:abstractNumId w:val="13"/>
  </w:num>
  <w:num w:numId="14">
    <w:abstractNumId w:val="1"/>
  </w:num>
  <w:num w:numId="15">
    <w:abstractNumId w:val="7"/>
  </w:num>
  <w:num w:numId="16">
    <w:abstractNumId w:val="14"/>
  </w:num>
  <w:num w:numId="17">
    <w:abstractNumId w:val="16"/>
  </w:num>
  <w:num w:numId="18">
    <w:abstractNumId w:val="12"/>
  </w:num>
  <w:num w:numId="19">
    <w:abstractNumId w:val="17"/>
  </w:num>
  <w:num w:numId="20">
    <w:abstractNumId w:val="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974"/>
    <w:rsid w:val="0001353D"/>
    <w:rsid w:val="0002526E"/>
    <w:rsid w:val="0002545F"/>
    <w:rsid w:val="000258ED"/>
    <w:rsid w:val="00036D44"/>
    <w:rsid w:val="000521FA"/>
    <w:rsid w:val="0005295A"/>
    <w:rsid w:val="00054D5A"/>
    <w:rsid w:val="00061405"/>
    <w:rsid w:val="00074322"/>
    <w:rsid w:val="00075611"/>
    <w:rsid w:val="00083203"/>
    <w:rsid w:val="00085E7A"/>
    <w:rsid w:val="000A0020"/>
    <w:rsid w:val="000A62B8"/>
    <w:rsid w:val="000B7F3A"/>
    <w:rsid w:val="000D7682"/>
    <w:rsid w:val="000F3F17"/>
    <w:rsid w:val="001051F1"/>
    <w:rsid w:val="001061D6"/>
    <w:rsid w:val="00114EB8"/>
    <w:rsid w:val="00121D79"/>
    <w:rsid w:val="00122951"/>
    <w:rsid w:val="00171B84"/>
    <w:rsid w:val="00173559"/>
    <w:rsid w:val="0018255A"/>
    <w:rsid w:val="00197483"/>
    <w:rsid w:val="001A11E6"/>
    <w:rsid w:val="001B0FD9"/>
    <w:rsid w:val="001C2BC9"/>
    <w:rsid w:val="001C6A64"/>
    <w:rsid w:val="001F6B87"/>
    <w:rsid w:val="001F78AB"/>
    <w:rsid w:val="00200D87"/>
    <w:rsid w:val="002111E0"/>
    <w:rsid w:val="00213244"/>
    <w:rsid w:val="002225E6"/>
    <w:rsid w:val="00223740"/>
    <w:rsid w:val="00270974"/>
    <w:rsid w:val="0029124C"/>
    <w:rsid w:val="002979A2"/>
    <w:rsid w:val="00297AF4"/>
    <w:rsid w:val="002A5F09"/>
    <w:rsid w:val="002A73C1"/>
    <w:rsid w:val="002B7F29"/>
    <w:rsid w:val="002E3221"/>
    <w:rsid w:val="002E32AF"/>
    <w:rsid w:val="002F7E59"/>
    <w:rsid w:val="0034765E"/>
    <w:rsid w:val="00360706"/>
    <w:rsid w:val="0039308B"/>
    <w:rsid w:val="00396CA6"/>
    <w:rsid w:val="0039784F"/>
    <w:rsid w:val="003A6DDA"/>
    <w:rsid w:val="003B7E28"/>
    <w:rsid w:val="003C2A8B"/>
    <w:rsid w:val="003C78C8"/>
    <w:rsid w:val="003E2169"/>
    <w:rsid w:val="003E7635"/>
    <w:rsid w:val="00401102"/>
    <w:rsid w:val="0041784E"/>
    <w:rsid w:val="00461F07"/>
    <w:rsid w:val="00474FAF"/>
    <w:rsid w:val="00482892"/>
    <w:rsid w:val="004A564A"/>
    <w:rsid w:val="004B4EF9"/>
    <w:rsid w:val="004B5AF7"/>
    <w:rsid w:val="004C0BED"/>
    <w:rsid w:val="004F0C27"/>
    <w:rsid w:val="004F1D87"/>
    <w:rsid w:val="0050434C"/>
    <w:rsid w:val="00505A86"/>
    <w:rsid w:val="00512285"/>
    <w:rsid w:val="005146B8"/>
    <w:rsid w:val="00521949"/>
    <w:rsid w:val="00521C85"/>
    <w:rsid w:val="00525670"/>
    <w:rsid w:val="00552E0C"/>
    <w:rsid w:val="005544FE"/>
    <w:rsid w:val="00563359"/>
    <w:rsid w:val="00563B5B"/>
    <w:rsid w:val="0056520C"/>
    <w:rsid w:val="0056525A"/>
    <w:rsid w:val="005655B0"/>
    <w:rsid w:val="00581AF4"/>
    <w:rsid w:val="005911C4"/>
    <w:rsid w:val="00596CDF"/>
    <w:rsid w:val="005A0E3E"/>
    <w:rsid w:val="005A4D71"/>
    <w:rsid w:val="005C42F1"/>
    <w:rsid w:val="005E3C3A"/>
    <w:rsid w:val="005E5169"/>
    <w:rsid w:val="00605B1C"/>
    <w:rsid w:val="0061656D"/>
    <w:rsid w:val="00625B99"/>
    <w:rsid w:val="0062722A"/>
    <w:rsid w:val="006315A3"/>
    <w:rsid w:val="00654F48"/>
    <w:rsid w:val="00673095"/>
    <w:rsid w:val="006917EC"/>
    <w:rsid w:val="006A2A33"/>
    <w:rsid w:val="006B61A6"/>
    <w:rsid w:val="006C5FD2"/>
    <w:rsid w:val="006D10E0"/>
    <w:rsid w:val="006D3248"/>
    <w:rsid w:val="006F49D7"/>
    <w:rsid w:val="007312B4"/>
    <w:rsid w:val="007441A0"/>
    <w:rsid w:val="007521C3"/>
    <w:rsid w:val="00763C20"/>
    <w:rsid w:val="00796FCA"/>
    <w:rsid w:val="007A703D"/>
    <w:rsid w:val="007A7F4B"/>
    <w:rsid w:val="007C27BE"/>
    <w:rsid w:val="007C3FE4"/>
    <w:rsid w:val="007D2435"/>
    <w:rsid w:val="007E7225"/>
    <w:rsid w:val="00800673"/>
    <w:rsid w:val="008108AF"/>
    <w:rsid w:val="00814637"/>
    <w:rsid w:val="00817E32"/>
    <w:rsid w:val="008222E3"/>
    <w:rsid w:val="008302F3"/>
    <w:rsid w:val="00843051"/>
    <w:rsid w:val="00845AFC"/>
    <w:rsid w:val="0085523B"/>
    <w:rsid w:val="008644D5"/>
    <w:rsid w:val="00866C2E"/>
    <w:rsid w:val="00887C02"/>
    <w:rsid w:val="0089499A"/>
    <w:rsid w:val="008979E6"/>
    <w:rsid w:val="008B0C24"/>
    <w:rsid w:val="008B7E31"/>
    <w:rsid w:val="008C497A"/>
    <w:rsid w:val="008D4B55"/>
    <w:rsid w:val="008D4BCF"/>
    <w:rsid w:val="008D5329"/>
    <w:rsid w:val="008E0CC8"/>
    <w:rsid w:val="008F53C0"/>
    <w:rsid w:val="008F606F"/>
    <w:rsid w:val="00900AA8"/>
    <w:rsid w:val="009147CE"/>
    <w:rsid w:val="00915266"/>
    <w:rsid w:val="00922C21"/>
    <w:rsid w:val="00924E45"/>
    <w:rsid w:val="00926E13"/>
    <w:rsid w:val="00936276"/>
    <w:rsid w:val="009509A7"/>
    <w:rsid w:val="0095201F"/>
    <w:rsid w:val="00967437"/>
    <w:rsid w:val="00971FF6"/>
    <w:rsid w:val="0099232C"/>
    <w:rsid w:val="009C1643"/>
    <w:rsid w:val="009C285A"/>
    <w:rsid w:val="009C6C28"/>
    <w:rsid w:val="00A0168E"/>
    <w:rsid w:val="00A214C9"/>
    <w:rsid w:val="00A32478"/>
    <w:rsid w:val="00A55747"/>
    <w:rsid w:val="00A7127B"/>
    <w:rsid w:val="00A71716"/>
    <w:rsid w:val="00A72DD5"/>
    <w:rsid w:val="00A76991"/>
    <w:rsid w:val="00A90B5A"/>
    <w:rsid w:val="00A929FE"/>
    <w:rsid w:val="00AB1DE9"/>
    <w:rsid w:val="00AB7522"/>
    <w:rsid w:val="00AC1012"/>
    <w:rsid w:val="00AD08FC"/>
    <w:rsid w:val="00AD3227"/>
    <w:rsid w:val="00AD7246"/>
    <w:rsid w:val="00AF109A"/>
    <w:rsid w:val="00AF4C08"/>
    <w:rsid w:val="00B26793"/>
    <w:rsid w:val="00B75E04"/>
    <w:rsid w:val="00B80939"/>
    <w:rsid w:val="00B80F6E"/>
    <w:rsid w:val="00B81E38"/>
    <w:rsid w:val="00B90CAF"/>
    <w:rsid w:val="00B934D3"/>
    <w:rsid w:val="00BA41EA"/>
    <w:rsid w:val="00BA54A2"/>
    <w:rsid w:val="00BB0BF3"/>
    <w:rsid w:val="00BB35F9"/>
    <w:rsid w:val="00BB7A10"/>
    <w:rsid w:val="00BC7938"/>
    <w:rsid w:val="00BF3281"/>
    <w:rsid w:val="00C122A7"/>
    <w:rsid w:val="00C142D6"/>
    <w:rsid w:val="00C371CD"/>
    <w:rsid w:val="00C7619B"/>
    <w:rsid w:val="00C83708"/>
    <w:rsid w:val="00CA55F9"/>
    <w:rsid w:val="00CB493E"/>
    <w:rsid w:val="00CE0BEC"/>
    <w:rsid w:val="00CE222B"/>
    <w:rsid w:val="00CE400B"/>
    <w:rsid w:val="00CF5B63"/>
    <w:rsid w:val="00D0680B"/>
    <w:rsid w:val="00D1599B"/>
    <w:rsid w:val="00D15B82"/>
    <w:rsid w:val="00D16333"/>
    <w:rsid w:val="00D314AD"/>
    <w:rsid w:val="00D61E27"/>
    <w:rsid w:val="00D674A0"/>
    <w:rsid w:val="00D73D4C"/>
    <w:rsid w:val="00D92CE1"/>
    <w:rsid w:val="00D97D29"/>
    <w:rsid w:val="00DB0F30"/>
    <w:rsid w:val="00DB45DC"/>
    <w:rsid w:val="00DC0997"/>
    <w:rsid w:val="00DC383F"/>
    <w:rsid w:val="00DF457F"/>
    <w:rsid w:val="00E13CB6"/>
    <w:rsid w:val="00E2066D"/>
    <w:rsid w:val="00E24B6D"/>
    <w:rsid w:val="00E25B33"/>
    <w:rsid w:val="00E51BE0"/>
    <w:rsid w:val="00E5462C"/>
    <w:rsid w:val="00E626B7"/>
    <w:rsid w:val="00E64AB8"/>
    <w:rsid w:val="00E64BCD"/>
    <w:rsid w:val="00E65C92"/>
    <w:rsid w:val="00E65DA3"/>
    <w:rsid w:val="00E76ACB"/>
    <w:rsid w:val="00E86515"/>
    <w:rsid w:val="00E90861"/>
    <w:rsid w:val="00E948E5"/>
    <w:rsid w:val="00EA13A2"/>
    <w:rsid w:val="00EA6588"/>
    <w:rsid w:val="00EB2F40"/>
    <w:rsid w:val="00EB536C"/>
    <w:rsid w:val="00EB6931"/>
    <w:rsid w:val="00EC7C2C"/>
    <w:rsid w:val="00ED02A4"/>
    <w:rsid w:val="00EE0654"/>
    <w:rsid w:val="00EE2689"/>
    <w:rsid w:val="00EF223D"/>
    <w:rsid w:val="00F03A1A"/>
    <w:rsid w:val="00F0557F"/>
    <w:rsid w:val="00F05FFB"/>
    <w:rsid w:val="00F138FE"/>
    <w:rsid w:val="00F13C3D"/>
    <w:rsid w:val="00F148DF"/>
    <w:rsid w:val="00F3766E"/>
    <w:rsid w:val="00F416EE"/>
    <w:rsid w:val="00F42C76"/>
    <w:rsid w:val="00F5498C"/>
    <w:rsid w:val="00F722D6"/>
    <w:rsid w:val="00F81BD7"/>
    <w:rsid w:val="00FA743D"/>
    <w:rsid w:val="00FE5478"/>
    <w:rsid w:val="00FF5042"/>
    <w:rsid w:val="00FF7A1F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CA309-BDCC-43CA-A14A-86CA2BCD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9124C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416EE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5B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5B99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625B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5B99"/>
    <w:rPr>
      <w:lang w:val="pt-BR"/>
    </w:rPr>
  </w:style>
  <w:style w:type="paragraph" w:styleId="PargrafodaLista">
    <w:name w:val="List Paragraph"/>
    <w:basedOn w:val="Normal"/>
    <w:uiPriority w:val="34"/>
    <w:qFormat/>
    <w:rsid w:val="00605B1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9124C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124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29124C"/>
    <w:rPr>
      <w:rFonts w:ascii="Times New Roman" w:eastAsiaTheme="majorEastAsia" w:hAnsi="Times New Roman" w:cstheme="majorBidi"/>
      <w:b/>
      <w:sz w:val="32"/>
      <w:szCs w:val="32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29124C"/>
    <w:pPr>
      <w:outlineLvl w:val="9"/>
    </w:pPr>
    <w:rPr>
      <w:lang w:val="pt-PT"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29124C"/>
    <w:pPr>
      <w:spacing w:after="100"/>
    </w:pPr>
  </w:style>
  <w:style w:type="character" w:styleId="Hyperlink">
    <w:name w:val="Hyperlink"/>
    <w:basedOn w:val="Fontepargpadro"/>
    <w:uiPriority w:val="99"/>
    <w:unhideWhenUsed/>
    <w:rsid w:val="0029124C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563B5B"/>
    <w:pPr>
      <w:spacing w:after="0" w:line="360" w:lineRule="auto"/>
      <w:ind w:firstLine="1418"/>
      <w:jc w:val="both"/>
    </w:pPr>
    <w:rPr>
      <w:rFonts w:ascii="Times New Roman" w:hAnsi="Times New Roman"/>
      <w:sz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F416EE"/>
    <w:rPr>
      <w:rFonts w:ascii="Times New Roman" w:eastAsiaTheme="majorEastAsia" w:hAnsi="Times New Roman" w:cstheme="majorBidi"/>
      <w:b/>
      <w:color w:val="000000" w:themeColor="text1"/>
      <w:sz w:val="26"/>
      <w:szCs w:val="26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521949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A71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6D10E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E8E41-B1E3-4FCA-8DCC-DCF995635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1810</Words>
  <Characters>9775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Aniceto_Jolela</dc:creator>
  <cp:keywords/>
  <dc:description/>
  <cp:lastModifiedBy>Aniceto_Jolela</cp:lastModifiedBy>
  <cp:revision>223</cp:revision>
  <cp:lastPrinted>2022-12-26T00:17:00Z</cp:lastPrinted>
  <dcterms:created xsi:type="dcterms:W3CDTF">2022-12-06T10:02:00Z</dcterms:created>
  <dcterms:modified xsi:type="dcterms:W3CDTF">2022-12-26T00:17:00Z</dcterms:modified>
</cp:coreProperties>
</file>