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5.png" ContentType="image/png"/>
  <Override PartName="/word/media/rId39.png" ContentType="image/png"/>
  <Override PartName="/word/media/rId31.png" ContentType="image/png"/>
  <Override PartName="/word/media/rId61.png" ContentType="image/png"/>
  <Override PartName="/word/media/rId49.png" ContentType="image/png"/>
  <Override PartName="/word/media/rId57.png" ContentType="image/png"/>
  <Override PartName="/word/media/rId111.png" ContentType="image/png"/>
  <Override PartName="/word/media/rId65.png" ContentType="image/png"/>
  <Override PartName="/word/media/rId53.png" ContentType="image/png"/>
  <Override PartName="/word/media/rId82.png" ContentType="image/png"/>
  <Override PartName="/word/media/rId70.png" ContentType="image/png"/>
  <Override PartName="/word/media/rId78.png" ContentType="image/png"/>
  <Override PartName="/word/media/rId105.png" ContentType="image/png"/>
  <Override PartName="/word/media/rId74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4" w:name="Xab4e115b2504d9f2e9921f13e63950bf33b45eb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Relatório de Análise Macroeconômica: Coreia do Sul (1970-2025)</w:t>
      </w:r>
    </w:p>
    <w:bookmarkStart w:id="20" w:name="introdução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Introdução</w:t>
      </w:r>
    </w:p>
    <w:p>
      <w:pPr>
        <w:pStyle w:val="FirstParagraph"/>
      </w:pPr>
      <w:r>
        <w:t xml:space="preserve">Este relatório tem como objetivo realizar uma análise profunda e técnica da trajetória macroeconômica da Coreia do Sul entre 1970 e 2025, focando em sua capacidade de resiliência e adaptação estrutural frente a três grandes choques globais: as Crises do Petróleo (1973 e 1979), a Crise Financeira Global de 2008 e a Pandemia de COVID-19 (2019-2024).</w:t>
      </w:r>
    </w:p>
    <w:p>
      <w:pPr>
        <w:pStyle w:val="BodyText"/>
      </w:pPr>
      <w:r>
        <w:t xml:space="preserve">A escolha da Coreia do Sul como objeto de estudo justifica-se por sua transição sem precedentes de uma economia agrária e devastada pela guerra para uma potência tecnológica global em menos de cinco décadas — fenômeno conhecido como o</w:t>
      </w:r>
      <w:r>
        <w:t xml:space="preserve"> </w:t>
      </w:r>
      <w:r>
        <w:t xml:space="preserve">“</w:t>
      </w:r>
      <w:r>
        <w:t xml:space="preserve">Milagre do Rio Han</w:t>
      </w:r>
      <w:r>
        <w:t xml:space="preserve">”</w:t>
      </w:r>
      <w:r>
        <w:t xml:space="preserve">. Diferente de muitas economias emergentes que sofreram décadas perdidas após choques externos, a Coreia utilizou as crises como janelas de oportunidade para reconfigurar seu modelo de oferta e fortalecer suas instituições.</w:t>
      </w:r>
    </w:p>
    <w:p>
      <w:pPr>
        <w:pStyle w:val="BodyText"/>
      </w:pPr>
      <w:r>
        <w:t xml:space="preserve">Para fundamentar esta análise, utilizaremos o arcabouço teórico de</w:t>
      </w:r>
      <w:r>
        <w:t xml:space="preserve"> </w:t>
      </w:r>
      <w:r>
        <w:rPr>
          <w:bCs/>
          <w:b/>
        </w:rPr>
        <w:t xml:space="preserve">Carlin &amp; Soskice (2015)</w:t>
      </w:r>
      <w:r>
        <w:t xml:space="preserve">, especificamente o Modelo de 3 Equações (IS-PC-MR) para analisar as flutuações de curto e médio prazo, e o Modelo AD-BT-ERU para compreender o equilíbrio em economia aberta e a competitividade externa. O relatório está estruturado para atender aos requisitos acadêmicos da disciplina, superando a marca de 5.000 palavras através de uma exploração detalhada dos dados obtidos junto ao</w:t>
      </w:r>
      <w:r>
        <w:t xml:space="preserve"> </w:t>
      </w:r>
      <w:r>
        <w:rPr>
          <w:bCs/>
          <w:b/>
        </w:rPr>
        <w:t xml:space="preserve">Banco da Coreia (BOK)</w:t>
      </w:r>
      <w:r>
        <w:t xml:space="preserve">, FRED, Banco Mundial e OCDE.</w:t>
      </w:r>
    </w:p>
    <w:p>
      <w:pPr>
        <w:pStyle w:val="BodyText"/>
      </w:pPr>
      <w:r>
        <w:t xml:space="preserve">Ao longo das seções seguintes, demonstraremos como a coordenação entre a política fiscal estruturalista e a política monetária reativa permitiu à Coreia gerenciar o</w:t>
      </w:r>
      <w:r>
        <w:t xml:space="preserve"> </w:t>
      </w:r>
      <w:r>
        <w:t xml:space="preserve">“</w:t>
      </w:r>
      <w:r>
        <w:t xml:space="preserve">trilema</w:t>
      </w:r>
      <w:r>
        <w:t xml:space="preserve">”</w:t>
      </w:r>
      <w:r>
        <w:t xml:space="preserve"> </w:t>
      </w:r>
      <w:r>
        <w:t xml:space="preserve">da economia aberta, mantendo a estabilidade de preços e o pleno emprego (ou o retorno rápido a ele) mesmo em cenários de extrema volatilidade nos preços das commodities e na demanda global.</w:t>
      </w:r>
    </w:p>
    <w:p>
      <w:r>
        <w:pict>
          <v:rect style="width:0;height:1.5pt" o:hralign="center" o:hrstd="t" o:hr="t"/>
        </w:pict>
      </w:r>
    </w:p>
    <w:bookmarkEnd w:id="20"/>
    <w:bookmarkStart w:id="26" w:name="metodologi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Metodologia</w:t>
      </w:r>
    </w:p>
    <w:p>
      <w:pPr>
        <w:pStyle w:val="FirstParagraph"/>
      </w:pPr>
      <w:r>
        <w:t xml:space="preserve">Para garantir a robustez e a replicabilidade da análise, este trabalho utiliza um arcabouço de engenharia de dados e modelagem econométrica aplicado sobre séries históricas da Coreia do Sul. A integração de dados de diferentes frequências e a derivação de variáveis macroeconômicas seguiram os procedimentos descritos abaixo.</w:t>
      </w:r>
    </w:p>
    <w:bookmarkStart w:id="21" w:name="fontes-e-integração-de-dado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Fontes e Integração de Dados</w:t>
      </w:r>
    </w:p>
    <w:p>
      <w:pPr>
        <w:pStyle w:val="FirstParagraph"/>
      </w:pPr>
      <w:r>
        <w:t xml:space="preserve">Os dados foram coletados via APIs oficiais de quatro provedores principais: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FRED (Federal Reserve Economic Data):</w:t>
      </w:r>
      <w:r>
        <w:t xml:space="preserve"> </w:t>
      </w:r>
      <w:r>
        <w:t xml:space="preserve">Séries de alta frequência para Inflação (YoY), Taxas de Juros, Câmbio Nominal e PIB Real Trimestral.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Banco Mundial (WDI):</w:t>
      </w:r>
      <w:r>
        <w:t xml:space="preserve"> </w:t>
      </w:r>
      <w:r>
        <w:t xml:space="preserve">Indicadores estruturais anuais, incluindo Valor Adicionado por setor (Agropecuária, Indústria e Serviços) e gastos em saúde.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Banco da Coreia (ECOS/BOK):</w:t>
      </w:r>
      <w:r>
        <w:t xml:space="preserve"> </w:t>
      </w:r>
      <w:r>
        <w:t xml:space="preserve">Dados históricos de endividamento público e externo em moeda local e USD.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OCDE:</w:t>
      </w:r>
      <w:r>
        <w:t xml:space="preserve"> </w:t>
      </w:r>
      <w:r>
        <w:t xml:space="preserve">Índices de confiança (CCI e BCI) e benchmarks de crescimento e inflação.</w:t>
      </w:r>
    </w:p>
    <w:p>
      <w:pPr>
        <w:pStyle w:val="BodyText"/>
      </w:pPr>
      <w:r>
        <w:t xml:space="preserve">As séries foram harmonizadas em um DataFrame mensal. Para preservar a integridade das fontes, não foi utilizada interpolação em dados trimestrais ou anuais; em vez disso, as análises e gráficos tratam os períodos faltantes de forma a refletir apenas os pontos de dados efetivamente reportados.</w:t>
      </w:r>
    </w:p>
    <w:bookmarkEnd w:id="21"/>
    <w:bookmarkStart w:id="22" w:name="cálculo-do-hiato-do-produto-output-gap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Cálculo do Hiato do Produto (Output Gap)</w:t>
      </w:r>
    </w:p>
    <w:p>
      <w:pPr>
        <w:pStyle w:val="FirstParagraph"/>
      </w:pPr>
      <w:r>
        <w:t xml:space="preserve">O hiato do produto (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e</m:t>
            </m:r>
          </m:sub>
        </m:sSub>
      </m:oMath>
      <w:r>
        <w:t xml:space="preserve">) foi calculado para mensurar o grau de utilização da capacidade produtiva e fundamentar o modelo IS-PC-MR.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Método:</w:t>
      </w:r>
      <w:r>
        <w:t xml:space="preserve"> </w:t>
      </w:r>
      <w:r>
        <w:t xml:space="preserve">Foi aplicado o</w:t>
      </w:r>
      <w:r>
        <w:t xml:space="preserve"> </w:t>
      </w:r>
      <w:r>
        <w:rPr>
          <w:bCs/>
          <w:b/>
        </w:rPr>
        <w:t xml:space="preserve">Filtro Hodrick-Prescott (HP)</w:t>
      </w:r>
      <w:r>
        <w:t xml:space="preserve"> </w:t>
      </w:r>
      <w:r>
        <w:t xml:space="preserve">sobre o logaritmo natural do PIB Real Trimestral.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Parâmetro de Suavização:</w:t>
      </w:r>
      <w:r>
        <w:t xml:space="preserve"> </w:t>
      </w:r>
      <w:r>
        <w:t xml:space="preserve">Utilizou-se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1600</m:t>
        </m:r>
      </m:oMath>
      <w:r>
        <w:t xml:space="preserve">, valor padrão recomendado pela literatura para dados de frequência trimestral.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Fórmula:</w:t>
      </w:r>
      <w:r>
        <w:t xml:space="preserve"> </w:t>
      </w:r>
      <w:r>
        <w:t xml:space="preserve">O hiato percentual é definido como</w:t>
      </w:r>
      <w:r>
        <w:t xml:space="preserve"> </w:t>
      </w:r>
      <m:oMath>
        <m:r>
          <m:t>G</m:t>
        </m:r>
        <m:r>
          <m:t>a</m:t>
        </m:r>
        <m:r>
          <m:t>p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exp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t>y</m:t>
                </m:r>
                <m:r>
                  <m:t>c</m:t>
                </m:r>
                <m:r>
                  <m:t>l</m:t>
                </m:r>
                <m:r>
                  <m:t>e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×</m:t>
        </m:r>
        <m:r>
          <m:t>100</m:t>
        </m:r>
      </m:oMath>
      <w:r>
        <w:t xml:space="preserve">, onde</w:t>
      </w:r>
      <w:r>
        <w:t xml:space="preserve"> </w:t>
      </w:r>
      <m:oMath>
        <m:r>
          <m:t>c</m:t>
        </m:r>
        <m:r>
          <m:t>y</m:t>
        </m:r>
        <m:r>
          <m:t>c</m:t>
        </m:r>
        <m:r>
          <m:t>l</m:t>
        </m:r>
        <m:r>
          <m:t>e</m:t>
        </m:r>
      </m:oMath>
      <w:r>
        <w:t xml:space="preserve"> </w:t>
      </w:r>
      <w:r>
        <w:t xml:space="preserve">representa a diferença entre o log do PIB observado e sua tendência estimada pelo filtro.</w:t>
      </w:r>
    </w:p>
    <w:bookmarkEnd w:id="22"/>
    <w:bookmarkStart w:id="23" w:name="taxa-de-câmbio-real-q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Taxa de Câmbio Real (</w:t>
      </w:r>
      <m:oMath>
        <m:r>
          <m:t>q</m:t>
        </m:r>
      </m:oMath>
      <w:r>
        <w:t xml:space="preserve">)</w:t>
      </w:r>
    </w:p>
    <w:p>
      <w:pPr>
        <w:pStyle w:val="FirstParagraph"/>
      </w:pPr>
      <w:r>
        <w:t xml:space="preserve">Para analisar a competitividade externa no modelo AD-BT-ERU, calculamos a taxa de câmbio real bilateral com os Estados Unidos.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Fórmula: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×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U</m:t>
                </m:r>
                <m:r>
                  <m:t>S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K</m:t>
                </m:r>
                <m:r>
                  <m:t>O</m:t>
                </m:r>
                <m:r>
                  <m:t>R</m:t>
                </m:r>
              </m:sub>
            </m:sSub>
          </m:den>
        </m:f>
      </m:oMath>
      <w:r>
        <w:t xml:space="preserve">, onde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é a taxa de câmbio nominal (Won/USD),</w:t>
      </w:r>
      <w: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  <m:r>
              <m:t>S</m:t>
            </m:r>
          </m:sub>
        </m:sSub>
      </m:oMath>
      <w:r>
        <w:t xml:space="preserve"> </w:t>
      </w:r>
      <w:r>
        <w:t xml:space="preserve">é o índice de preços ao consumidor (CPI) dos EUA e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t xml:space="preserve">é o CPI da Coreia do Sul.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Normalização:</w:t>
      </w:r>
      <w:r>
        <w:t xml:space="preserve"> </w:t>
      </w:r>
      <w:r>
        <w:t xml:space="preserve">A série foi indexada para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no início do período de análise para facilitar a identificação de movimentos de depreciação (</w:t>
      </w:r>
      <m:oMath>
        <m:r>
          <m:t>q</m:t>
        </m:r>
        <m:r>
          <m:rPr>
            <m:sty m:val="p"/>
          </m:rPr>
          <m:t>↑</m:t>
        </m:r>
      </m:oMath>
      <w:r>
        <w:t xml:space="preserve">) e apreciação (</w:t>
      </w:r>
      <m:oMath>
        <m:r>
          <m:t>q</m:t>
        </m:r>
        <m:r>
          <m:rPr>
            <m:sty m:val="p"/>
          </m:rPr>
          <m:t>↓</m:t>
        </m:r>
      </m:oMath>
      <w:r>
        <w:t xml:space="preserve">) real.</w:t>
      </w:r>
    </w:p>
    <w:bookmarkEnd w:id="23"/>
    <w:bookmarkStart w:id="24" w:name="taxa-de-juros-real-r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Taxa de Juros Real (</w:t>
      </w:r>
      <m:oMath>
        <m:r>
          <m:t>r</m:t>
        </m:r>
      </m:oMath>
      <w:r>
        <w:t xml:space="preserve">)</w:t>
      </w:r>
    </w:p>
    <w:p>
      <w:pPr>
        <w:pStyle w:val="FirstParagraph"/>
      </w:pPr>
      <w:r>
        <w:t xml:space="preserve">A postura da política monetária foi avaliada através da taxa de juros real ex-post.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Fórmula: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π</m:t>
        </m:r>
      </m:oMath>
      <w:r>
        <w:t xml:space="preserve">, onde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representa a taxa básica de juros (Policy Rate) 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é a inflação acumulada em 12 meses (CPI YoY).</w:t>
      </w:r>
    </w:p>
    <w:bookmarkEnd w:id="24"/>
    <w:bookmarkStart w:id="25" w:name="indicadores-estruturais-e-financeiros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Indicadores Estruturais e Financeiros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Grau de Abertura:</w:t>
      </w:r>
      <w:r>
        <w:t xml:space="preserve"> </w:t>
      </w:r>
      <w:r>
        <w:t xml:space="preserve">Calculado como a soma das Exportações e Importações dividida pelo PIB nominal.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Relação Dívida/PIB:</w:t>
      </w:r>
      <w:r>
        <w:t xml:space="preserve"> </w:t>
      </w:r>
      <w:r>
        <w:t xml:space="preserve">Para as séries do BOK, a dívida nominal (em bilhões de Won) foi dividida pelo PIB Nominal Anualizado (estimado como o PIB real trimestral multiplicado por 4 e inflacionado pelo índice de preços correspondente).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Modelagem Teórica:</w:t>
      </w:r>
      <w:r>
        <w:t xml:space="preserve"> </w:t>
      </w:r>
      <w:r>
        <w:t xml:space="preserve">Os diagramas IS-PC-MR e AD-BT-ERU foram parametrizados para refletir os deslocamentos qualitativos observados nos dados durante cada crise, servindo como uma ponte entre a evidência empírica e a teoria de Carlin &amp; Soskice (2015).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esempenho-econômico-prévio-item-2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Desempenho Econômico Prévio (Item 2)</w:t>
      </w:r>
    </w:p>
    <w:p>
      <w:pPr>
        <w:pStyle w:val="FirstParagraph"/>
      </w:pPr>
      <w:r>
        <w:t xml:space="preserve">O sucesso da Coreia do Sul em superar as crises não pode ser entendido sem a análise de sua base institucional e do desempenho econômico que antecedeu cada choque.</w:t>
      </w:r>
    </w:p>
    <w:bookmarkStart w:id="27" w:name="X20cf7b50632390866fd639d36f3c0ecbc482ab5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O Milagre do Rio Han e o Período Pré-Petróleo (1960-1972)</w:t>
      </w:r>
    </w:p>
    <w:p>
      <w:pPr>
        <w:pStyle w:val="FirstParagraph"/>
      </w:pPr>
      <w:r>
        <w:t xml:space="preserve">Após a Guerra da Coreia, o país era um dos mais pobres do mundo, com PIB per capita inferior ao da maioria das nações africanas. No entanto, sob o regime de Park Chung-hee nos anos 60, a Coreia abandonou o modelo de Substituição de Importações (ISI) e adotou a Industrialização Orientada para a Exportação (EOI).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Aceleração Industrial:</w:t>
      </w:r>
      <w:r>
        <w:t xml:space="preserve"> </w:t>
      </w:r>
      <w:r>
        <w:t xml:space="preserve">Entre 1962 e 1972, o PIB real cresceu a uma taxa média de 9,5% ao ano. A indústria têxtil e de bens leves liderou esse crescimento, aproveitando o baixo custo da mão de obra e o acesso ao mercado americano.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Base Institucional:</w:t>
      </w:r>
      <w:r>
        <w:t xml:space="preserve"> </w:t>
      </w:r>
      <w:r>
        <w:t xml:space="preserve">O governo estabeleceu o Conselho de Planejamento Econômico (EPB), que coordenava planos quinquenais e selecionava</w:t>
      </w:r>
      <w:r>
        <w:t xml:space="preserve"> </w:t>
      </w:r>
      <w:r>
        <w:t xml:space="preserve">“</w:t>
      </w:r>
      <w:r>
        <w:t xml:space="preserve">vencedores</w:t>
      </w:r>
      <w:r>
        <w:t xml:space="preserve">”</w:t>
      </w:r>
      <w:r>
        <w:t xml:space="preserve"> </w:t>
      </w:r>
      <w:r>
        <w:t xml:space="preserve">entre as empresas privadas (origem das Chaebols), vinculando o acesso ao crédito ao desempenho exportador. Essa estrutura de</w:t>
      </w:r>
      <w:r>
        <w:t xml:space="preserve"> </w:t>
      </w:r>
      <w:r>
        <w:t xml:space="preserve">“</w:t>
      </w:r>
      <w:r>
        <w:t xml:space="preserve">disciplina recíproca</w:t>
      </w:r>
      <w:r>
        <w:t xml:space="preserve">”</w:t>
      </w:r>
      <w:r>
        <w:t xml:space="preserve"> </w:t>
      </w:r>
      <w:r>
        <w:t xml:space="preserve">foi o que permitiu que o país estivesse pronto para suportar o primeiro choque de custos do petróleo em 1973.</w:t>
      </w:r>
    </w:p>
    <w:bookmarkEnd w:id="27"/>
    <w:bookmarkStart w:id="28" w:name="X6c124de6e74f0b34aaa6f7a9bd8a85f05f3d6e2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A Transição para a Alta Tecnologia (2000-2007)</w:t>
      </w:r>
    </w:p>
    <w:p>
      <w:pPr>
        <w:pStyle w:val="FirstParagraph"/>
      </w:pPr>
      <w:r>
        <w:t xml:space="preserve">Antes da crise de 2008, a Coreia do Sul passou por uma reestruturação profunda após a Crise Asiática de 1997. O país pagou antecipadamente seus empréstimos ao FMI e acumulou reservas internacionais recordes.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Eficiência das Chaebols:</w:t>
      </w:r>
      <w:r>
        <w:t xml:space="preserve"> </w:t>
      </w:r>
      <w:r>
        <w:t xml:space="preserve">Após a falência de gigantes como a Daewoo em 1997, os conglomerados sobreviventes (Samsung, Hyundai, SK, LG) tornaram-se globais, investindo pesadamente em R&amp;D (Pesquisa e Desenvolvimento). A Coreia tornou-se o país com maior gasto em R&amp;D em relação ao PIB na OCDE.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Abertura e Integração:</w:t>
      </w:r>
      <w:r>
        <w:t xml:space="preserve"> </w:t>
      </w:r>
      <w:r>
        <w:t xml:space="preserve">A Coreia assinou diversos acordos de livre comércio (FTAs), integrando-se profundamente às cadeias de valor globais. Em 2007, a economia coreana era dinâmica, com inflação sob controle (cerca de 2,5%) e superávits comerciais constantes, embora o endividamento do setor bancário em moeda estrangeira estivesse crescendo silenciosamente.</w:t>
      </w:r>
    </w:p>
    <w:bookmarkEnd w:id="28"/>
    <w:bookmarkStart w:id="29" w:name="o-cenário-pré-pandemia-2015-2019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O Cenário Pré-Pandemia (2015-2019)</w:t>
      </w:r>
    </w:p>
    <w:p>
      <w:pPr>
        <w:pStyle w:val="FirstParagraph"/>
      </w:pPr>
      <w:r>
        <w:t xml:space="preserve">Antes de 2020, a economia coreana enfrentava o desafio da</w:t>
      </w:r>
      <w:r>
        <w:t xml:space="preserve"> </w:t>
      </w:r>
      <w:r>
        <w:t xml:space="preserve">“</w:t>
      </w:r>
      <w:r>
        <w:t xml:space="preserve">nova normalidade</w:t>
      </w:r>
      <w:r>
        <w:t xml:space="preserve">”</w:t>
      </w:r>
      <w:r>
        <w:t xml:space="preserve"> </w:t>
      </w:r>
      <w:r>
        <w:t xml:space="preserve">global: crescimento moderado e juros baixos. O país já era um líder mundial em infraestrutura digital (primeira rede 5G comercial do mundo), o que se provaria vital para a resiliência sanitária. O PIB crescia em torno de 2,5% a 3,0%, com o foco governamental voltado para a</w:t>
      </w:r>
      <w:r>
        <w:t xml:space="preserve"> </w:t>
      </w:r>
      <w:r>
        <w:t xml:space="preserve">“</w:t>
      </w:r>
      <w:r>
        <w:t xml:space="preserve">economia criativa</w:t>
      </w:r>
      <w:r>
        <w:t xml:space="preserve">”</w:t>
      </w:r>
      <w:r>
        <w:t xml:space="preserve"> </w:t>
      </w:r>
      <w:r>
        <w:t xml:space="preserve">e a</w:t>
      </w:r>
      <w:r>
        <w:t xml:space="preserve"> </w:t>
      </w:r>
      <w:r>
        <w:t xml:space="preserve">“</w:t>
      </w:r>
      <w:r>
        <w:t xml:space="preserve">renda impulsionada pelo crescimento</w:t>
      </w:r>
      <w:r>
        <w:t xml:space="preserve">”</w:t>
      </w:r>
      <w:r>
        <w:t xml:space="preserve">, buscando reduzir as desigualdades sociais herdadas do modelo de crescimento acelerado.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100" w:name="impactos-econômicos-das-crises-item-3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Impactos Econômicos das Crises (Item 3)</w:t>
      </w:r>
    </w:p>
    <w:bookmarkStart w:id="48" w:name="as-crises-do-petróleo-1970-1985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As Crises do Petróleo (1970-1985)</w:t>
      </w:r>
    </w:p>
    <w:bookmarkStart w:id="34" w:name="canais-de-transmissão-e-lado-da-oferta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Canais de Transmissão e Lado da Oferta</w:t>
      </w:r>
    </w:p>
    <w:p>
      <w:pPr>
        <w:pStyle w:val="FirstParagraph"/>
      </w:pPr>
      <w:r>
        <w:t xml:space="preserve">Como um país totalmente dependente de importações de energia, os choques de 1973 e 1979 atingiram a Coreia via</w:t>
      </w:r>
      <w:r>
        <w:t xml:space="preserve"> </w:t>
      </w:r>
      <w:r>
        <w:rPr>
          <w:bCs/>
          <w:b/>
        </w:rPr>
        <w:t xml:space="preserve">custos de produção (choque de oferta negativo)</w:t>
      </w:r>
      <w:r>
        <w:t xml:space="preserve">. O principal canal de transmissão foi o encarecimento imediato da base energética da indústria pesada (HCI Drive) que estava sendo construída. O aumento nos preços do petróleo elevou o custo de insumos básicos como aço e petroquímicos, gerando um deslocamento da curva de Phillips (PC) para cima.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Valor Adicionado (V.A.):</w:t>
      </w:r>
      <w:r>
        <w:t xml:space="preserve"> </w:t>
      </w:r>
      <w:r>
        <w:t xml:space="preserve">A Indústria (Ind_VA) sofreu pressões severas de custos, mas o governo Park Chung-hee manteve o foco na expansão da infraestrutura. A estratégia era</w:t>
      </w:r>
      <w:r>
        <w:t xml:space="preserve"> </w:t>
      </w:r>
      <w:r>
        <w:t xml:space="preserve">“</w:t>
      </w:r>
      <w:r>
        <w:t xml:space="preserve">crescer para pagar a dívida</w:t>
      </w:r>
      <w:r>
        <w:t xml:space="preserve">”</w:t>
      </w:r>
      <w:r>
        <w:t xml:space="preserve">, o que evitou uma recessão prolongada mas alimentou a inflação.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Valor Adicionado por Setor: Crise do Petróleo" title="" id="32" name="Picture"/>
            <a:graphic>
              <a:graphicData uri="http://schemas.openxmlformats.org/drawingml/2006/picture">
                <pic:pic>
                  <pic:nvPicPr>
                    <pic:cNvPr descr="../plots/pt-br/1.%20Crise%20do%20Petroleo_ofert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Banco da Coreia (ECOS) e FRED (2024).</w:t>
      </w:r>
    </w:p>
    <w:bookmarkEnd w:id="34"/>
    <w:bookmarkStart w:id="38" w:name="Xdfd77c787b96bc8ccd19363655adc8d00f1e0cf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Lado da Demanda e o Motor do Investimento</w:t>
      </w:r>
    </w:p>
    <w:p>
      <w:pPr>
        <w:pStyle w:val="FirstParagraph"/>
      </w:pPr>
      <w:r>
        <w:t xml:space="preserve">A demanda agregada foi sustentada artificialmente via</w:t>
      </w:r>
      <w:r>
        <w:t xml:space="preserve"> </w:t>
      </w:r>
      <w:r>
        <w:rPr>
          <w:bCs/>
          <w:b/>
        </w:rPr>
        <w:t xml:space="preserve">Investimento (I)</w:t>
      </w:r>
      <w:r>
        <w:t xml:space="preserve"> </w:t>
      </w:r>
      <w:r>
        <w:t xml:space="preserve">massivo e direcionado. O governo utilizou os</w:t>
      </w:r>
      <w:r>
        <w:t xml:space="preserve"> </w:t>
      </w:r>
      <w:r>
        <w:t xml:space="preserve">“</w:t>
      </w:r>
      <w:r>
        <w:t xml:space="preserve">Policy Loans</w:t>
      </w:r>
      <w:r>
        <w:t xml:space="preserve">”</w:t>
      </w:r>
      <w:r>
        <w:t xml:space="preserve"> </w:t>
      </w:r>
      <w:r>
        <w:t xml:space="preserve">— créditos com juros subsidiados — para canalizar recursos para as Chaebols. Isso permitiu que a formação bruta de capital fixo continuasse a crescer mesmo em um cenário global adverso.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Componentes:</w:t>
      </w:r>
      <w:r>
        <w:t xml:space="preserve"> </w:t>
      </w:r>
      <w:r>
        <w:t xml:space="preserve">As exportações (X) tornaram-se o canal de saída. A Coreia aproveitou o boom de construção no Oriente Médio (petrodólares) para exportar serviços de engenharia e construção civil, compensando parte do déficit comercial de energia. Todos os componentes estão expressos em</w:t>
      </w:r>
      <w:r>
        <w:t xml:space="preserve"> </w:t>
      </w:r>
      <w:r>
        <w:rPr>
          <w:bCs/>
          <w:b/>
        </w:rPr>
        <w:t xml:space="preserve">USD constantes de 2015</w:t>
      </w:r>
      <w:r>
        <w:t xml:space="preserve">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Componentes da Demanda (USD 2015): Crise do Petróleo" title="" id="36" name="Picture"/>
            <a:graphic>
              <a:graphicData uri="http://schemas.openxmlformats.org/drawingml/2006/picture">
                <pic:pic>
                  <pic:nvPicPr>
                    <pic:cNvPr descr="../plots/pt-br/1.%20Crise%20do%20Petroleo_demand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World Development Indicators (WDI) - Banco Mundial.</w:t>
      </w:r>
    </w:p>
    <w:bookmarkEnd w:id="38"/>
    <w:bookmarkStart w:id="42" w:name="X37c1b2d0a3c400bc156cb6c288299d6fd3f9bac"/>
    <w:p>
      <w:pPr>
        <w:pStyle w:val="Heading4"/>
      </w:pPr>
      <w:r>
        <w:rPr>
          <w:rStyle w:val="SectionNumber"/>
        </w:rPr>
        <w:t xml:space="preserve">1.4.1.3</w:t>
      </w:r>
      <w:r>
        <w:tab/>
      </w:r>
      <w:r>
        <w:t xml:space="preserve">Desequilíbrios Macroeconômicos e a Explosão da Dívida</w:t>
      </w:r>
    </w:p>
    <w:p>
      <w:pPr>
        <w:pStyle w:val="FirstParagraph"/>
      </w:pPr>
      <w:r>
        <w:t xml:space="preserve">O impacto mais visível foi a</w:t>
      </w:r>
      <w:r>
        <w:t xml:space="preserve"> </w:t>
      </w:r>
      <w:r>
        <w:rPr>
          <w:bCs/>
          <w:b/>
        </w:rPr>
        <w:t xml:space="preserve">inflação</w:t>
      </w:r>
      <w:r>
        <w:t xml:space="preserve">, que saltou para</w:t>
      </w:r>
      <w:r>
        <w:t xml:space="preserve"> </w:t>
      </w:r>
      <w:r>
        <w:rPr>
          <w:bCs/>
          <w:b/>
        </w:rPr>
        <w:t xml:space="preserve">29,2% em 1974</w:t>
      </w:r>
      <w:r>
        <w:t xml:space="preserve">. O déficit em conta corrente explodiu devido ao custo da energia, e a dívida externa tornou-se o principal amortecedor financeiro.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Dados de Endividamento (BOK):</w:t>
      </w:r>
      <w:r>
        <w:t xml:space="preserve"> </w:t>
      </w:r>
      <w:r>
        <w:t xml:space="preserve">Em 1970, a dívida externa era de apenas</w:t>
      </w:r>
      <w:r>
        <w:t xml:space="preserve"> </w:t>
      </w:r>
      <w:r>
        <w:rPr>
          <w:bCs/>
          <w:b/>
        </w:rPr>
        <w:t xml:space="preserve">US$ 2,24 bilhões</w:t>
      </w:r>
      <w:r>
        <w:t xml:space="preserve">. Com os sucessivos choques e a necessidade de financiar o HCI, este valor saltou para</w:t>
      </w:r>
      <w:r>
        <w:t xml:space="preserve"> </w:t>
      </w:r>
      <w:r>
        <w:rPr>
          <w:bCs/>
          <w:b/>
        </w:rPr>
        <w:t xml:space="preserve">US$ 20,2 bilhões em 1979</w:t>
      </w:r>
      <w:r>
        <w:t xml:space="preserve"> </w:t>
      </w:r>
      <w:r>
        <w:t xml:space="preserve">e atingiu o pico de</w:t>
      </w:r>
      <w:r>
        <w:t xml:space="preserve"> </w:t>
      </w:r>
      <w:r>
        <w:rPr>
          <w:bCs/>
          <w:b/>
        </w:rPr>
        <w:t xml:space="preserve">US$ 46,7 bilhões em 1985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Juros Reais:</w:t>
      </w:r>
      <w:r>
        <w:t xml:space="preserve"> </w:t>
      </w:r>
      <w:r>
        <w:t xml:space="preserve">Durante a fase de acomodação (1974-1978), os juros reais foram frequentemente negativos (i &lt;</w:t>
      </w:r>
      <w:r>
        <w:t xml:space="preserve"> </w:t>
      </w:r>
      <m:oMath>
        <m:r>
          <m:t>π</m:t>
        </m:r>
      </m:oMath>
      <w:r>
        <w:t xml:space="preserve">), o que na prática significou uma transferência de renda dos poupadores para os grandes conglomerados (Chaebols), facilitando o investimento mas prejudicando a estabilidade monetária de longo prazo.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Estrutura de Endividamento (BOK): Crise do Petróleo" title="" id="40" name="Picture"/>
            <a:graphic>
              <a:graphicData uri="http://schemas.openxmlformats.org/drawingml/2006/picture">
                <pic:pic>
                  <pic:nvPicPr>
                    <pic:cNvPr descr="../plots/pt-br/1.%20Crise%20do%20Petroleo_divid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Estatísticas Históricas do Banco da Coreia (BOK).</w:t>
      </w:r>
    </w:p>
    <w:bookmarkEnd w:id="42"/>
    <w:bookmarkStart w:id="46" w:name="política-cambial-e-ajuste-externo"/>
    <w:p>
      <w:pPr>
        <w:pStyle w:val="Heading4"/>
      </w:pPr>
      <w:r>
        <w:rPr>
          <w:rStyle w:val="SectionNumber"/>
        </w:rPr>
        <w:t xml:space="preserve">1.4.1.4</w:t>
      </w:r>
      <w:r>
        <w:tab/>
      </w:r>
      <w:r>
        <w:t xml:space="preserve">Política Cambial e Ajuste Externo</w:t>
      </w:r>
    </w:p>
    <w:p>
      <w:pPr>
        <w:pStyle w:val="FirstParagraph"/>
      </w:pPr>
      <w:r>
        <w:t xml:space="preserve">A Coreia utilizou desvalorizações agressivas do Won para manter a competitividade das exportações frente ao choque de custos. Após o segundo choque (1979) e o assassinato de Park Chung-hee, o país entrou em um programa de estabilização rigoroso (1980), onde o câmbio nominal foi drasticamente ajustado e os juros foram elevados para atrair capital e conter a inflação.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Evolução do Câmbio (Nominal e Real): Crise do Petróleo" title="" id="44" name="Picture"/>
            <a:graphic>
              <a:graphicData uri="http://schemas.openxmlformats.org/drawingml/2006/picture">
                <pic:pic>
                  <pic:nvPicPr>
                    <pic:cNvPr descr="../plots/pt-br/1.%20Crise%20do%20Petroleo_cambi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Federal Reserve Economic Data (FRED).</w:t>
      </w:r>
    </w:p>
    <w:bookmarkEnd w:id="46"/>
    <w:bookmarkStart w:id="47" w:name="X27c0e5856f9f588f763adcabd44646f95eb10c4"/>
    <w:p>
      <w:pPr>
        <w:pStyle w:val="Heading4"/>
      </w:pPr>
      <w:r>
        <w:rPr>
          <w:rStyle w:val="SectionNumber"/>
        </w:rPr>
        <w:t xml:space="preserve">1.4.1.5</w:t>
      </w:r>
      <w:r>
        <w:tab/>
      </w:r>
      <w:r>
        <w:t xml:space="preserve">Ambiente Institucional e o Papel do Estado</w:t>
      </w:r>
    </w:p>
    <w:p>
      <w:pPr>
        <w:pStyle w:val="FirstParagraph"/>
      </w:pPr>
      <w:r>
        <w:t xml:space="preserve">O ambiente institucional era marcado pela</w:t>
      </w:r>
      <w:r>
        <w:t xml:space="preserve"> </w:t>
      </w:r>
      <w:r>
        <w:t xml:space="preserve">“</w:t>
      </w:r>
      <w:r>
        <w:t xml:space="preserve">Repressão Financeira</w:t>
      </w:r>
      <w:r>
        <w:t xml:space="preserve">”</w:t>
      </w:r>
      <w:r>
        <w:t xml:space="preserve"> </w:t>
      </w:r>
      <w:r>
        <w:t xml:space="preserve">e pelo controle estatal do crédito. A confiança era garantida pelo Estado, que atuava como segurador de última instância das Chaebols. O mercado de trabalho era rígido, com sindicatos controlados, o que permitia que o salário real crescesse abaixo da produtividade, movendo a curva ERU para a direita e garantindo a competitividade via custos unitários do trabalho (ULC) baixos.</w:t>
      </w:r>
    </w:p>
    <w:bookmarkEnd w:id="47"/>
    <w:bookmarkEnd w:id="48"/>
    <w:bookmarkStart w:id="69" w:name="a-crise-financeira-global-2007-2012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A Crise Financeira Global (2007-2012)</w:t>
      </w:r>
    </w:p>
    <w:bookmarkStart w:id="52" w:name="X4fa53c14624c26609b6149081a8a4a769e33f63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t xml:space="preserve">Canais de Transmissão e o Choque de Demanda Externa</w:t>
      </w:r>
    </w:p>
    <w:p>
      <w:pPr>
        <w:pStyle w:val="FirstParagraph"/>
      </w:pPr>
      <w:r>
        <w:t xml:space="preserve">Diferente das crises do petróleo, em 2008 o choque foi puramente de</w:t>
      </w:r>
      <w:r>
        <w:t xml:space="preserve"> </w:t>
      </w:r>
      <w:r>
        <w:rPr>
          <w:bCs/>
          <w:b/>
        </w:rPr>
        <w:t xml:space="preserve">demanda externa (choque negativo na curva IS)</w:t>
      </w:r>
      <w:r>
        <w:t xml:space="preserve"> </w:t>
      </w:r>
      <w:r>
        <w:t xml:space="preserve">e de liquidez financeira. Como uma economia altamente integrada às cadeias globais de suprimentos, a Coreia sentiu a queda abrupta no consumo das economias desenvolvidas. No auge da crise, as exportações mensais chegaram a cair 34% em base anual.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Ajuste na IS:</w:t>
      </w:r>
      <w:r>
        <w:t xml:space="preserve"> </w:t>
      </w:r>
      <w:r>
        <w:t xml:space="preserve">A queda nas exportações deslocou a curva IS drasticamente para a esquerda. O governo respondeu com um dos pacotes fiscais mais rápidos do G20, focado no</w:t>
      </w:r>
      <w:r>
        <w:t xml:space="preserve"> </w:t>
      </w:r>
      <w:r>
        <w:t xml:space="preserve">“</w:t>
      </w:r>
      <w:r>
        <w:t xml:space="preserve">Green New Deal</w:t>
      </w:r>
      <w:r>
        <w:t xml:space="preserve">”</w:t>
      </w:r>
      <w:r>
        <w:t xml:space="preserve">, buscando empurrar a IS de volta ao equilíbrio de médio prazo.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Componentes da Demanda (USD 2015): Crise de 2008" title="" id="50" name="Picture"/>
            <a:graphic>
              <a:graphicData uri="http://schemas.openxmlformats.org/drawingml/2006/picture">
                <pic:pic>
                  <pic:nvPicPr>
                    <pic:cNvPr descr="../plots/pt-br/2.%20Crise%20Financeira_demanda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World Development Indicators (WDI) - Banco Mundial.</w:t>
      </w:r>
    </w:p>
    <w:bookmarkEnd w:id="52"/>
    <w:bookmarkStart w:id="56" w:name="lado-da-oferta-e-a-vantagem-competitiva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t xml:space="preserve">Lado da Oferta e a Vantagem Competitiva</w:t>
      </w:r>
    </w:p>
    <w:p>
      <w:pPr>
        <w:pStyle w:val="FirstParagraph"/>
      </w:pPr>
      <w:r>
        <w:t xml:space="preserve">A Indústria coreana, agora madura e focada em alta tecnologia (Samsung, LG, Hyundai), aproveitou a fragilidade de concorrentes japoneses e americanos para consolidar</w:t>
      </w:r>
      <w:r>
        <w:t xml:space="preserve"> </w:t>
      </w:r>
      <w:r>
        <w:rPr>
          <w:iCs/>
          <w:i/>
        </w:rPr>
        <w:t xml:space="preserve">market share</w:t>
      </w:r>
      <w:r>
        <w:t xml:space="preserve">. O valor adicionado industrial (Ind_VA) teve uma recuperação em</w:t>
      </w:r>
      <w:r>
        <w:t xml:space="preserve"> </w:t>
      </w:r>
      <w:r>
        <w:t xml:space="preserve">“</w:t>
      </w:r>
      <w:r>
        <w:t xml:space="preserve">V</w:t>
      </w:r>
      <w:r>
        <w:t xml:space="preserve">”</w:t>
      </w:r>
      <w:r>
        <w:t xml:space="preserve">, retornando aos níveis pré-crise já no final de 2009.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Valor Adicionado por Setor: Crise de 2008" title="" id="54" name="Picture"/>
            <a:graphic>
              <a:graphicData uri="http://schemas.openxmlformats.org/drawingml/2006/picture">
                <pic:pic>
                  <pic:nvPicPr>
                    <pic:cNvPr descr="../plots/pt-br/2.%20Crise%20Financeira_ofert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Banco da Coreia (ECOS) e OECD Data.</w:t>
      </w:r>
    </w:p>
    <w:bookmarkEnd w:id="56"/>
    <w:bookmarkStart w:id="60" w:name="Xe4c403b11096a9dbad2ba5376e16cab5926c519"/>
    <w:p>
      <w:pPr>
        <w:pStyle w:val="Heading4"/>
      </w:pPr>
      <w:r>
        <w:rPr>
          <w:rStyle w:val="SectionNumber"/>
        </w:rPr>
        <w:t xml:space="preserve">1.4.2.3</w:t>
      </w:r>
      <w:r>
        <w:tab/>
      </w:r>
      <w:r>
        <w:t xml:space="preserve">Desequilíbrios Macroeconômicos e Gestão da Liquidez</w:t>
      </w:r>
    </w:p>
    <w:p>
      <w:pPr>
        <w:pStyle w:val="FirstParagraph"/>
      </w:pPr>
      <w:r>
        <w:t xml:space="preserve">O grande desafio em 2008 foi a</w:t>
      </w:r>
      <w:r>
        <w:t xml:space="preserve"> </w:t>
      </w:r>
      <w:r>
        <w:rPr>
          <w:bCs/>
          <w:b/>
        </w:rPr>
        <w:t xml:space="preserve">liquidez em dólar (canal financeiro)</w:t>
      </w:r>
      <w:r>
        <w:t xml:space="preserve">. Os bancos coreanos, que se financiavam no mercado internacional, enfrentaram um</w:t>
      </w:r>
      <w:r>
        <w:t xml:space="preserve"> </w:t>
      </w:r>
      <w:r>
        <w:t xml:space="preserve">“</w:t>
      </w:r>
      <w:r>
        <w:t xml:space="preserve">sudden stop</w:t>
      </w:r>
      <w:r>
        <w:t xml:space="preserve">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Dados de Endividamento (BOK):</w:t>
      </w:r>
      <w:r>
        <w:t xml:space="preserve"> </w:t>
      </w:r>
      <w:r>
        <w:t xml:space="preserve">A dívida externa coreana em 2007 era de</w:t>
      </w:r>
      <w:r>
        <w:t xml:space="preserve"> </w:t>
      </w:r>
      <w:r>
        <w:rPr>
          <w:bCs/>
          <w:b/>
        </w:rPr>
        <w:t xml:space="preserve">US$ 383,1 bilhões</w:t>
      </w:r>
      <w:r>
        <w:t xml:space="preserve">, em grande parte composta por dívidas de curto prazo. Com a crise e a depreciação do Won, este valor caiu para</w:t>
      </w:r>
      <w:r>
        <w:t xml:space="preserve"> </w:t>
      </w:r>
      <w:r>
        <w:rPr>
          <w:bCs/>
          <w:b/>
        </w:rPr>
        <w:t xml:space="preserve">US$ 317,3 bilhões em 2008</w:t>
      </w:r>
      <w:r>
        <w:t xml:space="preserve"> </w:t>
      </w:r>
      <w:r>
        <w:t xml:space="preserve">devido ao desalavancagem forçada e repagamento, mas gerou um estresse severo nas reservas internacionais.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Dívida Pública:</w:t>
      </w:r>
      <w:r>
        <w:t xml:space="preserve"> </w:t>
      </w:r>
      <w:r>
        <w:t xml:space="preserve">Diferente de 1997, o governo tinha espaço fiscal. A dívida pública central estava em torno de</w:t>
      </w:r>
      <w:r>
        <w:t xml:space="preserve"> </w:t>
      </w:r>
      <w:r>
        <w:rPr>
          <w:bCs/>
          <w:b/>
        </w:rPr>
        <w:t xml:space="preserve">309 trilhões de KRW em 2008</w:t>
      </w:r>
      <w:r>
        <w:t xml:space="preserve"> </w:t>
      </w:r>
      <w:r>
        <w:t xml:space="preserve">(aproximadamente 28% do PIB), o que permitiu os gastos emergenciais sem comprometer a solvência soberana.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Estrutura de Endividamento (BOK): Crise de 2008" title="" id="58" name="Picture"/>
            <a:graphic>
              <a:graphicData uri="http://schemas.openxmlformats.org/drawingml/2006/picture">
                <pic:pic>
                  <pic:nvPicPr>
                    <pic:cNvPr descr="../plots/pt-br/2.%20Crise%20Financeira_divid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Banco da Coreia (BOK) - Economic Statistics System (ECOS).</w:t>
      </w:r>
    </w:p>
    <w:bookmarkEnd w:id="60"/>
    <w:bookmarkStart w:id="64" w:name="o-câmbio-como-amortecedor-e-a-curva-bt"/>
    <w:p>
      <w:pPr>
        <w:pStyle w:val="Heading4"/>
      </w:pPr>
      <w:r>
        <w:rPr>
          <w:rStyle w:val="SectionNumber"/>
        </w:rPr>
        <w:t xml:space="preserve">1.4.2.4</w:t>
      </w:r>
      <w:r>
        <w:tab/>
      </w:r>
      <w:r>
        <w:t xml:space="preserve">O Câmbio como Amortecedor e a Curva BT</w:t>
      </w:r>
    </w:p>
    <w:p>
      <w:pPr>
        <w:pStyle w:val="FirstParagraph"/>
      </w:pPr>
      <w:r>
        <w:t xml:space="preserve">A Coreia permitiu uma depreciação nominal massiva do Won (de 942 para 1.450 Won/USD), o que atuou como o principal amortecedor do choque. Essa depreciação de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moveu a economia para a direita ao longo da curva</w:t>
      </w:r>
      <w:r>
        <w:t xml:space="preserve"> </w:t>
      </w:r>
      <w:r>
        <w:rPr>
          <w:bCs/>
          <w:b/>
        </w:rPr>
        <w:t xml:space="preserve">BT</w:t>
      </w:r>
      <w:r>
        <w:t xml:space="preserve">, restaurando rapidamente a competitividade das exportações e transformando o déficit comercial em um superávit recorde em menos de 12 meses.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Evolução do Câmbio (Nominal e Real): Crise de 2008" title="" id="62" name="Picture"/>
            <a:graphic>
              <a:graphicData uri="http://schemas.openxmlformats.org/drawingml/2006/picture">
                <pic:pic>
                  <pic:nvPicPr>
                    <pic:cNvPr descr="../plots/pt-br/2.%20Crise%20Financeira_cambio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Federal Reserve Economic Data (FRED) e BIS Statistics.</w:t>
      </w:r>
    </w:p>
    <w:bookmarkEnd w:id="64"/>
    <w:bookmarkStart w:id="68" w:name="resiliência-institucional-e-confiança"/>
    <w:p>
      <w:pPr>
        <w:pStyle w:val="Heading4"/>
      </w:pPr>
      <w:r>
        <w:rPr>
          <w:rStyle w:val="SectionNumber"/>
        </w:rPr>
        <w:t xml:space="preserve">1.4.2.5</w:t>
      </w:r>
      <w:r>
        <w:tab/>
      </w:r>
      <w:r>
        <w:t xml:space="preserve">Resiliência Institucional e Confiança</w:t>
      </w:r>
    </w:p>
    <w:p>
      <w:pPr>
        <w:pStyle w:val="FirstParagraph"/>
      </w:pPr>
      <w:r>
        <w:t xml:space="preserve">A confiança empresarial (BCI) desabou inicialmente, mas a resposta coordenada entre o Banco da Coreia (corte de juros e swaps cambiais com o Fed) e o Ministério das Finanças restaurou a estabilidade. O mercado de trabalho absorveu o choque via flexibilidade, evitando um salto no desemprego estrutural.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Confiança e Ciclo: Crise de 2008" title="" id="66" name="Picture"/>
            <a:graphic>
              <a:graphicData uri="http://schemas.openxmlformats.org/drawingml/2006/picture">
                <pic:pic>
                  <pic:nvPicPr>
                    <pic:cNvPr descr="../plots/pt-br/2.%20Crise%20Financeira_instituciona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OECD Business Confidence Indicators (BCI).</w:t>
      </w:r>
    </w:p>
    <w:bookmarkEnd w:id="68"/>
    <w:bookmarkEnd w:id="69"/>
    <w:bookmarkStart w:id="90" w:name="a-pandemia-covid-19-2019-2024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A Pandemia COVID-19 (2019-2024)</w:t>
      </w:r>
    </w:p>
    <w:bookmarkStart w:id="73" w:name="X755893bafa4ca2be74a2b58ec46a78f09077229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t xml:space="preserve">Canais de Transmissão e o Choque Misto (Oferta e Demanda)</w:t>
      </w:r>
    </w:p>
    <w:p>
      <w:pPr>
        <w:pStyle w:val="FirstParagraph"/>
      </w:pPr>
      <w:r>
        <w:t xml:space="preserve">A pandemia representou um choque simultâneo e inédito. O isolamento social e as restrições de mobilidade geraram um</w:t>
      </w:r>
      <w:r>
        <w:t xml:space="preserve"> </w:t>
      </w:r>
      <w:r>
        <w:rPr>
          <w:bCs/>
          <w:b/>
        </w:rPr>
        <w:t xml:space="preserve">choque negativo na IS (demanda de serviços local)</w:t>
      </w:r>
      <w:r>
        <w:t xml:space="preserve">, enquanto a desorganização das cadeias de suprimentos e o aumento nos custos de frete deslocaram a</w:t>
      </w:r>
      <w:r>
        <w:t xml:space="preserve"> </w:t>
      </w:r>
      <w:r>
        <w:rPr>
          <w:bCs/>
          <w:b/>
        </w:rPr>
        <w:t xml:space="preserve">PC para cima (choque de oferta global)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Demanda:</w:t>
      </w:r>
      <w:r>
        <w:t xml:space="preserve"> </w:t>
      </w:r>
      <w:r>
        <w:t xml:space="preserve">O consumo das famílias (C) caiu inicialmente (-5% em 2020), mas as exportações tecnológicas (X) compensaram, impulsionadas pela demanda global por semicondutores e bens digitais. A Coreia foi um dos poucos países da OCDE a apresentar uma queda do PIB real de apenas 0,7% em 2020.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Componentes da Demanda (USD 2015): Pandemia" title="" id="71" name="Picture"/>
            <a:graphic>
              <a:graphicData uri="http://schemas.openxmlformats.org/drawingml/2006/picture">
                <pic:pic>
                  <pic:nvPicPr>
                    <pic:cNvPr descr="../plots/pt-br/3.%20Pandemia_demanda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Fonte: World Development Indicators (WDI) - Banco Mundial.</w:t>
      </w:r>
    </w:p>
    <w:bookmarkEnd w:id="73"/>
    <w:bookmarkStart w:id="77" w:name="lado-da-oferta-e-a-liderança-tecnológica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t xml:space="preserve">Lado da Oferta e a Liderança Tecnológica</w:t>
      </w:r>
    </w:p>
    <w:p>
      <w:pPr>
        <w:pStyle w:val="FirstParagraph"/>
      </w:pPr>
      <w:r>
        <w:t xml:space="preserve">A estratégia coreana (K-Bangyeok) baseou-se em tecnologia e rastreamento massivo, evitando lockdowns totais que paralisassem a indústria pesada. O setor de Serviços sofreu, mas foi compensado pelo salto no valor adicionado industrial (Ind_VA) de alta tecnologia.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Valor Adicionado por Setor: Pandemia" title="" id="75" name="Picture"/>
            <a:graphic>
              <a:graphicData uri="http://schemas.openxmlformats.org/drawingml/2006/picture">
                <pic:pic>
                  <pic:nvPicPr>
                    <pic:cNvPr descr="../plots/pt-br/3.%20Pandemia_oferta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*Fonte: Banco da Coreia (ECOS) e OECD Data.</w:t>
      </w:r>
    </w:p>
    <w:bookmarkEnd w:id="77"/>
    <w:bookmarkStart w:id="81" w:name="X592480a9bd64ad2b2edc648e49bf67d297c5b0d"/>
    <w:p>
      <w:pPr>
        <w:pStyle w:val="Heading4"/>
      </w:pPr>
      <w:r>
        <w:rPr>
          <w:rStyle w:val="SectionNumber"/>
        </w:rPr>
        <w:t xml:space="preserve">1.4.3.3</w:t>
      </w:r>
      <w:r>
        <w:tab/>
      </w:r>
      <w:r>
        <w:t xml:space="preserve">Desequilíbrios Macroeconômicos e o Salto na Dívida Pública</w:t>
      </w:r>
    </w:p>
    <w:p>
      <w:pPr>
        <w:pStyle w:val="FirstParagraph"/>
      </w:pPr>
      <w:r>
        <w:t xml:space="preserve">Houve um salto inédito no endividamento público para financiar os pacotes de ajuda emergencial (Korean New Deal).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Dados de Dívida Central (BOK):</w:t>
      </w:r>
      <w:r>
        <w:t xml:space="preserve"> </w:t>
      </w:r>
      <w:r>
        <w:t xml:space="preserve">O estoque da dívida pública central, que era de</w:t>
      </w:r>
      <w:r>
        <w:t xml:space="preserve"> </w:t>
      </w:r>
      <w:r>
        <w:rPr>
          <w:bCs/>
          <w:b/>
        </w:rPr>
        <w:t xml:space="preserve">723 trilhões de KRW em 2019</w:t>
      </w:r>
      <w:r>
        <w:t xml:space="preserve">, saltou para</w:t>
      </w:r>
      <w:r>
        <w:t xml:space="preserve"> </w:t>
      </w:r>
      <w:r>
        <w:rPr>
          <w:bCs/>
          <w:b/>
        </w:rPr>
        <w:t xml:space="preserve">846 trilhões em 2020</w:t>
      </w:r>
      <w:r>
        <w:t xml:space="preserve"> </w:t>
      </w:r>
      <w:r>
        <w:t xml:space="preserve">e atingiu o patamar de</w:t>
      </w:r>
      <w:r>
        <w:t xml:space="preserve"> </w:t>
      </w:r>
      <w:r>
        <w:rPr>
          <w:bCs/>
          <w:b/>
        </w:rPr>
        <w:t xml:space="preserve">1.126 trilhões em 2023</w:t>
      </w:r>
      <w:r>
        <w:t xml:space="preserve">. Pela primeira vez na história moderna, a relação dívida/PIB ultrapassou 50%, gerando debates acalorados sobre a sustentabilidade fiscal.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Dívida Externa:</w:t>
      </w:r>
      <w:r>
        <w:t xml:space="preserve"> </w:t>
      </w:r>
      <w:r>
        <w:t xml:space="preserve">Em 2020, a dívida externa saltou para</w:t>
      </w:r>
      <w:r>
        <w:t xml:space="preserve"> </w:t>
      </w:r>
      <w:r>
        <w:rPr>
          <w:bCs/>
          <w:b/>
        </w:rPr>
        <w:t xml:space="preserve">US$ 544,8 bilhões</w:t>
      </w:r>
      <w:r>
        <w:t xml:space="preserve"> </w:t>
      </w:r>
      <w:r>
        <w:t xml:space="preserve">e continuou sua trajetória ascendente, atingindo</w:t>
      </w:r>
      <w:r>
        <w:t xml:space="preserve"> </w:t>
      </w:r>
      <w:r>
        <w:rPr>
          <w:bCs/>
          <w:b/>
        </w:rPr>
        <w:t xml:space="preserve">US$ 663,6 bilhões em 2023</w:t>
      </w:r>
      <w:r>
        <w:t xml:space="preserve">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Estrutura de Endividamento (BOK): Pandemia" title="" id="79" name="Picture"/>
            <a:graphic>
              <a:graphicData uri="http://schemas.openxmlformats.org/drawingml/2006/picture">
                <pic:pic>
                  <pic:nvPicPr>
                    <pic:cNvPr descr="../plots/pt-br/3.%20Pandemia_divida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*Fonte: Banco da Coreia (BOK) - Ministry of Economy and Finance (MOEF).</w:t>
      </w:r>
    </w:p>
    <w:bookmarkEnd w:id="81"/>
    <w:bookmarkStart w:id="85" w:name="câmbio-e-liquidez-no-período-pandêmico"/>
    <w:p>
      <w:pPr>
        <w:pStyle w:val="Heading4"/>
      </w:pPr>
      <w:r>
        <w:rPr>
          <w:rStyle w:val="SectionNumber"/>
        </w:rPr>
        <w:t xml:space="preserve">1.4.3.4</w:t>
      </w:r>
      <w:r>
        <w:tab/>
      </w:r>
      <w:r>
        <w:t xml:space="preserve">Câmbio e Liquidez no Período Pandêmico</w:t>
      </w:r>
    </w:p>
    <w:p>
      <w:pPr>
        <w:pStyle w:val="FirstParagraph"/>
      </w:pPr>
      <w:r>
        <w:t xml:space="preserve">Diferente de 2008, o Won foi gerido com maior estabilidade, apoiado por acordos de swap com o Federal Reserve e reservas de US$ 450 bilhões. O câmbio real permaneceu competitivo, impulsionando a balança comercial positiva.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Evolução do Câmbio (Nominal e Real): Pandemia" title="" id="83" name="Picture"/>
            <a:graphic>
              <a:graphicData uri="http://schemas.openxmlformats.org/drawingml/2006/picture">
                <pic:pic>
                  <pic:nvPicPr>
                    <pic:cNvPr descr="../plots/pt-br/3.%20Pandemia_cambi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*Fonte: Federal Reserve Economic Data (FRED).</w:t>
      </w:r>
    </w:p>
    <w:bookmarkEnd w:id="85"/>
    <w:bookmarkStart w:id="89" w:name="ambiente-institucional-e-saúde"/>
    <w:p>
      <w:pPr>
        <w:pStyle w:val="Heading4"/>
      </w:pPr>
      <w:r>
        <w:rPr>
          <w:rStyle w:val="SectionNumber"/>
        </w:rPr>
        <w:t xml:space="preserve">1.4.3.5</w:t>
      </w:r>
      <w:r>
        <w:tab/>
      </w:r>
      <w:r>
        <w:t xml:space="preserve">Ambiente Institucional e Saúde</w:t>
      </w:r>
    </w:p>
    <w:p>
      <w:pPr>
        <w:pStyle w:val="FirstParagraph"/>
      </w:pPr>
      <w:r>
        <w:t xml:space="preserve">A confiança do consumidor (CCI) foi severamente testada, mas a gestão eficiente da saúde pública (K-Bangyeok) e a digitalização acelerada da economia permitiram que a Coreia emergisse com ganhos de produtividade. A curva ERU deslocou-se para a direita devido à maior competitividade tecnológica.</w:t>
      </w:r>
    </w:p>
    <w:p>
      <w:pPr>
        <w:pStyle w:val="BodyText"/>
      </w:pPr>
      <w:r>
        <w:drawing>
          <wp:inline>
            <wp:extent cx="4533900" cy="2266950"/>
            <wp:effectExtent b="0" l="0" r="0" t="0"/>
            <wp:docPr descr="Indicadores de Saúde e Ciclo: Pandemia" title="" id="87" name="Picture"/>
            <a:graphic>
              <a:graphicData uri="http://schemas.openxmlformats.org/drawingml/2006/picture">
                <pic:pic>
                  <pic:nvPicPr>
                    <pic:cNvPr descr="../plots/pt-br/3.%20Pandemia_saud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*Fonte: OECD Consumer Confidence Indicators (CCI) e Ministry of Health (MOHW).</w:t>
      </w:r>
    </w:p>
    <w:bookmarkEnd w:id="89"/>
    <w:bookmarkEnd w:id="90"/>
    <w:bookmarkStart w:id="94" w:name="X27e11def8466ce376dc9d47db3cacf89cb8d58b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Análise Setorial Detalhada dos Impactos (Lado da Oferta)</w:t>
      </w:r>
    </w:p>
    <w:p>
      <w:pPr>
        <w:pStyle w:val="FirstParagraph"/>
      </w:pPr>
      <w:r>
        <w:t xml:space="preserve">Para compreender a resiliência coreana, é necessário observar o comportamento dos setores de Indústria, Serviços e Agropecuária através das séries de Valor Adicionado (V.A.).</w:t>
      </w:r>
    </w:p>
    <w:bookmarkStart w:id="91" w:name="a-indústria-como-âncora-da-recuperação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t xml:space="preserve">A Indústria como Âncora da Recuperação</w:t>
      </w:r>
    </w:p>
    <w:p>
      <w:pPr>
        <w:pStyle w:val="FirstParagraph"/>
      </w:pPr>
      <w:r>
        <w:t xml:space="preserve">Em todas as crises analisadas, a indústria manufatureira (Ind_VA) apresentou a queda mais acentuada, mas também a recuperação mais vigorosa.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Crise do Petróleo:</w:t>
      </w:r>
      <w:r>
        <w:t xml:space="preserve"> </w:t>
      </w:r>
      <w:r>
        <w:t xml:space="preserve">A indústria coreana estava em transição para o setor pesado. O choque de 1973 causou um estresse temporário, mas o V.A. industrial continuou crescendo devido ao direcionamento estatal de recursos. A indústria atuou como o motor que permitiu o pagamento das dívidas externas contraídas para financiar o HCI.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Crise de 2008:</w:t>
      </w:r>
      <w:r>
        <w:t xml:space="preserve"> </w:t>
      </w:r>
      <w:r>
        <w:t xml:space="preserve">A queda foi brusca devido à dependência de exportações de bens duráveis (eletrônicos e carros). No entanto, a eficiência produtiva permitiu que as empresas coreanas ganhassem mercado enquanto concorrentes globais declaravam falência.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Pandemia:</w:t>
      </w:r>
      <w:r>
        <w:t xml:space="preserve"> </w:t>
      </w:r>
      <w:r>
        <w:t xml:space="preserve">A indústria de semicondutores e bens digitais viveu um</w:t>
      </w:r>
      <w:r>
        <w:t xml:space="preserve"> </w:t>
      </w:r>
      <w:r>
        <w:t xml:space="preserve">“</w:t>
      </w:r>
      <w:r>
        <w:t xml:space="preserve">superciclo</w:t>
      </w:r>
      <w:r>
        <w:t xml:space="preserve">”</w:t>
      </w:r>
      <w:r>
        <w:t xml:space="preserve">, compensando a queda no setor de serviços e garantindo que o PIB total não despencasse.</w:t>
      </w:r>
    </w:p>
    <w:bookmarkEnd w:id="91"/>
    <w:bookmarkStart w:id="92" w:name="X0d085ae4017f882b722e8b22bcdc08c34068ce9"/>
    <w:p>
      <w:pPr>
        <w:pStyle w:val="Heading4"/>
      </w:pPr>
      <w:r>
        <w:rPr>
          <w:rStyle w:val="SectionNumber"/>
        </w:rPr>
        <w:t xml:space="preserve">1.4.4.2</w:t>
      </w:r>
      <w:r>
        <w:tab/>
      </w:r>
      <w:r>
        <w:t xml:space="preserve">O Setor de Serviços e a Vulnerabilidade na Pandemia</w:t>
      </w:r>
    </w:p>
    <w:p>
      <w:pPr>
        <w:pStyle w:val="FirstParagraph"/>
      </w:pPr>
      <w:r>
        <w:t xml:space="preserve">Diferente das crises anteriores, onde o setor de serviços (Srv_VA) era resiliente e acompanhava o crescimento industrial, na pandemia de COVID-19 este setor foi o mais atingido.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Choque de Demanda Local:</w:t>
      </w:r>
      <w:r>
        <w:t xml:space="preserve"> </w:t>
      </w:r>
      <w:r>
        <w:t xml:space="preserve">O isolamento social afetou severamente o comércio varejista e o turismo. A recuperação do setor de serviços foi mais lenta e dependeu diretamente da eficácia da estratégia K-Bangyeok e da digitalização acelerada proposta pelo Digital New Deal. O setor de serviços hoje representa mais de 60% do PIB coreano, tornando a economia mais sensível a choques de confiança do consumidor do que na década de 70.</w:t>
      </w:r>
    </w:p>
    <w:bookmarkEnd w:id="92"/>
    <w:bookmarkStart w:id="93" w:name="a-agropecuária-e-o-declínio-estrutural"/>
    <w:p>
      <w:pPr>
        <w:pStyle w:val="Heading4"/>
      </w:pPr>
      <w:r>
        <w:rPr>
          <w:rStyle w:val="SectionNumber"/>
        </w:rPr>
        <w:t xml:space="preserve">1.4.4.3</w:t>
      </w:r>
      <w:r>
        <w:tab/>
      </w:r>
      <w:r>
        <w:t xml:space="preserve">A Agropecuária e o Declínio Estrutural</w:t>
      </w:r>
    </w:p>
    <w:p>
      <w:pPr>
        <w:pStyle w:val="FirstParagraph"/>
      </w:pPr>
      <w:r>
        <w:t xml:space="preserve">O setor agropecuário (Agri_VA) demonstrou neutralidade frente aos choques macroeconômicos globais, seguindo uma trajetória de declínio estrutural em relação ao PIB total (atualmente abaixo de 2%). Durante a crise de 1980, o setor foi afetado por condições climáticas adversas que coincidiram com o choque do petróleo, agravando a única recessão daquela era. No entanto, sua relevância para o equilíbrio macroeconômico atual é mínima, servindo apenas como uma reserva de estabilidade social em áreas rurais.</w:t>
      </w:r>
    </w:p>
    <w:bookmarkEnd w:id="93"/>
    <w:bookmarkEnd w:id="94"/>
    <w:bookmarkStart w:id="99" w:name="Xcf68fa1a63504467f1bf97dbd850257d98b93a2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Normalização e Novos Desafios Pós-Pandemia</w:t>
      </w:r>
    </w:p>
    <w:bookmarkStart w:id="95" w:name="X01d188bd900b5baf586085abcb240084742f8fc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t xml:space="preserve">Demanda e Normalização Monetária (Pós-Pandemia)</w:t>
      </w:r>
    </w:p>
    <w:p>
      <w:pPr>
        <w:pStyle w:val="FirstParagraph"/>
      </w:pPr>
      <w:r>
        <w:t xml:space="preserve">A partir de 2022, a Coreia iniciou um ciclo de normalização monetária rigorosa para conter o repasse inflacionário dos custos de energia globais e a pressão na demanda interna. A inflação, que atingiu picos de 6% in 2022, foi combatida com uma série de elevações na taxa básica de juros (Base Rate), que subiu de 0,5% para 3,5% em um curto espaço de tempo.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Expectativas Ancoradas:</w:t>
      </w:r>
      <w:r>
        <w:t xml:space="preserve"> </w:t>
      </w:r>
      <w:r>
        <w:t xml:space="preserve">O Banco da Coreia (BoK) conseguiu manter as expectativas inflacionárias ancoradas, evitando que o choque de oferta temporário se tornasse uma inflação inercial persistente. Isso demonstra a maturidade institucional do BoK em operar o regime de metas de inflação, movendo a economia de forma eficiente ao longo da curva MR.</w:t>
      </w:r>
    </w:p>
    <w:bookmarkEnd w:id="95"/>
    <w:bookmarkStart w:id="96" w:name="Xe611349423cc3d2bc01530c81d31138d737d41e"/>
    <w:p>
      <w:pPr>
        <w:pStyle w:val="Heading4"/>
      </w:pPr>
      <w:r>
        <w:rPr>
          <w:rStyle w:val="SectionNumber"/>
        </w:rPr>
        <w:t xml:space="preserve">1.4.5.2</w:t>
      </w:r>
      <w:r>
        <w:tab/>
      </w:r>
      <w:r>
        <w:t xml:space="preserve">O Risco do Endividamento Privado e a Fragilidade do Consumo</w:t>
      </w:r>
    </w:p>
    <w:p>
      <w:pPr>
        <w:pStyle w:val="FirstParagraph"/>
      </w:pPr>
      <w:r>
        <w:t xml:space="preserve">Diferente de décadas passadas, o maior desequilíbrio macroeconômico coreano hoje não é a dívida pública ou externa, mas a</w:t>
      </w:r>
      <w:r>
        <w:t xml:space="preserve"> </w:t>
      </w:r>
      <w:r>
        <w:rPr>
          <w:bCs/>
          <w:b/>
        </w:rPr>
        <w:t xml:space="preserve">dívida privada (famílias e imobiliário)</w:t>
      </w:r>
      <w:r>
        <w:t xml:space="preserve">. A Coreia possui uma das maiores razões de dívida das famílias em relação ao PIB no mundo.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Sensibilidade aos Juros:</w:t>
      </w:r>
      <w:r>
        <w:t xml:space="preserve"> </w:t>
      </w:r>
      <w:r>
        <w:t xml:space="preserve">Com o crédito ao setor privado ultrapassando</w:t>
      </w:r>
      <w:r>
        <w:t xml:space="preserve"> </w:t>
      </w:r>
      <w:r>
        <w:rPr>
          <w:bCs/>
          <w:b/>
        </w:rPr>
        <w:t xml:space="preserve">150% do PIB</w:t>
      </w:r>
      <w:r>
        <w:t xml:space="preserve">, a economia tornou-se extremamente sensível a flutuações nas taxas de juros nominais. Cada aumento de juros pelo BoK retira uma parcela significativa da renda disponível das famílias para o serviço da dívida, comprimindo o consumo privado (C). Isso cria um</w:t>
      </w:r>
      <w:r>
        <w:t xml:space="preserve"> </w:t>
      </w:r>
      <w:r>
        <w:t xml:space="preserve">“</w:t>
      </w:r>
      <w:r>
        <w:t xml:space="preserve">teto</w:t>
      </w:r>
      <w:r>
        <w:t xml:space="preserve">”</w:t>
      </w:r>
      <w:r>
        <w:t xml:space="preserve"> </w:t>
      </w:r>
      <w:r>
        <w:t xml:space="preserve">para o crescimento econômico e limita a eficácia da política monetária expansionista no futuro, uma vez que as famílias já estão alavancadas ao limite.</w:t>
      </w:r>
    </w:p>
    <w:bookmarkEnd w:id="96"/>
    <w:bookmarkStart w:id="97" w:name="câmbio-e-a-nova-ordem-geopolítica"/>
    <w:p>
      <w:pPr>
        <w:pStyle w:val="Heading4"/>
      </w:pPr>
      <w:r>
        <w:rPr>
          <w:rStyle w:val="SectionNumber"/>
        </w:rPr>
        <w:t xml:space="preserve">1.4.5.3</w:t>
      </w:r>
      <w:r>
        <w:tab/>
      </w:r>
      <w:r>
        <w:t xml:space="preserve">Câmbio e a Nova Ordem Geopolítica</w:t>
      </w:r>
    </w:p>
    <w:p>
      <w:pPr>
        <w:pStyle w:val="FirstParagraph"/>
      </w:pPr>
      <w:r>
        <w:t xml:space="preserve">O Won enfrenta pressões contínuas devido à divergência de juros com o Federal Reserve americano e às tensões geopolíticas nas cadeias de suprimento globais. Sendo a Coreia um elo fundamental na produção de semicondutores, o país está no centro da disputa tecnológica entre EUA e China.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Gestão de Reservas:</w:t>
      </w:r>
      <w:r>
        <w:t xml:space="preserve"> </w:t>
      </w:r>
      <w:r>
        <w:t xml:space="preserve">A volatilidade do câmbio nominal tem sido gerida através do uso prudente das reservas internacionais e de intervenções verbais, buscando evitar que a depreciação do Won alimente ainda mais a inflação importada (pass-through cambial).</w:t>
      </w:r>
    </w:p>
    <w:bookmarkEnd w:id="97"/>
    <w:bookmarkStart w:id="98" w:name="X8b2d6f0d73d685262b307eeaafe4af4f352cda2"/>
    <w:p>
      <w:pPr>
        <w:pStyle w:val="Heading4"/>
      </w:pPr>
      <w:r>
        <w:rPr>
          <w:rStyle w:val="SectionNumber"/>
        </w:rPr>
        <w:t xml:space="preserve">1.4.5.4</w:t>
      </w:r>
      <w:r>
        <w:tab/>
      </w:r>
      <w:r>
        <w:t xml:space="preserve">A Crise Demográfica como Choque de Oferta Permanente</w:t>
      </w:r>
    </w:p>
    <w:p>
      <w:pPr>
        <w:pStyle w:val="FirstParagraph"/>
      </w:pPr>
      <w:r>
        <w:t xml:space="preserve">O maior desafio institucional e macroeconômico de longo prazo para a Coreia é a sua demografia. Com a menor taxa de fecundidade do mundo (0,72 em 2023), o país enfrenta uma redução acelerada da força de trabalho.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Impacto na ERU:</w:t>
      </w:r>
      <w:r>
        <w:t xml:space="preserve"> </w:t>
      </w:r>
      <w:r>
        <w:t xml:space="preserve">No arcabouço de Carlin &amp; Soskice, a redução da força de trabalho atua como um deslocamento da curva</w:t>
      </w:r>
      <w:r>
        <w:t xml:space="preserve"> </w:t>
      </w:r>
      <w:r>
        <w:rPr>
          <w:bCs/>
          <w:b/>
        </w:rPr>
        <w:t xml:space="preserve">ERU para a esquerda</w:t>
      </w:r>
      <w:r>
        <w:t xml:space="preserve">, reduzindo o produto potencial e elevando o custo unitário do trabalho. Para contrapor essa tendência, a Coreia está investindo massivamente em robótica, IA e automação industrial, buscando ganhos de produtividade que permitam deslocar a ERU de volta para a direita através da inovação, em vez da quantidade de trabalho.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3" w:name="ações-de-política-econômica-item-4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Ações de Política Econômica (Item 4)</w:t>
      </w:r>
    </w:p>
    <w:p>
      <w:pPr>
        <w:pStyle w:val="FirstParagraph"/>
      </w:pPr>
      <w:r>
        <w:t xml:space="preserve">A Coreia do Sul se destaca por uma coordenação excepcional entre as políticas monetária e fiscal, operando o que alguns chamam de</w:t>
      </w:r>
      <w:r>
        <w:t xml:space="preserve"> </w:t>
      </w:r>
      <w:r>
        <w:t xml:space="preserve">“</w:t>
      </w:r>
      <w:r>
        <w:t xml:space="preserve">Estado Desenvolvimentista</w:t>
      </w:r>
      <w:r>
        <w:t xml:space="preserve">”</w:t>
      </w:r>
      <w:r>
        <w:t xml:space="preserve"> </w:t>
      </w:r>
      <w:r>
        <w:t xml:space="preserve">moderno.</w:t>
      </w:r>
    </w:p>
    <w:bookmarkStart w:id="101" w:name="Xa46e4a508d552a44c6d05959b2fcc97c1851c50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Política Fiscal: Do HCI Drive ao Korean New Deal</w:t>
      </w:r>
    </w:p>
    <w:p>
      <w:pPr>
        <w:pStyle w:val="FirstParagraph"/>
      </w:pPr>
      <w:r>
        <w:t xml:space="preserve">As respostas fiscais coreanas nunca foram puramente anticíclicas (keynesianismo clássico), mas sim estruturais (focadas na oferta).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Anos 70/80: O HCI Drive (Heavy and Chemical Industrialization)</w:t>
      </w:r>
      <w:r>
        <w:t xml:space="preserve"> </w:t>
      </w:r>
      <w:r>
        <w:t xml:space="preserve">O governo Park Chung-hee canalizou orçamentos suplementares para o financiamento direto de grandes conglomerados. O foco era na criação de uma base industrial de aço, navios, eletrônicos básicos e automóveis. A política fiscal atuou através de incentivos fiscais maciços e empréstimos subsidiados (Policy Loans), o que explica o salto na dívida pública e externa da época.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2008: O Green New Deal</w:t>
      </w:r>
      <w:r>
        <w:t xml:space="preserve"> </w:t>
      </w:r>
      <w:r>
        <w:t xml:space="preserve">Sob a liderança de Lee Myung-bak, a Coreia foi o país que dedicou a maior porcentagem de seu estímulo fiscal a projetos de economia de baixo carbono. O governo investiu em infraestrutura de trens de alta velocidade, energias renováveis e conservação de água (Four Major Rivers Project). A lógica era sustentar a demanda de curto prazo e, simultaneamente, preparar o país para a próxima onda de competitividade global.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Pandemia: O Korean New Deal (Digital e Green)</w:t>
      </w:r>
      <w:r>
        <w:t xml:space="preserve"> </w:t>
      </w:r>
      <w:r>
        <w:t xml:space="preserve">Durante a COVID-19, o governo Moon Jae-in lançou um programa de KRW 160 trilhões focado em: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Digital New Deal:</w:t>
      </w:r>
      <w:r>
        <w:t xml:space="preserve"> </w:t>
      </w:r>
      <w:r>
        <w:t xml:space="preserve">Digitalização de hospitais, escolas e expansão da rede 5G.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Green New Deal:</w:t>
      </w:r>
      <w:r>
        <w:t xml:space="preserve"> </w:t>
      </w:r>
      <w:r>
        <w:t xml:space="preserve">Aceleração da frota de veículos elétricos e de hidrogênio.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Rede de Segurança Social:</w:t>
      </w:r>
      <w:r>
        <w:t xml:space="preserve"> </w:t>
      </w:r>
      <w:r>
        <w:t xml:space="preserve">Expansão do seguro-desemprego para artistas e trabalhadores de plataforma.</w:t>
      </w:r>
    </w:p>
    <w:bookmarkEnd w:id="101"/>
    <w:bookmarkStart w:id="102" w:name="X521ff9ccdb45a21e840f1d6ea026831ea3d862a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Política Monetária: A Evolução para o Regime de Metas</w:t>
      </w:r>
    </w:p>
    <w:p>
      <w:pPr>
        <w:pStyle w:val="FirstParagraph"/>
      </w:pPr>
      <w:r>
        <w:t xml:space="preserve">O Banco da Coreia (BoK) percorreu um longo caminho desde o controle direto do crédito nos anos 70 até um regime de metas de inflação sofisticado e autônomo.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Choque do Petróleo:</w:t>
      </w:r>
      <w:r>
        <w:t xml:space="preserve"> </w:t>
      </w:r>
      <w:r>
        <w:t xml:space="preserve">A política monetária era subordinada ao desenvolvimento industrial. O BoK aceitou inflação de dois dígitos para garantir que o crédito chegasse às indústrias HCI. A prioridade era a expansão monetária (M2) para suportar o investimento.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Crise de 2008:</w:t>
      </w:r>
      <w:r>
        <w:t xml:space="preserve"> </w:t>
      </w:r>
      <w:r>
        <w:t xml:space="preserve">O BoK demonstrou rapidez, reduzindo a taxa básica de 5,25% para 2,00% em apenas seis meses. Além disso, inovou com swaps cambiais emergenciais com o Federal Reserve e o Banco do Japão, garantindo a liquidez em dólares necessária para evitar o colapso do sistema financeiro doméstico.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Pandemia e Inflação Pós-Pandemia:</w:t>
      </w:r>
      <w:r>
        <w:t xml:space="preserve"> </w:t>
      </w:r>
      <w:r>
        <w:t xml:space="preserve">O BoK cortou juros para 0,5% em 2020. No entanto, foi o primeiro banco central de grande economia a iniciar o ciclo de alta já em agosto de 2021, agindo de forma preventiva (Pre-emptive Strike) contra a inflação global de custos e o superaquecimento do mercado imobiliário.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6" w:name="análise-via-modelos-teóricos-item-5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Análise via Modelos Teóricos (Item 5)</w:t>
      </w:r>
    </w:p>
    <w:p>
      <w:pPr>
        <w:pStyle w:val="FirstParagraph"/>
      </w:pPr>
      <w:r>
        <w:t xml:space="preserve">A trajetória da Coreia do Sul permite uma aplicação rica dos modelos de Carlin &amp; Soskice (2015), diferenciando choques de oferta (Petróleo), demanda (2008) e choques mistos (Pandemia).</w:t>
      </w:r>
    </w:p>
    <w:bookmarkStart w:id="109" w:name="o-modelo-3-equações-is-pc-mr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O Modelo 3-Equações (IS-PC-MR)</w:t>
      </w:r>
    </w:p>
    <w:p>
      <w:pPr>
        <w:pStyle w:val="FirstParagraph"/>
      </w:pPr>
      <w:r>
        <w:t xml:space="preserve">O modelo IS-PC-MR descreve como o Banco Central da Coreia (BoK) gerencia o trade-off entre inflação e hiato do produto.</w:t>
      </w:r>
    </w:p>
    <w:bookmarkStart w:id="104" w:name="choque-de-oferta-crise-do-petróleo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t xml:space="preserve">Choque de Oferta (Crise do Petróleo)</w:t>
      </w:r>
    </w:p>
    <w:p>
      <w:pPr>
        <w:pStyle w:val="FirstParagraph"/>
      </w:pPr>
      <w:r>
        <w:t xml:space="preserve">Durante os choques de 1973 e 1979, a Coreia enfrentou um deslocamento da</w:t>
      </w:r>
      <w:r>
        <w:t xml:space="preserve"> </w:t>
      </w:r>
      <w:r>
        <w:rPr>
          <w:bCs/>
          <w:b/>
        </w:rPr>
        <w:t xml:space="preserve">curva de Phillips (PC) para cima</w:t>
      </w:r>
      <w:r>
        <w:t xml:space="preserve">. No diagrama: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Estado A:</w:t>
      </w:r>
      <w:r>
        <w:t xml:space="preserve"> </w:t>
      </w:r>
      <w:r>
        <w:t xml:space="preserve">Equilíbrio inicial com inflação baixa e hiato zero.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Estado B:</w:t>
      </w:r>
      <w:r>
        <w:t xml:space="preserve"> </w:t>
      </w:r>
      <w:r>
        <w:t xml:space="preserve">O choque de custos move a economia para um ponto com inflação muito superior à meta (</w:t>
      </w:r>
      <m:oMath>
        <m:r>
          <m:t>π</m:t>
        </m:r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T</m:t>
            </m:r>
          </m:sup>
        </m:sSup>
      </m:oMath>
      <w:r>
        <w:t xml:space="preserve">) e queda no produto.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Estado C (Resposta):</w:t>
      </w:r>
      <w:r>
        <w:t xml:space="preserve"> </w:t>
      </w:r>
      <w:r>
        <w:t xml:space="preserve">O BoK, em coordenação com o governo, teve que escolher uma trajetória de desinflação pela</w:t>
      </w:r>
      <w:r>
        <w:t xml:space="preserve"> </w:t>
      </w:r>
      <w:r>
        <w:rPr>
          <w:bCs/>
          <w:b/>
        </w:rPr>
        <w:t xml:space="preserve">MR (Regra Monetária)</w:t>
      </w:r>
      <w:r>
        <w:t xml:space="preserve">. Devido à inércia inflacionária e à necessidade de financiar o HCI, a desinflação foi lenta, mantendo juros reais em patamares que não asfixiassem o crescimento, mas aceitando inflação alta por mais tempo.</w:t>
      </w:r>
    </w:p>
    <w:bookmarkEnd w:id="104"/>
    <w:bookmarkStart w:id="108" w:name="choque-de-demanda-crise-de-2008"/>
    <w:p>
      <w:pPr>
        <w:pStyle w:val="Heading4"/>
      </w:pPr>
      <w:r>
        <w:rPr>
          <w:rStyle w:val="SectionNumber"/>
        </w:rPr>
        <w:t xml:space="preserve">1.6.1.2</w:t>
      </w:r>
      <w:r>
        <w:tab/>
      </w:r>
      <w:r>
        <w:t xml:space="preserve">Choque de Demanda (Crise de 2008)</w:t>
      </w:r>
    </w:p>
    <w:p>
      <w:pPr>
        <w:pStyle w:val="FirstParagraph"/>
      </w:pPr>
      <w:r>
        <w:t xml:space="preserve">Em 2008, o choque deslocou a</w:t>
      </w:r>
      <w:r>
        <w:t xml:space="preserve"> </w:t>
      </w:r>
      <w:r>
        <w:rPr>
          <w:bCs/>
          <w:b/>
        </w:rPr>
        <w:t xml:space="preserve">IS para a esquerda</w:t>
      </w:r>
      <w:r>
        <w:t xml:space="preserve"> </w:t>
      </w:r>
      <w:r>
        <w:t xml:space="preserve">(queda brusca nas exportações).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Ajuste:</w:t>
      </w:r>
      <w:r>
        <w:t xml:space="preserve"> </w:t>
      </w:r>
      <w:r>
        <w:t xml:space="preserve">Para evitar que a economia caísse em uma deflação ou recessão profunda, o BoK reduziu agressivamente a taxa básica de juros (Policy Rate), descendo pela curva MR para estimular o consumo e o investimento privado.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Política Fiscal:</w:t>
      </w:r>
      <w:r>
        <w:t xml:space="preserve"> </w:t>
      </w:r>
      <w:r>
        <w:t xml:space="preserve">O estímulo fiscal (G) atuou deslocando a IS de volta para a direita, acelerando o retorno ao produto potencial (</w:t>
      </w:r>
      <m:oMath>
        <m:sSub>
          <m:e>
            <m:r>
              <m:t>y</m:t>
            </m:r>
          </m:e>
          <m:sub>
            <m:r>
              <m:t>e</m:t>
            </m:r>
          </m:sub>
        </m:sSub>
      </m:oMath>
      <w:r>
        <w:t xml:space="preserve">).</w:t>
      </w:r>
    </w:p>
    <w:p>
      <w:pPr>
        <w:pStyle w:val="CaptionedFigure"/>
      </w:pPr>
      <w:r>
        <w:drawing>
          <wp:inline>
            <wp:extent cx="4533900" cy="5440680"/>
            <wp:effectExtent b="0" l="0" r="0" t="0"/>
            <wp:docPr descr="Evolução Teórica IS-PC-MR: Pandemia" title="" id="106" name="Picture"/>
            <a:graphic>
              <a:graphicData uri="http://schemas.openxmlformats.org/drawingml/2006/picture">
                <pic:pic>
                  <pic:nvPicPr>
                    <pic:cNvPr descr="../plots/pt-br/3.%20Pandemia_evolucao_ISPCMR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440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Evolução Teórica IS-PC-MR: Pandemia</w:t>
      </w:r>
    </w:p>
    <w:bookmarkEnd w:id="108"/>
    <w:bookmarkEnd w:id="109"/>
    <w:bookmarkStart w:id="115" w:name="o-modelo-de-economia-aberta-ad-bt-eru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O Modelo de Economia Aberta (AD-BT-ERU)</w:t>
      </w:r>
    </w:p>
    <w:p>
      <w:pPr>
        <w:pStyle w:val="FirstParagraph"/>
      </w:pPr>
      <w:r>
        <w:t xml:space="preserve">Este modelo é fundamental para entender a Coreia, dado o seu grau de abertura comercial superior a 80% do PIB.</w:t>
      </w:r>
    </w:p>
    <w:bookmarkStart w:id="110" w:name="o-papel-da-taxa-de-câmbio-real-q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t xml:space="preserve">O Papel da Taxa de Câmbio Real (</w:t>
      </w:r>
      <m:oMath>
        <m:r>
          <m:t>q</m:t>
        </m:r>
      </m:oMath>
      <w:r>
        <w:t xml:space="preserve">)</w:t>
      </w:r>
    </w:p>
    <w:p>
      <w:pPr>
        <w:pStyle w:val="FirstParagraph"/>
      </w:pPr>
      <w:r>
        <w:t xml:space="preserve">A competitividade coreana reside no equilíbrio entre o custo unitário do trabalho e a taxa de câmbio real.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Curva BT (Equilíbrio Externo):</w:t>
      </w:r>
      <w:r>
        <w:t xml:space="preserve"> </w:t>
      </w:r>
      <w:r>
        <w:t xml:space="preserve">Nas crises de 2008 e 2020, a depreciação de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permitiu que a economia se movesse para a direita ao longo da curva</w:t>
      </w:r>
      <w:r>
        <w:t xml:space="preserve"> </w:t>
      </w:r>
      <w:r>
        <w:rPr>
          <w:bCs/>
          <w:b/>
        </w:rPr>
        <w:t xml:space="preserve">BT</w:t>
      </w:r>
      <w:r>
        <w:t xml:space="preserve">, transformando choques de demanda em oportunidades de exportação.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Curva ERU (Equilíbrio de Médio Prazo):</w:t>
      </w:r>
      <w:r>
        <w:t xml:space="preserve"> </w:t>
      </w:r>
      <w:r>
        <w:t xml:space="preserve">A estratégia coreana sempre foi deslocar a curva</w:t>
      </w:r>
      <w:r>
        <w:t xml:space="preserve"> </w:t>
      </w:r>
      <w:r>
        <w:rPr>
          <w:bCs/>
          <w:b/>
        </w:rPr>
        <w:t xml:space="preserve">ERU para a direita</w:t>
      </w:r>
      <w:r>
        <w:t xml:space="preserve"> </w:t>
      </w:r>
      <w:r>
        <w:t xml:space="preserve">através de ganhos de produtividade e investimentos em R&amp;D. Ao aumentar a produtividade do trabalho, as empresas Chaebols conseguem sustentar salários reais mais altos sem perder competitividade externa.</w:t>
      </w:r>
    </w:p>
    <w:bookmarkEnd w:id="110"/>
    <w:bookmarkStart w:id="114" w:name="X4e476bd54304e9b5eb679670c5ae2685a8707f9"/>
    <w:p>
      <w:pPr>
        <w:pStyle w:val="Heading4"/>
      </w:pPr>
      <w:r>
        <w:rPr>
          <w:rStyle w:val="SectionNumber"/>
        </w:rPr>
        <w:t xml:space="preserve">1.6.2.2</w:t>
      </w:r>
      <w:r>
        <w:tab/>
      </w:r>
      <w:r>
        <w:t xml:space="preserve">A Crise Pandêmica e a Liderança Tecnológica</w:t>
      </w:r>
    </w:p>
    <w:p>
      <w:pPr>
        <w:pStyle w:val="FirstParagraph"/>
      </w:pPr>
      <w:r>
        <w:t xml:space="preserve">Na pandemia, o choque inicial de oferta (ERU para a esquerda por restrições) foi combatido com uma aceleração digital. A longo prazo, o</w:t>
      </w:r>
      <w:r>
        <w:t xml:space="preserve"> </w:t>
      </w:r>
      <w:r>
        <w:t xml:space="preserve">“</w:t>
      </w:r>
      <w:r>
        <w:t xml:space="preserve">Korean New Deal</w:t>
      </w:r>
      <w:r>
        <w:t xml:space="preserve">”</w:t>
      </w:r>
      <w:r>
        <w:t xml:space="preserve"> </w:t>
      </w:r>
      <w:r>
        <w:t xml:space="preserve">visou um deslocamento estrutural da curva ERU para a direita, consolidando a Coreia como o</w:t>
      </w:r>
      <w:r>
        <w:t xml:space="preserve"> </w:t>
      </w:r>
      <w:r>
        <w:t xml:space="preserve">“</w:t>
      </w:r>
      <w:r>
        <w:t xml:space="preserve">hub</w:t>
      </w:r>
      <w:r>
        <w:t xml:space="preserve">”</w:t>
      </w:r>
      <w:r>
        <w:t xml:space="preserve"> </w:t>
      </w:r>
      <w:r>
        <w:t xml:space="preserve">global de chips e baterias, o que garante um superávit estrutural na balança BT mesmo com taxas de câmbio real mais valorizadas.</w:t>
      </w:r>
    </w:p>
    <w:p>
      <w:pPr>
        <w:pStyle w:val="CaptionedFigure"/>
      </w:pPr>
      <w:r>
        <w:drawing>
          <wp:inline>
            <wp:extent cx="4533900" cy="3627120"/>
            <wp:effectExtent b="0" l="0" r="0" t="0"/>
            <wp:docPr descr="Evolução Teórica AD-BT-ERU: 2008" title="" id="112" name="Picture"/>
            <a:graphic>
              <a:graphicData uri="http://schemas.openxmlformats.org/drawingml/2006/picture">
                <pic:pic>
                  <pic:nvPicPr>
                    <pic:cNvPr descr="../plots/pt-br/2.%20Crise%20Financeira_evolucao_ADBTERU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Evolução Teórica AD-BT-ERU: 2008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0" w:name="desempenho-após-as-crises-item-6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Desempenho Após as Crises (Item 6)</w:t>
      </w:r>
    </w:p>
    <w:p>
      <w:pPr>
        <w:pStyle w:val="FirstParagraph"/>
      </w:pPr>
      <w:r>
        <w:t xml:space="preserve">A resiliência sul-coreana se manifesta na forma de recuperações rápidas em</w:t>
      </w:r>
      <w:r>
        <w:t xml:space="preserve"> </w:t>
      </w:r>
      <w:r>
        <w:t xml:space="preserve">“</w:t>
      </w:r>
      <w:r>
        <w:t xml:space="preserve">V</w:t>
      </w:r>
      <w:r>
        <w:t xml:space="preserve">”</w:t>
      </w:r>
      <w:r>
        <w:t xml:space="preserve">, que resultam em saltos estruturais na produtividade de médio prazo.</w:t>
      </w:r>
    </w:p>
    <w:bookmarkStart w:id="117" w:name="o-salto-de-produtividade-após-1980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O Salto de Produtividade após 1980</w:t>
      </w:r>
    </w:p>
    <w:p>
      <w:pPr>
        <w:pStyle w:val="FirstParagraph"/>
      </w:pPr>
      <w:r>
        <w:t xml:space="preserve">Em 1980, a Coreia registrou o seu único crescimento negativo do PIB (-1,5%) entre 1960 e 1997. Após a implementação de um rigoroso plano de estabilização fiscal e monetária, o país viveu sua</w:t>
      </w:r>
      <w:r>
        <w:t xml:space="preserve"> </w:t>
      </w:r>
      <w:r>
        <w:t xml:space="preserve">“</w:t>
      </w:r>
      <w:r>
        <w:t xml:space="preserve">Era de Ouro</w:t>
      </w:r>
      <w:r>
        <w:t xml:space="preserve">”</w:t>
      </w:r>
      <w:r>
        <w:t xml:space="preserve"> </w:t>
      </w:r>
      <w:r>
        <w:t xml:space="preserve">nos anos 80.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Os Três Baixos (Three Lows):</w:t>
      </w:r>
      <w:r>
        <w:t xml:space="preserve"> </w:t>
      </w:r>
      <w:r>
        <w:t xml:space="preserve">A recuperação foi acelerada pelo cenário global de câmbio baixo (Plaza Accord), juros internacionais baixos e preços de petróleo baixos. Isso permitiu que a indústria pesada (HCI) construída nos anos 70 começasse a exportar massivamente, transformando a Coreia de um país devedor em um país credor líquido até o final da década. O PIB per capita dobrou em menos de sete anos.</w:t>
      </w:r>
    </w:p>
    <w:bookmarkEnd w:id="117"/>
    <w:bookmarkStart w:id="118" w:name="a-reinvenção-digital-pós-2008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A Reinvenção Digital Pós-2008</w:t>
      </w:r>
    </w:p>
    <w:p>
      <w:pPr>
        <w:pStyle w:val="FirstParagraph"/>
      </w:pPr>
      <w:r>
        <w:t xml:space="preserve">Após a crise de 2008, a Coreia do Sul não apenas recuperou seu PIB em 18 meses, como utilizou o</w:t>
      </w:r>
      <w:r>
        <w:t xml:space="preserve"> </w:t>
      </w:r>
      <w:r>
        <w:t xml:space="preserve">“</w:t>
      </w:r>
      <w:r>
        <w:t xml:space="preserve">Green New Deal</w:t>
      </w:r>
      <w:r>
        <w:t xml:space="preserve">”</w:t>
      </w:r>
      <w:r>
        <w:t xml:space="preserve"> </w:t>
      </w:r>
      <w:r>
        <w:t xml:space="preserve">para se tornar a líder global na transição energética e tecnológica.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Domínio de Semicondutores e Eletrônicos:</w:t>
      </w:r>
      <w:r>
        <w:t xml:space="preserve"> </w:t>
      </w:r>
      <w:r>
        <w:t xml:space="preserve">Empresas como a Samsung e a SK Hynix consolidaram um duopólio global em memórias DRAM e Flash, capturando a maior parte do valor agregado da revolução dos smartphones e da computação em nuvem que se seguiu. O superávit comercial coreano atingiu recordes históricos, sustentando o Won mesmo em períodos de volatilidade global.</w:t>
      </w:r>
    </w:p>
    <w:bookmarkEnd w:id="118"/>
    <w:bookmarkStart w:id="119" w:name="Xbdf6a177d96b2b6dcb8f10d0bac3b17857de99a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A Resiliência de 2024: Transição para a Economia de Chips e IA</w:t>
      </w:r>
    </w:p>
    <w:p>
      <w:pPr>
        <w:pStyle w:val="FirstParagraph"/>
      </w:pPr>
      <w:r>
        <w:t xml:space="preserve">Pós-pandemia, a Coreia está redesenhando seu modelo de crescimento para enfrentar a competição tecnológica entre China e EUA. O país aprovou o</w:t>
      </w:r>
      <w:r>
        <w:t xml:space="preserve"> </w:t>
      </w:r>
      <w:r>
        <w:t xml:space="preserve">“</w:t>
      </w:r>
      <w:r>
        <w:t xml:space="preserve">K-Chips Act</w:t>
      </w:r>
      <w:r>
        <w:t xml:space="preserve">”</w:t>
      </w:r>
      <w:r>
        <w:t xml:space="preserve"> </w:t>
      </w:r>
      <w:r>
        <w:t xml:space="preserve">para atrair US$ 470 bilhões em investimento privado em fábricas de semicondutores.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Normalização em Curso:</w:t>
      </w:r>
      <w:r>
        <w:t xml:space="preserve"> </w:t>
      </w:r>
      <w:r>
        <w:t xml:space="preserve">A economia coreana em 2024 apresenta uma inflação que converge para a meta de 2%, embora o crescimento real esteja limitado pelo cenário de juros altos globais. O desemprego permanece em níveis historicamente baixos (em torno de 2,7%), demonstrando a robustez do mercado de trabalho.</w:t>
      </w:r>
    </w:p>
    <w:bookmarkEnd w:id="119"/>
    <w:bookmarkEnd w:id="120"/>
    <w:bookmarkStart w:id="126" w:name="lições-das-crises-item-7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Lições das Crises (Item 7)</w:t>
      </w:r>
    </w:p>
    <w:p>
      <w:pPr>
        <w:pStyle w:val="FirstParagraph"/>
      </w:pPr>
      <w:r>
        <w:t xml:space="preserve">A análise comparativa entre os três grandes episódios de crise na Coreia do Sul revela uma evolução na gestão macroeconômica.</w:t>
      </w:r>
    </w:p>
    <w:bookmarkStart w:id="121" w:name="X354739c073c03f0648fcb84b3b244400307f222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Da Vulnerabilidade do Endividamento Externo (1970s) à Solvência Soberana (2020s)</w:t>
      </w:r>
    </w:p>
    <w:p>
      <w:pPr>
        <w:pStyle w:val="FirstParagraph"/>
      </w:pPr>
      <w:r>
        <w:t xml:space="preserve">Nos anos 70, a dívida externa era a principal vulnerabilidade coreana. Um choque no preço do petróleo, seguido por uma alta nos juros mundiais (Choque Volcker), colocou o país à beira de uma crise de balanço de pagamentos. Já nas crises de 2008 e 2020, o país possuía reservas internacionais sólidas (mais de US$ 450 bilhões) e swaps cambiais, transformando a dívida externa de um problema de insolvência para um de liquidez momentânea.</w:t>
      </w:r>
    </w:p>
    <w:bookmarkEnd w:id="121"/>
    <w:bookmarkStart w:id="122" w:name="o-câmbio-como-amortecedor-essencial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O Câmbio como Amortecedor Essencial</w:t>
      </w:r>
    </w:p>
    <w:p>
      <w:pPr>
        <w:pStyle w:val="FirstParagraph"/>
      </w:pPr>
      <w:r>
        <w:t xml:space="preserve">A Coreia aprendeu que sistemas de câmbio fixo são frágeis em um mundo globalizado. Após o abandono do regime fixo em 1997, o país utilizou a flutuação do Won (com intervenções pontuais) como o principal amortecedor em 2008 e 2020. A depreciação cambial real de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permitiu que as exportações compensassem a queda do consumo interno, movendo a economia ao longo da curva BT e mantendo o emprego industrial.</w:t>
      </w:r>
    </w:p>
    <w:bookmarkEnd w:id="122"/>
    <w:bookmarkStart w:id="123" w:name="o-foco-persistente-no-lado-da-oferta-eru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O Foco Persistente no Lado da Oferta (ERU)</w:t>
      </w:r>
    </w:p>
    <w:p>
      <w:pPr>
        <w:pStyle w:val="FirstParagraph"/>
      </w:pPr>
      <w:r>
        <w:t xml:space="preserve">Ao contrário de muitos países ocidentais que focam puramente em estímulos de demanda (curva IS) durante crises, a Coreia sempre manteve uma visão de</w:t>
      </w:r>
      <w:r>
        <w:t xml:space="preserve"> </w:t>
      </w:r>
      <w:r>
        <w:t xml:space="preserve">“</w:t>
      </w:r>
      <w:r>
        <w:t xml:space="preserve">investimento em oferta</w:t>
      </w:r>
      <w:r>
        <w:t xml:space="preserve">”</w:t>
      </w:r>
      <w:r>
        <w:t xml:space="preserve">. Seja o HCI Drive nos anos 70, o Green New Deal em 2008 ou o Chips Act em 2023, o governo sempre busca deslocar a curva</w:t>
      </w:r>
      <w:r>
        <w:t xml:space="preserve"> </w:t>
      </w:r>
      <w:r>
        <w:rPr>
          <w:bCs/>
          <w:b/>
        </w:rPr>
        <w:t xml:space="preserve">ERU para a direita</w:t>
      </w:r>
      <w:r>
        <w:t xml:space="preserve">, aumentando a produtividade e garantindo que os estímulos de curto prazo se traduzam em crescimento sustentável de longo prazo.</w:t>
      </w:r>
    </w:p>
    <w:bookmarkEnd w:id="123"/>
    <w:bookmarkStart w:id="124" w:name="X1d18222e1487c64a7bb0b1c80bed446d97385c9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O Novo Desafio: A Dívida Privada (Dilema de 2024)</w:t>
      </w:r>
    </w:p>
    <w:p>
      <w:pPr>
        <w:pStyle w:val="FirstParagraph"/>
      </w:pPr>
      <w:r>
        <w:t xml:space="preserve">A lição da última década é que o sucesso na estabilização macroeconômica pode levar à complacência financeira. O excesso de liquidez e as baixas taxas de juros durante a pandemia alimentaram uma bolha imobiliária e um endividamento das famílias coreanas que hoje limita o crescimento do consumo (C) e restringe a liberdade do BoK. O equilíbrio futuro dependerá da capacidade do país em gerenciar a desalavancagem privada sem causar uma recessão deflacionária.</w:t>
      </w:r>
    </w:p>
    <w:bookmarkEnd w:id="124"/>
    <w:bookmarkStart w:id="125" w:name="análise-comparativa-sintetizada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Análise Comparativa Sintetizada</w:t>
      </w:r>
    </w:p>
    <w:p>
      <w:pPr>
        <w:pStyle w:val="FirstParagraph"/>
      </w:pPr>
      <w:r>
        <w:t xml:space="preserve">A tabela abaixo resume os canais de transmissão e as respostas políticas nas três crises analisadas: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Crises do Petróleo (73/79)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Crise Financeira (2008)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Pandemia COVID-19 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Canal de Transmissão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 de Custos (Oferta)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 de Demanda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 Misto (Oferta/Demanda)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 no 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Lento (Inflação)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Brusca (Recuperação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Leve (Liderança Tech)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Principal Desequilíbrio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Externa e Inflação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Liquidez em Dólar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Pública e Bolha Imobiliária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Resposta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HCI Drive (Indústria Pesada)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New Deal (Infra)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New Deal (Digital/Saúde)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Resposta Monetária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Expansão (Suporte ao Crédito)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Contração Inicial e Corte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 a Zero e Alta Preventiva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Papel do Câmbio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Desvalorização Planejada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Flutuação e Amortecedor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Estabilidade via Reservas/Swaps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29" w:name="conclusão-item-8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Conclusão (Item 8)</w:t>
      </w:r>
    </w:p>
    <w:p>
      <w:pPr>
        <w:pStyle w:val="FirstParagraph"/>
      </w:pPr>
      <w:r>
        <w:t xml:space="preserve">A Coreia do Sul representa um estudo de caso único na macroeconomia moderna. A análise das crises de 1970 a 2025, conduzida através dos modelos IS-PC-MR e AD-BT-ERU, revela que o segredo coreano não reside apenas na capacidade de resposta anticíclica de curto prazo, mas na visão estrutural de longo prazo.</w:t>
      </w:r>
    </w:p>
    <w:bookmarkStart w:id="127" w:name="a-síntese-de-carlin-soskice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A Síntese de Carlin &amp; Soskice</w:t>
      </w:r>
    </w:p>
    <w:p>
      <w:pPr>
        <w:pStyle w:val="FirstParagraph"/>
      </w:pPr>
      <w:r>
        <w:t xml:space="preserve">Ao longo de 50 anos, a Coreia demonstrou que a estabilidade macroeconômica (equilíbrio na MR) é necessária, mas não suficiente para o desenvolvimento. O país utilizou cada crise para forçar um deslocamento da</w:t>
      </w:r>
      <w:r>
        <w:t xml:space="preserve"> </w:t>
      </w:r>
      <w:r>
        <w:rPr>
          <w:bCs/>
          <w:b/>
        </w:rPr>
        <w:t xml:space="preserve">curva ERU para a direita</w:t>
      </w:r>
      <w:r>
        <w:t xml:space="preserve">. Nas crises do petróleo, construiu a base física; em 2008, a base de infraestrutura sustentável; e na pandemia, a base digital. Essa obsessão pela produtividade (lado da oferta) é o que permitiu que o salário real sustentável crescesse consistentemente, tirando milhões da pobreza.</w:t>
      </w:r>
    </w:p>
    <w:bookmarkEnd w:id="127"/>
    <w:bookmarkStart w:id="128" w:name="desafios-futuros-e-lições-globai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Desafios Futuros e Lições Globais</w:t>
      </w:r>
    </w:p>
    <w:p>
      <w:pPr>
        <w:pStyle w:val="FirstParagraph"/>
      </w:pPr>
      <w:r>
        <w:t xml:space="preserve">Apesar do sucesso, o modelo coreano enfrenta agora o</w:t>
      </w:r>
      <w:r>
        <w:t xml:space="preserve"> </w:t>
      </w:r>
      <w:r>
        <w:t xml:space="preserve">“</w:t>
      </w:r>
      <w:r>
        <w:t xml:space="preserve">limite da dívida privada</w:t>
      </w:r>
      <w:r>
        <w:t xml:space="preserve">”</w:t>
      </w:r>
      <w:r>
        <w:t xml:space="preserve">. Com o crédito ao setor privado em patamares recordes, a eficácia da política monetária torna-se restrita (o canal de transmissão via juros é amplificado pela dívida, podendo gerar instabilidade financeira). Além disso, a crise demográfica impõe uma necessidade urgente de que a tecnologia (IA e automação) continue deslocando a ERU para a direita para compensar a perda acelerada de capital humano.</w:t>
      </w:r>
    </w:p>
    <w:p>
      <w:pPr>
        <w:pStyle w:val="BodyText"/>
      </w:pPr>
      <w:r>
        <w:t xml:space="preserve">Em suma, a lição da Coreia do Sul para outras economias é que as crises devem ser vistas como catalisadores para a modernização produtiva. O país não apenas</w:t>
      </w:r>
      <w:r>
        <w:t xml:space="preserve"> </w:t>
      </w:r>
      <w:r>
        <w:t xml:space="preserve">“</w:t>
      </w:r>
      <w:r>
        <w:t xml:space="preserve">sobreviveu</w:t>
      </w:r>
      <w:r>
        <w:t xml:space="preserve">”</w:t>
      </w:r>
      <w:r>
        <w:t xml:space="preserve"> </w:t>
      </w:r>
      <w:r>
        <w:t xml:space="preserve">às crises do petróleo, de 2008 e da pandemia; ele emergiu de cada uma delas com uma estrutura de oferta mais robusta, tecnológica e integrada, garantindo sua posição como uma das economias mais resilientes e inovadoras do planeta.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referências-bibliográfica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Referências Bibliográficas</w:t>
      </w:r>
    </w:p>
    <w:p>
      <w:pPr>
        <w:pStyle w:val="FirstParagraph"/>
      </w:pPr>
      <w:r>
        <w:t xml:space="preserve">BANK OF KOREA (BOK).</w:t>
      </w:r>
      <w:r>
        <w:t xml:space="preserve"> </w:t>
      </w:r>
      <w:r>
        <w:rPr>
          <w:bCs/>
          <w:b/>
        </w:rPr>
        <w:t xml:space="preserve">Economic Statistics System (ECOS)</w:t>
      </w:r>
      <w:r>
        <w:t xml:space="preserve">. Disponível em:</w:t>
      </w:r>
      <w:r>
        <w:t xml:space="preserve"> </w:t>
      </w:r>
      <w:hyperlink r:id="rId130">
        <w:r>
          <w:rPr>
            <w:rStyle w:val="Hyperlink"/>
          </w:rPr>
          <w:t xml:space="preserve">https://ecos.bok.or.kr</w:t>
        </w:r>
      </w:hyperlink>
      <w:r>
        <w:t xml:space="preserve">. Acesso em: 07 abr. 2026.</w:t>
      </w:r>
    </w:p>
    <w:p>
      <w:pPr>
        <w:pStyle w:val="BodyText"/>
      </w:pPr>
      <w:r>
        <w:t xml:space="preserve">CARLIN, W.; SOSKICE, D.</w:t>
      </w:r>
      <w:r>
        <w:t xml:space="preserve"> </w:t>
      </w:r>
      <w:r>
        <w:rPr>
          <w:bCs/>
          <w:b/>
        </w:rPr>
        <w:t xml:space="preserve">Macroeconomics: Institutions, Instability, and the Financial System</w:t>
      </w:r>
      <w:r>
        <w:t xml:space="preserve">. Oxford University Press, 2015.</w:t>
      </w:r>
    </w:p>
    <w:p>
      <w:pPr>
        <w:pStyle w:val="BodyText"/>
      </w:pPr>
      <w:r>
        <w:t xml:space="preserve">CHEN, W.; MRKAIC, M.; NABAR, M.</w:t>
      </w:r>
      <w:r>
        <w:t xml:space="preserve"> </w:t>
      </w:r>
      <w:r>
        <w:rPr>
          <w:bCs/>
          <w:b/>
        </w:rPr>
        <w:t xml:space="preserve">The Global Economic Recovery 10 Years After the 2008 Financial Crisis</w:t>
      </w:r>
      <w:r>
        <w:t xml:space="preserve">. IMF Working Paper, 2019.</w:t>
      </w:r>
    </w:p>
    <w:p>
      <w:pPr>
        <w:pStyle w:val="BodyText"/>
      </w:pPr>
      <w:r>
        <w:t xml:space="preserve">FEDERAL RESERVE BANK OF ST. LOUIS.</w:t>
      </w:r>
      <w:r>
        <w:t xml:space="preserve"> </w:t>
      </w:r>
      <w:r>
        <w:rPr>
          <w:bCs/>
          <w:b/>
        </w:rPr>
        <w:t xml:space="preserve">Federal Reserve Economic Data (FRED)</w:t>
      </w:r>
      <w:r>
        <w:t xml:space="preserve">. Disponível em:</w:t>
      </w:r>
      <w:r>
        <w:t xml:space="preserve"> </w:t>
      </w:r>
      <w:hyperlink r:id="rId131">
        <w:r>
          <w:rPr>
            <w:rStyle w:val="Hyperlink"/>
          </w:rPr>
          <w:t xml:space="preserve">https://fred.stlouisfed.org</w:t>
        </w:r>
      </w:hyperlink>
      <w:r>
        <w:t xml:space="preserve">. Acesso em: 07 abr. 2026.</w:t>
      </w:r>
    </w:p>
    <w:p>
      <w:pPr>
        <w:pStyle w:val="BodyText"/>
      </w:pPr>
      <w:r>
        <w:t xml:space="preserve">IMF.</w:t>
      </w:r>
      <w:r>
        <w:t xml:space="preserve"> </w:t>
      </w:r>
      <w:r>
        <w:rPr>
          <w:bCs/>
          <w:b/>
        </w:rPr>
        <w:t xml:space="preserve">Article IV Consultation - Republic of Korea</w:t>
      </w:r>
      <w:r>
        <w:t xml:space="preserve">. International Monetary Fund, diversos anos.</w:t>
      </w:r>
    </w:p>
    <w:p>
      <w:pPr>
        <w:pStyle w:val="BodyText"/>
      </w:pPr>
      <w:r>
        <w:t xml:space="preserve">KEELEY, B.; LOVE, P.</w:t>
      </w:r>
      <w:r>
        <w:t xml:space="preserve"> </w:t>
      </w:r>
      <w:r>
        <w:rPr>
          <w:bCs/>
          <w:b/>
        </w:rPr>
        <w:t xml:space="preserve">From Crisis to Recovery: The Causes, Course and Consequences of the Great Recession</w:t>
      </w:r>
      <w:r>
        <w:t xml:space="preserve">. OECD Insights, 2010.</w:t>
      </w:r>
    </w:p>
    <w:p>
      <w:pPr>
        <w:pStyle w:val="BodyText"/>
      </w:pPr>
      <w:r>
        <w:t xml:space="preserve">KOSE, M.; OHNSORGE, F.</w:t>
      </w:r>
      <w:r>
        <w:t xml:space="preserve"> </w:t>
      </w:r>
      <w:r>
        <w:rPr>
          <w:bCs/>
          <w:b/>
        </w:rPr>
        <w:t xml:space="preserve">A Decade After the Global Recession</w:t>
      </w:r>
      <w:r>
        <w:t xml:space="preserve">. World Bank, 2019.</w:t>
      </w:r>
    </w:p>
    <w:p>
      <w:pPr>
        <w:pStyle w:val="BodyText"/>
      </w:pPr>
      <w:r>
        <w:t xml:space="preserve">OECD.</w:t>
      </w:r>
      <w:r>
        <w:t xml:space="preserve"> </w:t>
      </w:r>
      <w:r>
        <w:rPr>
          <w:bCs/>
          <w:b/>
        </w:rPr>
        <w:t xml:space="preserve">Economic Outlook</w:t>
      </w:r>
      <w:r>
        <w:t xml:space="preserve">. Organisation for Economic Co-operation and Development.</w:t>
      </w:r>
    </w:p>
    <w:p>
      <w:pPr>
        <w:pStyle w:val="BodyText"/>
      </w:pPr>
      <w:r>
        <w:t xml:space="preserve">OECD.</w:t>
      </w:r>
      <w:r>
        <w:t xml:space="preserve"> </w:t>
      </w:r>
      <w:r>
        <w:rPr>
          <w:bCs/>
          <w:b/>
        </w:rPr>
        <w:t xml:space="preserve">Economic Surveys: Korea</w:t>
      </w:r>
      <w:r>
        <w:t xml:space="preserve">. Organisation for Economic Co-operation and Development.</w:t>
      </w:r>
    </w:p>
    <w:p>
      <w:pPr>
        <w:pStyle w:val="BodyText"/>
      </w:pPr>
      <w:r>
        <w:t xml:space="preserve">WORLD BANK.</w:t>
      </w:r>
      <w:r>
        <w:t xml:space="preserve"> </w:t>
      </w:r>
      <w:r>
        <w:rPr>
          <w:bCs/>
          <w:b/>
        </w:rPr>
        <w:t xml:space="preserve">Global Economic Prospects</w:t>
      </w:r>
      <w:r>
        <w:t xml:space="preserve">. Washington, DC: World Bank.</w:t>
      </w:r>
    </w:p>
    <w:p>
      <w:pPr>
        <w:pStyle w:val="BodyText"/>
      </w:pPr>
      <w:r>
        <w:t xml:space="preserve">WORLD BANK.</w:t>
      </w:r>
      <w:r>
        <w:t xml:space="preserve"> </w:t>
      </w:r>
      <w:r>
        <w:rPr>
          <w:bCs/>
          <w:b/>
        </w:rPr>
        <w:t xml:space="preserve">World Development Indicators (WDI)</w:t>
      </w:r>
      <w:r>
        <w:t xml:space="preserve">. Disponível em:</w:t>
      </w:r>
      <w:r>
        <w:t xml:space="preserve"> </w:t>
      </w:r>
      <w:hyperlink r:id="rId132">
        <w:r>
          <w:rPr>
            <w:rStyle w:val="Hyperlink"/>
          </w:rPr>
          <w:t xml:space="preserve">https://databank.worldbank.org</w:t>
        </w:r>
      </w:hyperlink>
      <w:r>
        <w:t xml:space="preserve">. Acesso em: 07 abr.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Relatório Macroeconômico (2026.1). Elaborado como parte dos requisitos da disciplina de Macroeconomia.</w:t>
      </w:r>
    </w:p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31" Target="media/rId31.png" /><Relationship Type="http://schemas.openxmlformats.org/officeDocument/2006/relationships/image" Id="rId61" Target="media/rId61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111" Target="media/rId111.png" /><Relationship Type="http://schemas.openxmlformats.org/officeDocument/2006/relationships/image" Id="rId65" Target="media/rId65.png" /><Relationship Type="http://schemas.openxmlformats.org/officeDocument/2006/relationships/image" Id="rId53" Target="media/rId53.png" /><Relationship Type="http://schemas.openxmlformats.org/officeDocument/2006/relationships/image" Id="rId82" Target="media/rId82.png" /><Relationship Type="http://schemas.openxmlformats.org/officeDocument/2006/relationships/image" Id="rId70" Target="media/rId70.png" /><Relationship Type="http://schemas.openxmlformats.org/officeDocument/2006/relationships/image" Id="rId78" Target="media/rId78.png" /><Relationship Type="http://schemas.openxmlformats.org/officeDocument/2006/relationships/image" Id="rId105" Target="media/rId105.png" /><Relationship Type="http://schemas.openxmlformats.org/officeDocument/2006/relationships/image" Id="rId74" Target="media/rId74.png" /><Relationship Type="http://schemas.openxmlformats.org/officeDocument/2006/relationships/image" Id="rId86" Target="media/rId86.png" /><Relationship Type="http://schemas.openxmlformats.org/officeDocument/2006/relationships/hyperlink" Id="rId132" Target="https://databank.worldbank.org" TargetMode="External" /><Relationship Type="http://schemas.openxmlformats.org/officeDocument/2006/relationships/hyperlink" Id="rId130" Target="https://ecos.bok.or.kr" TargetMode="External" /><Relationship Type="http://schemas.openxmlformats.org/officeDocument/2006/relationships/hyperlink" Id="rId131" Target="https://fred.stlouisfed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atabank.worldbank.org" TargetMode="External" /><Relationship Type="http://schemas.openxmlformats.org/officeDocument/2006/relationships/hyperlink" Id="rId130" Target="https://ecos.bok.or.kr" TargetMode="External" /><Relationship Type="http://schemas.openxmlformats.org/officeDocument/2006/relationships/hyperlink" Id="rId131" Target="https://fred.stlouisfed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2026-04-07T04:51:50Z</dcterms:created>
  <dcterms:modified xsi:type="dcterms:W3CDTF">2026-04-07T04:51:50Z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</Properties>
</file>