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2AA" w:rsidRPr="00CB32AA" w:rsidRDefault="00CB32AA" w:rsidP="00CB32AA">
      <w:pPr>
        <w:spacing w:before="80" w:after="0"/>
        <w:jc w:val="center"/>
        <w:rPr>
          <w:b/>
          <w:u w:val="single"/>
        </w:rPr>
      </w:pPr>
      <w:r w:rsidRPr="00CB32AA">
        <w:rPr>
          <w:b/>
          <w:u w:val="single"/>
        </w:rPr>
        <w:t>BUSINESS RULES TO DEFINE LINE OF TREATMENT IN MYELOFIBROSIS</w:t>
      </w:r>
    </w:p>
    <w:p w:rsidR="00504D8D" w:rsidRPr="00B901C5" w:rsidRDefault="00504D8D" w:rsidP="00DB0C19">
      <w:pPr>
        <w:pStyle w:val="ListParagraph"/>
        <w:spacing w:before="80" w:after="0"/>
        <w:ind w:left="360"/>
        <w:contextualSpacing w:val="0"/>
        <w:jc w:val="both"/>
      </w:pPr>
    </w:p>
    <w:p w:rsidR="00CB32AA" w:rsidRDefault="00CB32AA" w:rsidP="00DB0C19">
      <w:pPr>
        <w:ind w:left="270" w:hanging="270"/>
        <w:jc w:val="both"/>
      </w:pPr>
    </w:p>
    <w:p w:rsidR="000A3A47" w:rsidRDefault="000A3A47" w:rsidP="00DB0C19">
      <w:pPr>
        <w:ind w:left="270" w:hanging="270"/>
        <w:jc w:val="both"/>
        <w:rPr>
          <w:b/>
          <w:u w:val="single"/>
        </w:rPr>
      </w:pPr>
      <w:r>
        <w:rPr>
          <w:b/>
          <w:u w:val="single"/>
        </w:rPr>
        <w:t>Inclusion/exclusion criteria</w:t>
      </w:r>
    </w:p>
    <w:p w:rsidR="000A3A47" w:rsidRDefault="000A3A47" w:rsidP="000A3A47">
      <w:pPr>
        <w:pStyle w:val="ListParagraph"/>
        <w:numPr>
          <w:ilvl w:val="0"/>
          <w:numId w:val="23"/>
        </w:numPr>
        <w:jc w:val="both"/>
      </w:pPr>
      <w:r w:rsidRPr="000A3A47">
        <w:t xml:space="preserve">No other primary cancer diagnosis within the previous 2 years of index diagnosis, or </w:t>
      </w:r>
      <w:r>
        <w:t>the available lookback period, whichever is shorter</w:t>
      </w:r>
    </w:p>
    <w:p w:rsidR="000A3A47" w:rsidRDefault="000A3A47" w:rsidP="000A3A47">
      <w:pPr>
        <w:pStyle w:val="ListParagraph"/>
        <w:numPr>
          <w:ilvl w:val="0"/>
          <w:numId w:val="23"/>
        </w:numPr>
        <w:jc w:val="both"/>
      </w:pPr>
      <w:r>
        <w:t>Clear lookback (no other MF diagnosis or drug usage) of minimum ___ months</w:t>
      </w:r>
      <w:r w:rsidRPr="000A3A47">
        <w:t xml:space="preserve"> </w:t>
      </w:r>
    </w:p>
    <w:p w:rsidR="000A3A47" w:rsidRPr="000A3A47" w:rsidRDefault="000A3A47" w:rsidP="000A3A47">
      <w:pPr>
        <w:pStyle w:val="ListParagraph"/>
        <w:numPr>
          <w:ilvl w:val="0"/>
          <w:numId w:val="23"/>
        </w:numPr>
        <w:jc w:val="both"/>
      </w:pPr>
      <w:r>
        <w:t>Age to exceed 18</w:t>
      </w:r>
    </w:p>
    <w:p w:rsidR="00504D8D" w:rsidRPr="004B027F" w:rsidRDefault="000A3A47" w:rsidP="00DB0C19">
      <w:pPr>
        <w:ind w:left="270" w:hanging="270"/>
        <w:jc w:val="both"/>
        <w:rPr>
          <w:b/>
          <w:u w:val="single"/>
        </w:rPr>
      </w:pPr>
      <w:r>
        <w:rPr>
          <w:b/>
          <w:u w:val="single"/>
        </w:rPr>
        <w:t>Relevant diagnosis codes</w:t>
      </w:r>
      <w:r w:rsidR="004B027F">
        <w:rPr>
          <w:b/>
          <w:u w:val="single"/>
        </w:rPr>
        <w:t>*</w:t>
      </w:r>
      <w:r w:rsidR="00504D8D" w:rsidRPr="004B027F">
        <w:rPr>
          <w:b/>
          <w:u w:val="single"/>
        </w:rPr>
        <w:t>:</w:t>
      </w:r>
    </w:p>
    <w:p w:rsidR="00504D8D" w:rsidRPr="00DB0C19" w:rsidRDefault="00504D8D" w:rsidP="00CB32AA">
      <w:pPr>
        <w:spacing w:line="240" w:lineRule="auto"/>
        <w:ind w:left="270"/>
        <w:jc w:val="both"/>
      </w:pPr>
      <w:r>
        <w:t>Primary</w:t>
      </w:r>
      <w:r w:rsidR="004B027F">
        <w:t xml:space="preserve"> MF</w:t>
      </w:r>
      <w:r>
        <w:t>:</w:t>
      </w:r>
      <w:r w:rsidR="00CB32AA">
        <w:t xml:space="preserve"> </w:t>
      </w:r>
      <w:r w:rsidRPr="00DB0C19">
        <w:t>I</w:t>
      </w:r>
      <w:r w:rsidR="00DB0C19" w:rsidRPr="00DB0C19">
        <w:t>ncidence of P</w:t>
      </w:r>
      <w:r w:rsidRPr="00DB0C19">
        <w:t>rimary MF (ICD9 code 238.76),</w:t>
      </w:r>
    </w:p>
    <w:p w:rsidR="00504D8D" w:rsidRDefault="00504D8D" w:rsidP="00DB0C19">
      <w:pPr>
        <w:spacing w:line="240" w:lineRule="auto"/>
        <w:ind w:left="270"/>
        <w:jc w:val="both"/>
      </w:pPr>
      <w:r>
        <w:t>Secondary</w:t>
      </w:r>
      <w:r w:rsidR="004B027F">
        <w:t xml:space="preserve"> MF</w:t>
      </w:r>
      <w:r>
        <w:t>:</w:t>
      </w:r>
      <w:r w:rsidR="00CB32AA">
        <w:t xml:space="preserve"> </w:t>
      </w:r>
      <w:r w:rsidRPr="00DB0C19">
        <w:t>SMF (ICD 9 code 289.83) with prior diagnosis of PV (ICD9 code 238.4) or ET (ICD9 Code 238.71) reported in last 12 months</w:t>
      </w:r>
    </w:p>
    <w:p w:rsidR="004B027F" w:rsidRPr="00DB0C19" w:rsidRDefault="004B027F" w:rsidP="00DB0C19">
      <w:pPr>
        <w:spacing w:line="240" w:lineRule="auto"/>
        <w:ind w:left="270"/>
        <w:jc w:val="both"/>
      </w:pPr>
    </w:p>
    <w:p w:rsidR="00853BCE" w:rsidRPr="00B901C5" w:rsidRDefault="004B027F" w:rsidP="00DB0C19">
      <w:pPr>
        <w:jc w:val="both"/>
      </w:pPr>
      <w:r w:rsidRPr="00CB32AA">
        <w:rPr>
          <w:b/>
          <w:u w:val="single"/>
        </w:rPr>
        <w:t>L</w:t>
      </w:r>
      <w:r>
        <w:rPr>
          <w:b/>
          <w:u w:val="single"/>
        </w:rPr>
        <w:t>ine of Treatment in Myelofibrosis</w:t>
      </w:r>
    </w:p>
    <w:p w:rsidR="00826A61" w:rsidRPr="00B901C5" w:rsidRDefault="00826A61" w:rsidP="00DB0C19">
      <w:pPr>
        <w:pStyle w:val="ListParagraph"/>
        <w:numPr>
          <w:ilvl w:val="0"/>
          <w:numId w:val="7"/>
        </w:numPr>
        <w:spacing w:before="80" w:after="0"/>
        <w:jc w:val="both"/>
      </w:pPr>
      <w:r w:rsidRPr="00B901C5">
        <w:t xml:space="preserve">The usage of each </w:t>
      </w:r>
      <w:r w:rsidR="00C67C12">
        <w:t>MF</w:t>
      </w:r>
      <w:r w:rsidRPr="00B901C5">
        <w:t xml:space="preserve"> drug</w:t>
      </w:r>
      <w:r w:rsidR="00A379AE">
        <w:t xml:space="preserve"> </w:t>
      </w:r>
      <w:r w:rsidRPr="00B901C5">
        <w:t xml:space="preserve"> will be analyzed individually:</w:t>
      </w:r>
    </w:p>
    <w:p w:rsidR="00947541" w:rsidRPr="00B901C5" w:rsidRDefault="00986606" w:rsidP="00DB0C19">
      <w:pPr>
        <w:numPr>
          <w:ilvl w:val="0"/>
          <w:numId w:val="6"/>
        </w:numPr>
        <w:tabs>
          <w:tab w:val="num" w:pos="720"/>
        </w:tabs>
        <w:spacing w:before="80" w:after="0"/>
        <w:jc w:val="both"/>
      </w:pPr>
      <w:r w:rsidRPr="00B901C5">
        <w:t>Treatment period with a drug would be the period from the first date of use to the last date of use</w:t>
      </w:r>
      <w:r w:rsidR="00D96BAF">
        <w:t xml:space="preserve"> as determined after applying days supply to each drug usage </w:t>
      </w:r>
      <w:r w:rsidR="00D96BAF" w:rsidRPr="00B901C5">
        <w:t>(</w:t>
      </w:r>
      <w:r w:rsidR="00D96BAF" w:rsidRPr="00A379AE">
        <w:t>dayssup is assumed to be to be 30 days</w:t>
      </w:r>
      <w:r w:rsidR="00D96BAF">
        <w:t xml:space="preserve"> (in case the data is not present in claims data or </w:t>
      </w:r>
      <w:r w:rsidR="00D96BAF" w:rsidRPr="00B901C5">
        <w:t xml:space="preserve">dayssup </w:t>
      </w:r>
      <w:r w:rsidR="00D96BAF">
        <w:t>is less than 15 days)</w:t>
      </w:r>
      <w:r w:rsidR="00D96BAF" w:rsidRPr="00B901C5">
        <w:t xml:space="preserve"> for all oral therapies while that for injectable would be the last Rx date</w:t>
      </w:r>
      <w:r w:rsidR="00D96BAF">
        <w:t xml:space="preserve"> </w:t>
      </w:r>
      <w:r w:rsidR="00D96BAF" w:rsidRPr="00B901C5">
        <w:t>plus estimated clinical benefit of 30 days)</w:t>
      </w:r>
      <w:r w:rsidRPr="00B901C5">
        <w:t xml:space="preserve">; the latter is the earliest date when there is at least a </w:t>
      </w:r>
      <w:r w:rsidR="00D96BAF">
        <w:t>60</w:t>
      </w:r>
      <w:r w:rsidRPr="00B901C5">
        <w:t xml:space="preserve"> day gap before the next claim of the same </w:t>
      </w:r>
      <w:r w:rsidR="00C67C12">
        <w:t>MF</w:t>
      </w:r>
      <w:r w:rsidRPr="00B901C5">
        <w:t xml:space="preserve"> drug.</w:t>
      </w:r>
      <w:bookmarkStart w:id="0" w:name="_GoBack"/>
      <w:bookmarkEnd w:id="0"/>
    </w:p>
    <w:p w:rsidR="00947541" w:rsidRPr="00B901C5" w:rsidRDefault="00986606" w:rsidP="00DB0C19">
      <w:pPr>
        <w:numPr>
          <w:ilvl w:val="0"/>
          <w:numId w:val="6"/>
        </w:numPr>
        <w:tabs>
          <w:tab w:val="num" w:pos="720"/>
        </w:tabs>
        <w:spacing w:before="80" w:after="0"/>
        <w:jc w:val="both"/>
      </w:pPr>
      <w:r w:rsidRPr="00B901C5">
        <w:t>A</w:t>
      </w:r>
      <w:r w:rsidR="002327AA">
        <w:t xml:space="preserve"> </w:t>
      </w:r>
      <w:r w:rsidRPr="00B901C5">
        <w:t xml:space="preserve">drug used multiple times with a gap of more than </w:t>
      </w:r>
      <w:r w:rsidR="003F72BB" w:rsidRPr="00B901C5">
        <w:t>6</w:t>
      </w:r>
      <w:r w:rsidRPr="00B901C5">
        <w:t>0 days will have multiple treatment periods (start dates and end dates)</w:t>
      </w:r>
    </w:p>
    <w:p w:rsidR="00947541" w:rsidRPr="00B901C5" w:rsidRDefault="00986606" w:rsidP="00DB0C19">
      <w:pPr>
        <w:numPr>
          <w:ilvl w:val="0"/>
          <w:numId w:val="6"/>
        </w:numPr>
        <w:spacing w:before="80" w:after="0"/>
        <w:jc w:val="both"/>
      </w:pPr>
      <w:r w:rsidRPr="00B901C5">
        <w:t>For an oral therapy, the end date for each treatment period would be the last Rx date in that treatment period + days supply (</w:t>
      </w:r>
      <w:r w:rsidRPr="00A379AE">
        <w:t>dayssup is assumed to be to be 30 days</w:t>
      </w:r>
      <w:r w:rsidR="002327AA">
        <w:t xml:space="preserve"> (in case the data is not present in claims data or </w:t>
      </w:r>
      <w:r w:rsidR="002327AA" w:rsidRPr="00B901C5">
        <w:t xml:space="preserve">dayssup </w:t>
      </w:r>
      <w:r w:rsidR="002327AA">
        <w:t>is less than 15 days)</w:t>
      </w:r>
      <w:r w:rsidRPr="00B901C5">
        <w:t xml:space="preserve"> for all oral therapies while that for injectable would be the last Rx date</w:t>
      </w:r>
      <w:r w:rsidR="002327AA">
        <w:t xml:space="preserve"> </w:t>
      </w:r>
      <w:r w:rsidR="001217D1" w:rsidRPr="00B901C5">
        <w:t>plus estimated clinical benefit</w:t>
      </w:r>
      <w:r w:rsidR="004A33D7" w:rsidRPr="00B901C5">
        <w:t xml:space="preserve"> of 30 days</w:t>
      </w:r>
      <w:r w:rsidRPr="00B901C5">
        <w:t>).</w:t>
      </w:r>
    </w:p>
    <w:p w:rsidR="00826A61" w:rsidRPr="00B901C5" w:rsidRDefault="00826A61" w:rsidP="00DB0C19">
      <w:pPr>
        <w:spacing w:before="80" w:after="0"/>
        <w:ind w:left="720"/>
        <w:jc w:val="both"/>
      </w:pPr>
      <w:r w:rsidRPr="00B901C5">
        <w:t xml:space="preserve">(Analysis of claims data showed that in &gt;95% of drug claims, difference between two consecutive prescriptions is less than </w:t>
      </w:r>
      <w:r w:rsidR="003F72BB" w:rsidRPr="00B901C5">
        <w:t>6</w:t>
      </w:r>
      <w:r w:rsidRPr="00B901C5">
        <w:t xml:space="preserve">0 days. Therefore, period of </w:t>
      </w:r>
      <w:r w:rsidR="003F72BB" w:rsidRPr="00B901C5">
        <w:t>6</w:t>
      </w:r>
      <w:r w:rsidRPr="00B901C5">
        <w:t>0 days has been considered)</w:t>
      </w:r>
      <w:r w:rsidR="00C67C12">
        <w:t xml:space="preserve">-  </w:t>
      </w:r>
      <w:r w:rsidR="00C67C12" w:rsidRPr="00A379AE">
        <w:rPr>
          <w:i/>
          <w:color w:val="FF0000"/>
        </w:rPr>
        <w:t xml:space="preserve">need to replicate </w:t>
      </w:r>
      <w:r w:rsidR="00A379AE" w:rsidRPr="00A379AE">
        <w:rPr>
          <w:i/>
          <w:color w:val="FF0000"/>
        </w:rPr>
        <w:t>same analysis for MF</w:t>
      </w:r>
    </w:p>
    <w:p w:rsidR="00826A61" w:rsidRPr="00B901C5" w:rsidRDefault="00826A61" w:rsidP="00DB0C19">
      <w:pPr>
        <w:spacing w:before="80" w:after="0"/>
        <w:jc w:val="both"/>
      </w:pPr>
    </w:p>
    <w:p w:rsidR="00826A61" w:rsidRPr="00B901C5" w:rsidRDefault="00826A61" w:rsidP="00DB0C19">
      <w:pPr>
        <w:pStyle w:val="ListParagraph"/>
        <w:numPr>
          <w:ilvl w:val="0"/>
          <w:numId w:val="7"/>
        </w:numPr>
        <w:spacing w:before="80" w:after="0"/>
        <w:jc w:val="both"/>
      </w:pPr>
      <w:r w:rsidRPr="00B901C5">
        <w:t xml:space="preserve">Once the different treatment periods of each </w:t>
      </w:r>
      <w:r w:rsidR="00C67C12">
        <w:t>MF</w:t>
      </w:r>
      <w:r w:rsidRPr="00B901C5">
        <w:t xml:space="preserve"> drug have been identified, these periods are lined up such that the entire treatment duration for a patient is broken up into multiple intervals, each with a distinct regimen (i.e. a single drug or a combination of drugs). Each such successive interval is deemed to be a different line of treatment for a patient, subject to the below </w:t>
      </w:r>
      <w:r w:rsidR="002E293D" w:rsidRPr="00B901C5">
        <w:t>stipulations</w:t>
      </w:r>
      <w:r w:rsidRPr="00B901C5">
        <w:t>:</w:t>
      </w:r>
    </w:p>
    <w:p w:rsidR="00A379AE" w:rsidRDefault="009A5159" w:rsidP="00DB0C19">
      <w:pPr>
        <w:pStyle w:val="ListParagraph"/>
        <w:numPr>
          <w:ilvl w:val="0"/>
          <w:numId w:val="8"/>
        </w:numPr>
        <w:spacing w:before="80" w:after="0"/>
        <w:contextualSpacing w:val="0"/>
        <w:jc w:val="both"/>
      </w:pPr>
      <w:r w:rsidRPr="00B901C5">
        <w:t xml:space="preserve">If a regimen </w:t>
      </w:r>
      <w:r w:rsidR="00A379AE" w:rsidRPr="00B901C5">
        <w:t xml:space="preserve">comprises </w:t>
      </w:r>
      <w:r w:rsidR="00A379AE">
        <w:t>of Jakafi (only drug approved to treat MF patients) and any other MF drug</w:t>
      </w:r>
      <w:r w:rsidRPr="00B901C5">
        <w:t xml:space="preserve">, the regimen will be replaced with only </w:t>
      </w:r>
      <w:r w:rsidR="00A379AE">
        <w:t>Jakafi.</w:t>
      </w:r>
    </w:p>
    <w:p w:rsidR="009A5159" w:rsidRPr="00B901C5" w:rsidRDefault="009A5159" w:rsidP="00DB0C19">
      <w:pPr>
        <w:pStyle w:val="ListParagraph"/>
        <w:numPr>
          <w:ilvl w:val="0"/>
          <w:numId w:val="8"/>
        </w:numPr>
        <w:spacing w:before="80" w:after="0"/>
        <w:contextualSpacing w:val="0"/>
        <w:jc w:val="both"/>
      </w:pPr>
      <w:r w:rsidRPr="00B901C5">
        <w:lastRenderedPageBreak/>
        <w:t xml:space="preserve">If a regimen comprises an ‘other </w:t>
      </w:r>
      <w:r w:rsidR="00C67C12">
        <w:t>MF</w:t>
      </w:r>
      <w:r w:rsidRPr="00B901C5">
        <w:t xml:space="preserve"> drug(s)’ along with a steroid, the regimen will be replaced with only the ‘other </w:t>
      </w:r>
      <w:r w:rsidR="00C67C12">
        <w:t>MF</w:t>
      </w:r>
      <w:r w:rsidRPr="00B901C5">
        <w:t xml:space="preserve"> drug(s)’. In other words, the steroid will be deleted from the regimen</w:t>
      </w:r>
      <w:r w:rsidR="00E45B12" w:rsidRPr="00B901C5">
        <w:t xml:space="preserve">. </w:t>
      </w:r>
      <w:r w:rsidR="00E445DB" w:rsidRPr="00B901C5">
        <w:t>If this regimen is &lt;=30 days, disregard the regimen</w:t>
      </w:r>
      <w:r w:rsidR="002248DF" w:rsidRPr="00B901C5">
        <w:t xml:space="preserve"> and replace by a blank</w:t>
      </w:r>
    </w:p>
    <w:p w:rsidR="009A5159" w:rsidRPr="00B901C5" w:rsidRDefault="009A5159" w:rsidP="00DB0C19">
      <w:pPr>
        <w:pStyle w:val="ListParagraph"/>
        <w:numPr>
          <w:ilvl w:val="0"/>
          <w:numId w:val="8"/>
        </w:numPr>
        <w:spacing w:before="80" w:after="0"/>
        <w:contextualSpacing w:val="0"/>
        <w:jc w:val="both"/>
      </w:pPr>
      <w:r w:rsidRPr="00B901C5">
        <w:t xml:space="preserve">If a regimen comprises only a steroid(s), the regimen will be </w:t>
      </w:r>
      <w:r w:rsidR="00E45B12" w:rsidRPr="00B901C5">
        <w:t>disregarded</w:t>
      </w:r>
      <w:r w:rsidR="005816FA" w:rsidRPr="00B901C5">
        <w:t xml:space="preserve"> and replaced by a blank</w:t>
      </w:r>
      <w:r w:rsidR="00B901C5">
        <w:t>, if the duration</w:t>
      </w:r>
      <w:r w:rsidR="002327AA">
        <w:t xml:space="preserve"> </w:t>
      </w:r>
      <w:r w:rsidR="00B901C5">
        <w:t>of the regimen is &lt;=30 days. Else, the regimen will stand and no change or adjustment will be made</w:t>
      </w:r>
    </w:p>
    <w:p w:rsidR="008D4AA4" w:rsidRPr="00B901C5" w:rsidRDefault="008D4AA4" w:rsidP="00DB0C19">
      <w:pPr>
        <w:pStyle w:val="ListParagraph"/>
        <w:numPr>
          <w:ilvl w:val="0"/>
          <w:numId w:val="8"/>
        </w:numPr>
        <w:spacing w:before="80" w:after="0"/>
        <w:contextualSpacing w:val="0"/>
        <w:jc w:val="both"/>
      </w:pPr>
      <w:r w:rsidRPr="00B901C5">
        <w:t xml:space="preserve">Upon completion of </w:t>
      </w:r>
      <w:r w:rsidR="00AE0B33" w:rsidRPr="00B901C5">
        <w:t xml:space="preserve">each of </w:t>
      </w:r>
      <w:r w:rsidR="00B96845">
        <w:t>steps a-c</w:t>
      </w:r>
      <w:r w:rsidR="00AE0B33" w:rsidRPr="00B901C5">
        <w:t xml:space="preserve"> and prior to proceeding to next step</w:t>
      </w:r>
      <w:r w:rsidRPr="00B901C5">
        <w:t xml:space="preserve">, all successive LOTs that are identical (regimens should be exactly the same) and occur without any gap between them will be merged into the same LOT </w:t>
      </w:r>
    </w:p>
    <w:p w:rsidR="00826A61" w:rsidRPr="00B901C5" w:rsidRDefault="00826A61" w:rsidP="00DB0C19">
      <w:pPr>
        <w:pStyle w:val="ListParagraph"/>
        <w:numPr>
          <w:ilvl w:val="0"/>
          <w:numId w:val="8"/>
        </w:numPr>
        <w:spacing w:before="80" w:after="0"/>
        <w:contextualSpacing w:val="0"/>
        <w:jc w:val="both"/>
        <w:rPr>
          <w:b/>
        </w:rPr>
      </w:pPr>
      <w:r w:rsidRPr="00B901C5">
        <w:rPr>
          <w:b/>
        </w:rPr>
        <w:t xml:space="preserve">If there is a blank regimen of less than 30 days: </w:t>
      </w:r>
    </w:p>
    <w:p w:rsidR="004B027F" w:rsidRPr="004B027F" w:rsidRDefault="00986606" w:rsidP="004B027F">
      <w:pPr>
        <w:pStyle w:val="ListParagraph"/>
        <w:numPr>
          <w:ilvl w:val="1"/>
          <w:numId w:val="10"/>
        </w:numPr>
        <w:spacing w:before="80"/>
        <w:ind w:left="1530" w:hanging="180"/>
        <w:contextualSpacing w:val="0"/>
        <w:jc w:val="both"/>
      </w:pPr>
      <w:r w:rsidRPr="00B901C5">
        <w:t xml:space="preserve">If preceding and succeeding regimens are </w:t>
      </w:r>
      <w:r w:rsidR="002E293D" w:rsidRPr="00B901C5">
        <w:t xml:space="preserve">the </w:t>
      </w:r>
      <w:r w:rsidRPr="00B901C5">
        <w:t xml:space="preserve">same; then the preceding regimen </w:t>
      </w:r>
      <w:r w:rsidR="002E293D" w:rsidRPr="00B901C5">
        <w:t>will</w:t>
      </w:r>
      <w:r w:rsidRPr="00B901C5">
        <w:t xml:space="preserve"> be deemed to continue till the end date of the regimen succeeding the blank regimen. </w:t>
      </w:r>
    </w:p>
    <w:p w:rsidR="00826A61" w:rsidRDefault="00826A61" w:rsidP="004B027F">
      <w:pPr>
        <w:pStyle w:val="ListParagraph"/>
        <w:numPr>
          <w:ilvl w:val="1"/>
          <w:numId w:val="10"/>
        </w:numPr>
        <w:spacing w:before="80"/>
        <w:ind w:left="1530" w:hanging="180"/>
        <w:contextualSpacing w:val="0"/>
        <w:jc w:val="both"/>
      </w:pPr>
      <w:r w:rsidRPr="00B901C5">
        <w:t xml:space="preserve">If the preceding and succeeding regimens are different then these would be considered as two different regimens and the blank regimen </w:t>
      </w:r>
      <w:r w:rsidR="001737B8" w:rsidRPr="00B901C5">
        <w:t>will be disregarded</w:t>
      </w:r>
      <w:r w:rsidRPr="00B901C5">
        <w:t>.</w:t>
      </w:r>
    </w:p>
    <w:p w:rsidR="00DB0C19" w:rsidRPr="00B901C5" w:rsidRDefault="00DB0C19" w:rsidP="00DB0C19">
      <w:pPr>
        <w:pStyle w:val="ListParagraph"/>
        <w:spacing w:before="80" w:after="0"/>
        <w:ind w:left="1530"/>
        <w:contextualSpacing w:val="0"/>
        <w:jc w:val="both"/>
      </w:pPr>
    </w:p>
    <w:p w:rsidR="00947541" w:rsidRPr="00756742" w:rsidRDefault="00826A61" w:rsidP="00DB0C19">
      <w:pPr>
        <w:pStyle w:val="ListParagraph"/>
        <w:spacing w:before="80"/>
        <w:ind w:left="1080"/>
        <w:contextualSpacing w:val="0"/>
        <w:jc w:val="both"/>
      </w:pPr>
      <w:r w:rsidRPr="00B901C5">
        <w:t>(</w:t>
      </w:r>
      <w:r w:rsidR="00863920" w:rsidRPr="00B901C5">
        <w:t>RATIONALE FOR THE ABOVE:</w:t>
      </w:r>
      <w:r w:rsidR="002327AA">
        <w:t xml:space="preserve"> </w:t>
      </w:r>
      <w:r w:rsidRPr="00B901C5">
        <w:t xml:space="preserve">During treatment with any regimen, a gap of up to 30 days could exist on account of compliance or adverse events. Therefore, </w:t>
      </w:r>
      <w:r w:rsidR="00863920" w:rsidRPr="00B901C5">
        <w:t>i</w:t>
      </w:r>
      <w:r w:rsidRPr="00B901C5">
        <w:t>) i</w:t>
      </w:r>
      <w:r w:rsidR="00986606" w:rsidRPr="00B901C5">
        <w:t xml:space="preserve">f </w:t>
      </w:r>
      <w:r w:rsidR="00863920" w:rsidRPr="00B901C5">
        <w:t xml:space="preserve">the </w:t>
      </w:r>
      <w:r w:rsidR="00986606" w:rsidRPr="00B901C5">
        <w:t>preceding and succeeding regimen</w:t>
      </w:r>
      <w:r w:rsidR="00863920" w:rsidRPr="00B901C5">
        <w:t>s</w:t>
      </w:r>
      <w:r w:rsidR="00986606" w:rsidRPr="00B901C5">
        <w:t xml:space="preserve"> are similar, the 2 periods would be treated as continuous</w:t>
      </w:r>
      <w:r w:rsidRPr="00B901C5">
        <w:t xml:space="preserve">; </w:t>
      </w:r>
      <w:r w:rsidR="00863920" w:rsidRPr="00B901C5">
        <w:t>ii</w:t>
      </w:r>
      <w:r w:rsidRPr="00B901C5">
        <w:t xml:space="preserve">) </w:t>
      </w:r>
      <w:r w:rsidR="00986606" w:rsidRPr="00B901C5">
        <w:t>In all other cases they would be treated as two different regimens</w:t>
      </w:r>
      <w:r w:rsidR="00756742">
        <w:t xml:space="preserve">- </w:t>
      </w:r>
      <w:r w:rsidR="00756742" w:rsidRPr="00756742">
        <w:rPr>
          <w:i/>
          <w:color w:val="FF0000"/>
        </w:rPr>
        <w:t xml:space="preserve">to be examined </w:t>
      </w:r>
    </w:p>
    <w:p w:rsidR="00826A61" w:rsidRPr="00B901C5" w:rsidRDefault="00826A61" w:rsidP="00DB0C19">
      <w:pPr>
        <w:pStyle w:val="ListParagraph"/>
        <w:spacing w:before="80" w:after="0"/>
        <w:ind w:left="1080"/>
        <w:jc w:val="both"/>
      </w:pPr>
    </w:p>
    <w:p w:rsidR="00826A61" w:rsidRPr="00B901C5" w:rsidRDefault="00826A61" w:rsidP="00DB0C19">
      <w:pPr>
        <w:pStyle w:val="ListParagraph"/>
        <w:numPr>
          <w:ilvl w:val="0"/>
          <w:numId w:val="8"/>
        </w:numPr>
        <w:spacing w:before="80" w:after="0"/>
        <w:jc w:val="both"/>
        <w:rPr>
          <w:b/>
        </w:rPr>
      </w:pPr>
      <w:r w:rsidRPr="00B901C5">
        <w:rPr>
          <w:b/>
        </w:rPr>
        <w:t xml:space="preserve">If there is a blank regimen of between 30 and </w:t>
      </w:r>
      <w:r w:rsidR="003F72BB" w:rsidRPr="00B901C5">
        <w:rPr>
          <w:b/>
        </w:rPr>
        <w:t>6</w:t>
      </w:r>
      <w:r w:rsidRPr="00B901C5">
        <w:rPr>
          <w:b/>
        </w:rPr>
        <w:t xml:space="preserve">0 days: </w:t>
      </w:r>
    </w:p>
    <w:p w:rsidR="00947541" w:rsidRPr="00B901C5" w:rsidRDefault="00986606" w:rsidP="00DB0C19">
      <w:pPr>
        <w:pStyle w:val="ListParagraph"/>
        <w:numPr>
          <w:ilvl w:val="0"/>
          <w:numId w:val="13"/>
        </w:numPr>
        <w:spacing w:before="80"/>
        <w:ind w:left="1530" w:hanging="180"/>
        <w:contextualSpacing w:val="0"/>
        <w:jc w:val="both"/>
      </w:pPr>
      <w:r w:rsidRPr="00B901C5">
        <w:t>If preceding and succeeding regimens are the same; then the preceding regimen w</w:t>
      </w:r>
      <w:r w:rsidR="002E293D" w:rsidRPr="00B901C5">
        <w:t>ill</w:t>
      </w:r>
      <w:r w:rsidRPr="00B901C5">
        <w:t xml:space="preserve"> be deemed to continue till the end date of the regimen succeeding the blank regimen. </w:t>
      </w:r>
    </w:p>
    <w:p w:rsidR="00947541" w:rsidRPr="00B901C5" w:rsidRDefault="00986606" w:rsidP="00DB0C19">
      <w:pPr>
        <w:pStyle w:val="ListParagraph"/>
        <w:numPr>
          <w:ilvl w:val="0"/>
          <w:numId w:val="13"/>
        </w:numPr>
        <w:spacing w:before="80"/>
        <w:ind w:left="1530" w:hanging="180"/>
        <w:contextualSpacing w:val="0"/>
        <w:jc w:val="both"/>
      </w:pPr>
      <w:r w:rsidRPr="00B901C5">
        <w:t xml:space="preserve"> Either preceding and succeeding regimens are different then these would be considered as two different regimens and the blank regimen will </w:t>
      </w:r>
      <w:r w:rsidR="002E293D" w:rsidRPr="00B901C5">
        <w:t>be disregarded</w:t>
      </w:r>
      <w:r w:rsidRPr="00B901C5">
        <w:t>.</w:t>
      </w:r>
    </w:p>
    <w:p w:rsidR="00947541" w:rsidRPr="00B901C5" w:rsidRDefault="002E293D" w:rsidP="00DB0C19">
      <w:pPr>
        <w:pStyle w:val="ListParagraph"/>
        <w:spacing w:before="80"/>
        <w:ind w:left="1080"/>
        <w:contextualSpacing w:val="0"/>
        <w:jc w:val="both"/>
      </w:pPr>
      <w:r w:rsidRPr="00B901C5">
        <w:t>(RATIONAL</w:t>
      </w:r>
      <w:r w:rsidR="00863920" w:rsidRPr="00B901C5">
        <w:t>E FOR THE ABOV</w:t>
      </w:r>
      <w:r w:rsidRPr="00B901C5">
        <w:t>E: During treatment wi</w:t>
      </w:r>
      <w:r w:rsidR="009A5159" w:rsidRPr="00B901C5">
        <w:t>th any regimen, a gap of up to 6</w:t>
      </w:r>
      <w:r w:rsidRPr="00B901C5">
        <w:t xml:space="preserve">0 days could exist on account of compliance or adverse events. Therefore, </w:t>
      </w:r>
      <w:r w:rsidR="00863920" w:rsidRPr="00B901C5">
        <w:t>i</w:t>
      </w:r>
      <w:r w:rsidRPr="00B901C5">
        <w:t>) if</w:t>
      </w:r>
      <w:r w:rsidR="00986606" w:rsidRPr="00B901C5">
        <w:t xml:space="preserve"> preceding and succeeding regimen are similar, both would be merged</w:t>
      </w:r>
      <w:r w:rsidRPr="00B901C5">
        <w:t xml:space="preserve">, and </w:t>
      </w:r>
      <w:r w:rsidR="00863920" w:rsidRPr="00B901C5">
        <w:t>ii</w:t>
      </w:r>
      <w:r w:rsidRPr="00B901C5">
        <w:t>) if</w:t>
      </w:r>
      <w:r w:rsidR="00986606" w:rsidRPr="00B901C5">
        <w:t xml:space="preserve"> preceding and succeeding regimen are not similar then they would be treated as two different regimens</w:t>
      </w:r>
      <w:r w:rsidR="00756742">
        <w:t>-</w:t>
      </w:r>
      <w:r w:rsidR="00756742" w:rsidRPr="00756742">
        <w:rPr>
          <w:i/>
          <w:color w:val="FF0000"/>
        </w:rPr>
        <w:t xml:space="preserve"> to be examined </w:t>
      </w:r>
    </w:p>
    <w:p w:rsidR="002E293D" w:rsidRPr="00B901C5" w:rsidRDefault="002E293D" w:rsidP="00DB0C19">
      <w:pPr>
        <w:pStyle w:val="ListParagraph"/>
        <w:numPr>
          <w:ilvl w:val="0"/>
          <w:numId w:val="8"/>
        </w:numPr>
        <w:spacing w:before="80" w:after="0"/>
        <w:jc w:val="both"/>
        <w:rPr>
          <w:b/>
        </w:rPr>
      </w:pPr>
      <w:r w:rsidRPr="00B901C5">
        <w:rPr>
          <w:b/>
        </w:rPr>
        <w:t xml:space="preserve">If there is </w:t>
      </w:r>
      <w:r w:rsidR="00200375" w:rsidRPr="00B901C5">
        <w:rPr>
          <w:b/>
        </w:rPr>
        <w:t xml:space="preserve">a </w:t>
      </w:r>
      <w:r w:rsidRPr="00B901C5">
        <w:rPr>
          <w:b/>
        </w:rPr>
        <w:t xml:space="preserve">blank regimen of more than </w:t>
      </w:r>
      <w:r w:rsidR="003F72BB" w:rsidRPr="00B901C5">
        <w:rPr>
          <w:b/>
        </w:rPr>
        <w:t>6</w:t>
      </w:r>
      <w:r w:rsidRPr="00B901C5">
        <w:rPr>
          <w:b/>
        </w:rPr>
        <w:t>0 days:</w:t>
      </w:r>
    </w:p>
    <w:p w:rsidR="00947541" w:rsidRPr="00B901C5" w:rsidRDefault="00986606" w:rsidP="00DB0C19">
      <w:pPr>
        <w:pStyle w:val="ListParagraph"/>
        <w:numPr>
          <w:ilvl w:val="0"/>
          <w:numId w:val="16"/>
        </w:numPr>
        <w:spacing w:before="80"/>
        <w:ind w:left="1530" w:hanging="180"/>
        <w:jc w:val="both"/>
      </w:pPr>
      <w:r w:rsidRPr="00B901C5">
        <w:t xml:space="preserve">Preceding and succeeding regimens would be considered as two different regimens irrespective of both being </w:t>
      </w:r>
      <w:r w:rsidR="002E293D" w:rsidRPr="00B901C5">
        <w:t xml:space="preserve">the </w:t>
      </w:r>
      <w:r w:rsidRPr="00B901C5">
        <w:t>same</w:t>
      </w:r>
      <w:r w:rsidR="00A379AE">
        <w:t xml:space="preserve"> or </w:t>
      </w:r>
      <w:r w:rsidR="002E293D" w:rsidRPr="00B901C5">
        <w:t xml:space="preserve">if both are </w:t>
      </w:r>
      <w:r w:rsidRPr="00B901C5">
        <w:t xml:space="preserve">different. </w:t>
      </w:r>
      <w:r w:rsidR="002E293D" w:rsidRPr="00B901C5">
        <w:t>The b</w:t>
      </w:r>
      <w:r w:rsidRPr="00B901C5">
        <w:t xml:space="preserve">lank regimen will </w:t>
      </w:r>
      <w:r w:rsidR="002E293D" w:rsidRPr="00B901C5">
        <w:t>be disregarded</w:t>
      </w:r>
      <w:r w:rsidRPr="00B901C5">
        <w:t>.</w:t>
      </w:r>
    </w:p>
    <w:p w:rsidR="00826A61" w:rsidRPr="00B901C5" w:rsidRDefault="00826A61" w:rsidP="00DB0C19">
      <w:pPr>
        <w:pStyle w:val="ListParagraph"/>
        <w:spacing w:before="80" w:after="0"/>
        <w:ind w:left="360"/>
        <w:contextualSpacing w:val="0"/>
        <w:jc w:val="both"/>
      </w:pPr>
    </w:p>
    <w:p w:rsidR="00476018" w:rsidRPr="003D736B" w:rsidRDefault="00476018" w:rsidP="00DB0C19">
      <w:pPr>
        <w:pStyle w:val="ListParagraph"/>
        <w:numPr>
          <w:ilvl w:val="0"/>
          <w:numId w:val="7"/>
        </w:numPr>
        <w:spacing w:before="80" w:after="0"/>
        <w:jc w:val="both"/>
      </w:pPr>
      <w:r w:rsidRPr="003D736B">
        <w:t xml:space="preserve">Every LOT so formed (and comprising either </w:t>
      </w:r>
      <w:r w:rsidR="00B96845" w:rsidRPr="003D736B">
        <w:t>Busulphan/ Melphalan/cyclophosphamide, etc</w:t>
      </w:r>
      <w:r w:rsidRPr="003D736B">
        <w:t xml:space="preserve">) on the basis of 1 and 2 above will be checked to see if there is evidence of </w:t>
      </w:r>
      <w:r w:rsidR="00B96845" w:rsidRPr="003D736B">
        <w:t xml:space="preserve">allogenic </w:t>
      </w:r>
      <w:r w:rsidRPr="003D736B">
        <w:t xml:space="preserve">SCT within </w:t>
      </w:r>
      <w:r w:rsidR="00B96845" w:rsidRPr="003D736B">
        <w:rPr>
          <w:highlight w:val="yellow"/>
        </w:rPr>
        <w:t>15-</w:t>
      </w:r>
      <w:r w:rsidR="003D736B" w:rsidRPr="003D736B">
        <w:rPr>
          <w:highlight w:val="yellow"/>
        </w:rPr>
        <w:t>21</w:t>
      </w:r>
      <w:r w:rsidR="003D736B" w:rsidRPr="003D736B">
        <w:t xml:space="preserve"> days</w:t>
      </w:r>
      <w:r w:rsidRPr="003D736B">
        <w:t xml:space="preserve"> of the end of the preceding regimen. If there is, </w:t>
      </w:r>
    </w:p>
    <w:p w:rsidR="00476018" w:rsidRPr="003D736B" w:rsidRDefault="00476018" w:rsidP="00DB0C19">
      <w:pPr>
        <w:pStyle w:val="ListParagraph"/>
        <w:numPr>
          <w:ilvl w:val="1"/>
          <w:numId w:val="7"/>
        </w:numPr>
        <w:spacing w:before="80" w:after="0"/>
        <w:contextualSpacing w:val="0"/>
        <w:jc w:val="both"/>
      </w:pPr>
      <w:r w:rsidRPr="003D736B">
        <w:t xml:space="preserve">The SCT will be considered part of the same LOT as the </w:t>
      </w:r>
      <w:r w:rsidR="00B22FF3" w:rsidRPr="003D736B">
        <w:t xml:space="preserve">MF related drug </w:t>
      </w:r>
      <w:r w:rsidRPr="003D736B">
        <w:t xml:space="preserve"> (which will be the </w:t>
      </w:r>
      <w:r w:rsidR="00B96845" w:rsidRPr="003D736B">
        <w:t>conditioning</w:t>
      </w:r>
      <w:r w:rsidRPr="003D736B">
        <w:t xml:space="preserve"> regimens)</w:t>
      </w:r>
    </w:p>
    <w:p w:rsidR="00A379AE" w:rsidRDefault="00A379AE" w:rsidP="00DB0C19">
      <w:pPr>
        <w:jc w:val="both"/>
      </w:pPr>
    </w:p>
    <w:p w:rsidR="003D736B" w:rsidRDefault="003D736B" w:rsidP="00DB0C19">
      <w:pPr>
        <w:jc w:val="both"/>
      </w:pPr>
    </w:p>
    <w:p w:rsidR="004B027F" w:rsidRDefault="004B027F">
      <w:pPr>
        <w:rPr>
          <w:b/>
        </w:rPr>
      </w:pPr>
      <w:r>
        <w:rPr>
          <w:b/>
        </w:rPr>
        <w:br w:type="page"/>
      </w:r>
    </w:p>
    <w:p w:rsidR="00A379AE" w:rsidRPr="003D736B" w:rsidRDefault="00A379AE" w:rsidP="00DB0C19">
      <w:pPr>
        <w:jc w:val="both"/>
        <w:rPr>
          <w:b/>
        </w:rPr>
      </w:pPr>
      <w:r w:rsidRPr="003D736B">
        <w:rPr>
          <w:b/>
        </w:rPr>
        <w:lastRenderedPageBreak/>
        <w:t>List of drugs to be considered for MF</w:t>
      </w:r>
      <w:r w:rsidR="003D736B">
        <w:rPr>
          <w:b/>
        </w:rPr>
        <w:t>:-</w:t>
      </w:r>
    </w:p>
    <w:p w:rsidR="00C67C12" w:rsidRPr="00A379AE" w:rsidRDefault="00C67C12" w:rsidP="00DB0C19">
      <w:pPr>
        <w:jc w:val="both"/>
      </w:pPr>
      <w:r w:rsidRPr="00A379AE">
        <w:t xml:space="preserve">For </w:t>
      </w:r>
      <w:r w:rsidR="00851EE7" w:rsidRPr="00A379AE">
        <w:t>hematological symptoms</w:t>
      </w:r>
      <w:r w:rsidRPr="00A379AE">
        <w:t xml:space="preserve">: </w:t>
      </w:r>
    </w:p>
    <w:p w:rsidR="00C67C12" w:rsidRPr="00A379AE" w:rsidRDefault="00C67C12" w:rsidP="00DB0C19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</w:pPr>
      <w:r w:rsidRPr="00A379AE">
        <w:t>Erythropoiesis stimulating agents (erythropoietin)</w:t>
      </w:r>
    </w:p>
    <w:p w:rsidR="00C67C12" w:rsidRPr="00A379AE" w:rsidRDefault="00C67C12" w:rsidP="00DB0C19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</w:pPr>
      <w:r w:rsidRPr="00A379AE">
        <w:t xml:space="preserve">Androgenic agents (Danazol, Nandrolone, ﬂuoxymesterone, methandrostenolone, and oxymetholone, etc.) </w:t>
      </w:r>
    </w:p>
    <w:p w:rsidR="00C67C12" w:rsidRPr="00A379AE" w:rsidRDefault="00C67C12" w:rsidP="00DB0C19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</w:pPr>
      <w:r w:rsidRPr="00A379AE">
        <w:t>ImiDs (Thalidomide/lenalidomide/pomalidomide)</w:t>
      </w:r>
    </w:p>
    <w:p w:rsidR="00C67C12" w:rsidRPr="00A379AE" w:rsidRDefault="00C67C12" w:rsidP="00DB0C19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</w:pPr>
      <w:r w:rsidRPr="00A379AE">
        <w:t>Corticosteroids (Prednisolone) – palliative care in case all the drugs fail</w:t>
      </w:r>
    </w:p>
    <w:p w:rsidR="00C67C12" w:rsidRPr="00A379AE" w:rsidRDefault="00C67C12" w:rsidP="00DB0C19">
      <w:pPr>
        <w:jc w:val="both"/>
      </w:pPr>
      <w:r w:rsidRPr="00A379AE">
        <w:t>For Splenomegaly:</w:t>
      </w:r>
    </w:p>
    <w:p w:rsidR="00C67C12" w:rsidRPr="00A379AE" w:rsidRDefault="00C67C12" w:rsidP="00DB0C19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A379AE">
        <w:t>Jakafi (Ruxolitinib)</w:t>
      </w:r>
    </w:p>
    <w:p w:rsidR="00C67C12" w:rsidRPr="00A379AE" w:rsidRDefault="00C67C12" w:rsidP="00DB0C19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A379AE">
        <w:t>Hydroxyurea</w:t>
      </w:r>
    </w:p>
    <w:p w:rsidR="00C67C12" w:rsidRPr="00A379AE" w:rsidRDefault="00C67C12" w:rsidP="00DB0C19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A379AE">
        <w:t>Busulphan</w:t>
      </w:r>
    </w:p>
    <w:p w:rsidR="00C67C12" w:rsidRPr="00A379AE" w:rsidRDefault="00C67C12" w:rsidP="00DB0C19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A379AE">
        <w:t>Melphalan</w:t>
      </w:r>
    </w:p>
    <w:p w:rsidR="00C67C12" w:rsidRPr="00A379AE" w:rsidRDefault="00C67C12" w:rsidP="00DB0C19">
      <w:pPr>
        <w:jc w:val="both"/>
      </w:pPr>
      <w:r w:rsidRPr="00A379AE">
        <w:t>Conditioning regimen before allo-SCT</w:t>
      </w:r>
    </w:p>
    <w:p w:rsidR="00C67C12" w:rsidRPr="00A379AE" w:rsidRDefault="00C67C12" w:rsidP="00DB0C19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</w:pPr>
      <w:r w:rsidRPr="00A379AE">
        <w:rPr>
          <w:u w:val="single"/>
        </w:rPr>
        <w:t>Myeloablative SCT</w:t>
      </w:r>
      <w:r w:rsidRPr="00A379AE">
        <w:t>: Busulphan and cyclophosphamide</w:t>
      </w:r>
    </w:p>
    <w:p w:rsidR="00C67C12" w:rsidRPr="00A379AE" w:rsidRDefault="00C67C12" w:rsidP="00DB0C19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</w:pPr>
      <w:r w:rsidRPr="00A379AE">
        <w:rPr>
          <w:u w:val="single"/>
        </w:rPr>
        <w:t>RIC</w:t>
      </w:r>
      <w:r w:rsidRPr="00A379AE">
        <w:t>: Fludarabine and busulphan</w:t>
      </w:r>
    </w:p>
    <w:p w:rsidR="00C67C12" w:rsidRDefault="00C67C12" w:rsidP="00DB0C19">
      <w:pPr>
        <w:ind w:left="270" w:hanging="270"/>
        <w:jc w:val="both"/>
      </w:pPr>
    </w:p>
    <w:p w:rsidR="000622FC" w:rsidRDefault="000622FC" w:rsidP="00DB0C19">
      <w:pPr>
        <w:ind w:left="270" w:hanging="270"/>
        <w:jc w:val="both"/>
      </w:pPr>
    </w:p>
    <w:p w:rsidR="00504D8D" w:rsidRDefault="004B027F" w:rsidP="00DB0C19">
      <w:pPr>
        <w:ind w:left="270" w:hanging="270"/>
        <w:jc w:val="both"/>
      </w:pPr>
      <w:r>
        <w:t>*</w:t>
      </w:r>
      <w:r w:rsidR="00504D8D">
        <w:t>Reference:</w:t>
      </w:r>
    </w:p>
    <w:p w:rsidR="00504D8D" w:rsidRDefault="00504D8D" w:rsidP="00DB0C19">
      <w:pPr>
        <w:jc w:val="both"/>
        <w:rPr>
          <w:color w:val="1F497D"/>
        </w:rPr>
      </w:pPr>
      <w:r>
        <w:rPr>
          <w:color w:val="1F497D"/>
        </w:rPr>
        <w:t xml:space="preserve">We </w:t>
      </w:r>
      <w:r w:rsidR="00183F90">
        <w:rPr>
          <w:color w:val="1F497D"/>
        </w:rPr>
        <w:t xml:space="preserve">have considered Post PV-MF and Post ET-MF as SMF based on the following guidances: </w:t>
      </w:r>
    </w:p>
    <w:p w:rsidR="00504D8D" w:rsidRDefault="00504D8D" w:rsidP="00DB0C19">
      <w:pPr>
        <w:pStyle w:val="ListParagraph"/>
        <w:ind w:hanging="360"/>
        <w:jc w:val="both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Most of the treatment practice guidelines consider MF post ET and post PV as secondary MF and these patients are essentially treated similar to PMF </w:t>
      </w:r>
    </w:p>
    <w:p w:rsidR="00504D8D" w:rsidRDefault="00504D8D" w:rsidP="00DB0C19">
      <w:pPr>
        <w:ind w:left="720"/>
        <w:jc w:val="both"/>
        <w:rPr>
          <w:color w:val="1F497D"/>
        </w:rPr>
      </w:pPr>
      <w:r>
        <w:rPr>
          <w:color w:val="1F497D"/>
        </w:rPr>
        <w:t xml:space="preserve">(Source: 1. </w:t>
      </w:r>
      <w:hyperlink r:id="rId7" w:history="1">
        <w:r>
          <w:rPr>
            <w:rStyle w:val="Hyperlink"/>
          </w:rPr>
          <w:t>Cervantes, Blood, 2014, 124 (17)</w:t>
        </w:r>
      </w:hyperlink>
      <w:r>
        <w:rPr>
          <w:color w:val="1F497D"/>
        </w:rPr>
        <w:t xml:space="preserve">; 2. </w:t>
      </w:r>
      <w:hyperlink r:id="rId8" w:history="1">
        <w:r>
          <w:rPr>
            <w:rStyle w:val="Hyperlink"/>
          </w:rPr>
          <w:t>Jakafi Label</w:t>
        </w:r>
      </w:hyperlink>
      <w:r>
        <w:rPr>
          <w:color w:val="1F497D"/>
        </w:rPr>
        <w:t xml:space="preserve"> for MF patients is in patients with either PMF or post PV-MF and post ET-MF). </w:t>
      </w:r>
    </w:p>
    <w:p w:rsidR="00504D8D" w:rsidRDefault="00504D8D" w:rsidP="00DB0C19">
      <w:pPr>
        <w:pStyle w:val="ListParagraph"/>
        <w:ind w:hanging="360"/>
        <w:jc w:val="both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Most of the ongoing trials in MF include patients, who are either PMF or have progressed to MF from PV and ET. </w:t>
      </w:r>
    </w:p>
    <w:p w:rsidR="00504D8D" w:rsidRDefault="00504D8D" w:rsidP="00DB0C19">
      <w:pPr>
        <w:pStyle w:val="ListParagraph"/>
        <w:ind w:left="1440" w:hanging="360"/>
        <w:jc w:val="both"/>
        <w:rPr>
          <w:color w:val="1F497D"/>
        </w:rPr>
      </w:pPr>
      <w:r>
        <w:rPr>
          <w:rFonts w:ascii="Courier New" w:hAnsi="Courier New" w:cs="Courier New"/>
          <w:color w:val="1F497D"/>
        </w:rPr>
        <w:t>o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 xml:space="preserve">Imetelstat trials: </w:t>
      </w:r>
      <w:hyperlink r:id="rId9" w:history="1">
        <w:r>
          <w:rPr>
            <w:rStyle w:val="Hyperlink"/>
          </w:rPr>
          <w:t>NCT02426086</w:t>
        </w:r>
      </w:hyperlink>
      <w:r>
        <w:rPr>
          <w:color w:val="1F497D"/>
        </w:rPr>
        <w:t xml:space="preserve">; </w:t>
      </w:r>
      <w:hyperlink r:id="rId10" w:history="1">
        <w:r>
          <w:rPr>
            <w:rStyle w:val="Hyperlink"/>
          </w:rPr>
          <w:t>NCT01731951</w:t>
        </w:r>
      </w:hyperlink>
    </w:p>
    <w:p w:rsidR="00504D8D" w:rsidRDefault="00504D8D" w:rsidP="00DB0C19">
      <w:pPr>
        <w:pStyle w:val="ListParagraph"/>
        <w:ind w:left="1440" w:hanging="360"/>
        <w:jc w:val="both"/>
        <w:rPr>
          <w:color w:val="1F497D"/>
        </w:rPr>
      </w:pPr>
      <w:r>
        <w:rPr>
          <w:rFonts w:ascii="Courier New" w:hAnsi="Courier New" w:cs="Courier New"/>
          <w:color w:val="1F497D"/>
        </w:rPr>
        <w:t>o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 xml:space="preserve">Pacritinib trials: </w:t>
      </w:r>
      <w:hyperlink r:id="rId11" w:history="1">
        <w:r>
          <w:rPr>
            <w:rStyle w:val="Hyperlink"/>
          </w:rPr>
          <w:t>PAC-326</w:t>
        </w:r>
      </w:hyperlink>
      <w:r>
        <w:rPr>
          <w:color w:val="1F497D"/>
        </w:rPr>
        <w:t xml:space="preserve">; </w:t>
      </w:r>
      <w:hyperlink r:id="rId12" w:history="1">
        <w:r>
          <w:rPr>
            <w:rStyle w:val="Hyperlink"/>
          </w:rPr>
          <w:t>PERSIST-1/PAC325</w:t>
        </w:r>
      </w:hyperlink>
    </w:p>
    <w:p w:rsidR="00504D8D" w:rsidRDefault="00504D8D" w:rsidP="00DB0C19">
      <w:pPr>
        <w:pStyle w:val="ListParagraph"/>
        <w:ind w:left="1440" w:hanging="360"/>
        <w:jc w:val="both"/>
        <w:rPr>
          <w:color w:val="1F497D"/>
        </w:rPr>
      </w:pPr>
      <w:r>
        <w:rPr>
          <w:rFonts w:ascii="Courier New" w:hAnsi="Courier New" w:cs="Courier New"/>
          <w:color w:val="1F497D"/>
        </w:rPr>
        <w:t>o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 xml:space="preserve">Momelotinib trials: </w:t>
      </w:r>
      <w:hyperlink r:id="rId13" w:history="1">
        <w:r>
          <w:rPr>
            <w:rStyle w:val="Hyperlink"/>
          </w:rPr>
          <w:t>SIMPLIFY-1</w:t>
        </w:r>
      </w:hyperlink>
      <w:r>
        <w:rPr>
          <w:color w:val="1F497D"/>
        </w:rPr>
        <w:t xml:space="preserve">; </w:t>
      </w:r>
      <w:hyperlink r:id="rId14" w:history="1">
        <w:r>
          <w:rPr>
            <w:rStyle w:val="Hyperlink"/>
          </w:rPr>
          <w:t>SIMPLIFY-2</w:t>
        </w:r>
      </w:hyperlink>
      <w:r>
        <w:rPr>
          <w:color w:val="1F497D"/>
        </w:rPr>
        <w:t xml:space="preserve">; </w:t>
      </w:r>
      <w:hyperlink r:id="rId15" w:tooltip="Current version of study NCT01423058 on ClinicalTrials.gov" w:history="1">
        <w:r>
          <w:rPr>
            <w:rStyle w:val="Hyperlink"/>
            <w:color w:val="1A3D85"/>
            <w:shd w:val="clear" w:color="auto" w:fill="FFFFFF"/>
          </w:rPr>
          <w:t>NCT01423058</w:t>
        </w:r>
      </w:hyperlink>
      <w:r>
        <w:rPr>
          <w:rStyle w:val="apple-converted-space"/>
          <w:color w:val="000000"/>
          <w:shd w:val="clear" w:color="auto" w:fill="FFFFFF"/>
        </w:rPr>
        <w:t xml:space="preserve"> ; </w:t>
      </w:r>
      <w:hyperlink r:id="rId16" w:tooltip="Current version of study NCT02515630 on ClinicalTrials.gov" w:history="1">
        <w:r>
          <w:rPr>
            <w:rStyle w:val="Hyperlink"/>
            <w:color w:val="1A3D85"/>
            <w:shd w:val="clear" w:color="auto" w:fill="FFFFFF"/>
          </w:rPr>
          <w:t>NCT02515630</w:t>
        </w:r>
      </w:hyperlink>
      <w:r>
        <w:rPr>
          <w:rStyle w:val="apple-converted-space"/>
          <w:color w:val="000000"/>
          <w:shd w:val="clear" w:color="auto" w:fill="FFFFFF"/>
        </w:rPr>
        <w:t xml:space="preserve"> ; </w:t>
      </w:r>
      <w:hyperlink r:id="rId17" w:tooltip="Current version of study NCT01236638 on ClinicalTrials.gov" w:history="1">
        <w:r>
          <w:rPr>
            <w:rStyle w:val="Hyperlink"/>
            <w:color w:val="1A3D85"/>
            <w:shd w:val="clear" w:color="auto" w:fill="FFFFFF"/>
          </w:rPr>
          <w:t>NCT01236638</w:t>
        </w:r>
      </w:hyperlink>
      <w:r>
        <w:rPr>
          <w:color w:val="1F497D"/>
          <w:sz w:val="24"/>
          <w:szCs w:val="24"/>
        </w:rPr>
        <w:t xml:space="preserve"> </w:t>
      </w:r>
      <w:r>
        <w:rPr>
          <w:color w:val="1F497D"/>
        </w:rPr>
        <w:t> </w:t>
      </w:r>
    </w:p>
    <w:p w:rsidR="00504D8D" w:rsidRDefault="00504D8D" w:rsidP="00DB0C19">
      <w:pPr>
        <w:ind w:left="270" w:hanging="270"/>
        <w:jc w:val="both"/>
      </w:pPr>
    </w:p>
    <w:sectPr w:rsidR="00504D8D" w:rsidSect="00A6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1C4" w:rsidRDefault="00EE21C4" w:rsidP="00F672BC">
      <w:pPr>
        <w:spacing w:after="0" w:line="240" w:lineRule="auto"/>
      </w:pPr>
      <w:r>
        <w:separator/>
      </w:r>
    </w:p>
  </w:endnote>
  <w:endnote w:type="continuationSeparator" w:id="0">
    <w:p w:rsidR="00EE21C4" w:rsidRDefault="00EE21C4" w:rsidP="00F6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1C4" w:rsidRDefault="00EE21C4" w:rsidP="00F672BC">
      <w:pPr>
        <w:spacing w:after="0" w:line="240" w:lineRule="auto"/>
      </w:pPr>
      <w:r>
        <w:separator/>
      </w:r>
    </w:p>
  </w:footnote>
  <w:footnote w:type="continuationSeparator" w:id="0">
    <w:p w:rsidR="00EE21C4" w:rsidRDefault="00EE21C4" w:rsidP="00F67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60A3"/>
    <w:multiLevelType w:val="hybridMultilevel"/>
    <w:tmpl w:val="320C7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1CBE"/>
    <w:multiLevelType w:val="hybridMultilevel"/>
    <w:tmpl w:val="99F84DD6"/>
    <w:lvl w:ilvl="0" w:tplc="93A45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A4020B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17E8C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F46ED9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B265CD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FE13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E68D79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E7421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44819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D2BFF"/>
    <w:multiLevelType w:val="hybridMultilevel"/>
    <w:tmpl w:val="0D9458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D979A5"/>
    <w:multiLevelType w:val="hybridMultilevel"/>
    <w:tmpl w:val="2334E238"/>
    <w:lvl w:ilvl="0" w:tplc="04090017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14E96895"/>
    <w:multiLevelType w:val="hybridMultilevel"/>
    <w:tmpl w:val="EA08E0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B01C2"/>
    <w:multiLevelType w:val="hybridMultilevel"/>
    <w:tmpl w:val="3E56DA90"/>
    <w:lvl w:ilvl="0" w:tplc="5C080F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5CD8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6C6A93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DD4E10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90F7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B00A1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4A4A9D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01C24D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93E78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F1065"/>
    <w:multiLevelType w:val="hybridMultilevel"/>
    <w:tmpl w:val="FA6A5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D61F8"/>
    <w:multiLevelType w:val="hybridMultilevel"/>
    <w:tmpl w:val="0D9458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D7623A"/>
    <w:multiLevelType w:val="hybridMultilevel"/>
    <w:tmpl w:val="34BEB548"/>
    <w:lvl w:ilvl="0" w:tplc="25744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B09BC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765E4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100A5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C1CAB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CE63D1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E162C8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BECA7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C9A40A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C02DCF"/>
    <w:multiLevelType w:val="multilevel"/>
    <w:tmpl w:val="1D9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1B1598"/>
    <w:multiLevelType w:val="hybridMultilevel"/>
    <w:tmpl w:val="5C22108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5B14F5A"/>
    <w:multiLevelType w:val="hybridMultilevel"/>
    <w:tmpl w:val="0E02BE3A"/>
    <w:lvl w:ilvl="0" w:tplc="3F168FB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AFE8C53E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672A0EA8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AC6C1828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23E672E2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BF8E2BE2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FDA4413E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608E858E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FDCAF816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777725F"/>
    <w:multiLevelType w:val="hybridMultilevel"/>
    <w:tmpl w:val="B31C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A1A11"/>
    <w:multiLevelType w:val="hybridMultilevel"/>
    <w:tmpl w:val="2334E2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77AED"/>
    <w:multiLevelType w:val="hybridMultilevel"/>
    <w:tmpl w:val="40681F76"/>
    <w:lvl w:ilvl="0" w:tplc="37EA61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FB4C31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64D6A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4F4E14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33082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0A04A3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4725D2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BFECA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C62F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38175E"/>
    <w:multiLevelType w:val="hybridMultilevel"/>
    <w:tmpl w:val="7D5A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3B7871"/>
    <w:multiLevelType w:val="hybridMultilevel"/>
    <w:tmpl w:val="A32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124D94"/>
    <w:multiLevelType w:val="hybridMultilevel"/>
    <w:tmpl w:val="FD5E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655C0"/>
    <w:multiLevelType w:val="hybridMultilevel"/>
    <w:tmpl w:val="CFC0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53C24"/>
    <w:multiLevelType w:val="hybridMultilevel"/>
    <w:tmpl w:val="C7F0CC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0B6643"/>
    <w:multiLevelType w:val="hybridMultilevel"/>
    <w:tmpl w:val="C858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F15B02"/>
    <w:multiLevelType w:val="hybridMultilevel"/>
    <w:tmpl w:val="508C60EC"/>
    <w:lvl w:ilvl="0" w:tplc="D81C4E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CE532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8B2A2B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FA507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D211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2A245E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2CA3ED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2C421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3AC3D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13"/>
  </w:num>
  <w:num w:numId="6">
    <w:abstractNumId w:val="11"/>
  </w:num>
  <w:num w:numId="7">
    <w:abstractNumId w:val="12"/>
  </w:num>
  <w:num w:numId="8">
    <w:abstractNumId w:val="19"/>
  </w:num>
  <w:num w:numId="9">
    <w:abstractNumId w:val="1"/>
  </w:num>
  <w:num w:numId="10">
    <w:abstractNumId w:val="4"/>
  </w:num>
  <w:num w:numId="11">
    <w:abstractNumId w:val="5"/>
  </w:num>
  <w:num w:numId="12">
    <w:abstractNumId w:val="8"/>
  </w:num>
  <w:num w:numId="13">
    <w:abstractNumId w:val="2"/>
  </w:num>
  <w:num w:numId="14">
    <w:abstractNumId w:val="21"/>
  </w:num>
  <w:num w:numId="15">
    <w:abstractNumId w:val="14"/>
  </w:num>
  <w:num w:numId="16">
    <w:abstractNumId w:val="7"/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51"/>
    <w:rsid w:val="00056079"/>
    <w:rsid w:val="00060E67"/>
    <w:rsid w:val="000622FC"/>
    <w:rsid w:val="00063CE7"/>
    <w:rsid w:val="000A3A47"/>
    <w:rsid w:val="000C6A24"/>
    <w:rsid w:val="001217D1"/>
    <w:rsid w:val="00160B5A"/>
    <w:rsid w:val="001737B8"/>
    <w:rsid w:val="00180264"/>
    <w:rsid w:val="00183F90"/>
    <w:rsid w:val="00200375"/>
    <w:rsid w:val="00215693"/>
    <w:rsid w:val="002248DF"/>
    <w:rsid w:val="002327AA"/>
    <w:rsid w:val="002E293D"/>
    <w:rsid w:val="00342B8E"/>
    <w:rsid w:val="003D736B"/>
    <w:rsid w:val="003F72BB"/>
    <w:rsid w:val="00405526"/>
    <w:rsid w:val="00412813"/>
    <w:rsid w:val="00426A70"/>
    <w:rsid w:val="0046193A"/>
    <w:rsid w:val="00476018"/>
    <w:rsid w:val="004904F5"/>
    <w:rsid w:val="004931BE"/>
    <w:rsid w:val="004954FE"/>
    <w:rsid w:val="004A2E90"/>
    <w:rsid w:val="004A33D7"/>
    <w:rsid w:val="004B027F"/>
    <w:rsid w:val="00504D8D"/>
    <w:rsid w:val="005226B8"/>
    <w:rsid w:val="005315F6"/>
    <w:rsid w:val="005816FA"/>
    <w:rsid w:val="005C176D"/>
    <w:rsid w:val="005E02E3"/>
    <w:rsid w:val="0061404D"/>
    <w:rsid w:val="00656F4C"/>
    <w:rsid w:val="006920B4"/>
    <w:rsid w:val="006C325E"/>
    <w:rsid w:val="006D38B1"/>
    <w:rsid w:val="00756742"/>
    <w:rsid w:val="008030E2"/>
    <w:rsid w:val="0082691E"/>
    <w:rsid w:val="00826A61"/>
    <w:rsid w:val="008447CF"/>
    <w:rsid w:val="00851EE7"/>
    <w:rsid w:val="00853BCE"/>
    <w:rsid w:val="00863920"/>
    <w:rsid w:val="008B2451"/>
    <w:rsid w:val="008D4AA4"/>
    <w:rsid w:val="00922247"/>
    <w:rsid w:val="00947541"/>
    <w:rsid w:val="0098367C"/>
    <w:rsid w:val="00986606"/>
    <w:rsid w:val="009A5159"/>
    <w:rsid w:val="00A355BF"/>
    <w:rsid w:val="00A379AE"/>
    <w:rsid w:val="00A56836"/>
    <w:rsid w:val="00A658D8"/>
    <w:rsid w:val="00A91FE5"/>
    <w:rsid w:val="00AC76CA"/>
    <w:rsid w:val="00AE0B33"/>
    <w:rsid w:val="00B22FF3"/>
    <w:rsid w:val="00B61F51"/>
    <w:rsid w:val="00B901C5"/>
    <w:rsid w:val="00B96845"/>
    <w:rsid w:val="00B96C04"/>
    <w:rsid w:val="00BA49CA"/>
    <w:rsid w:val="00BC328A"/>
    <w:rsid w:val="00C6173D"/>
    <w:rsid w:val="00C67C12"/>
    <w:rsid w:val="00CA6016"/>
    <w:rsid w:val="00CB32AA"/>
    <w:rsid w:val="00CD2E52"/>
    <w:rsid w:val="00D96BAF"/>
    <w:rsid w:val="00DB0C19"/>
    <w:rsid w:val="00E0640B"/>
    <w:rsid w:val="00E445DB"/>
    <w:rsid w:val="00E45B12"/>
    <w:rsid w:val="00E95777"/>
    <w:rsid w:val="00EC03A3"/>
    <w:rsid w:val="00EE21C4"/>
    <w:rsid w:val="00F06607"/>
    <w:rsid w:val="00F17D27"/>
    <w:rsid w:val="00F22748"/>
    <w:rsid w:val="00F672BC"/>
    <w:rsid w:val="00F97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440350-0860-48C3-AFE1-1EC3EB7D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2BC"/>
  </w:style>
  <w:style w:type="paragraph" w:styleId="Footer">
    <w:name w:val="footer"/>
    <w:basedOn w:val="Normal"/>
    <w:link w:val="FooterChar"/>
    <w:uiPriority w:val="99"/>
    <w:unhideWhenUsed/>
    <w:rsid w:val="00F6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2BC"/>
  </w:style>
  <w:style w:type="paragraph" w:styleId="NormalWeb">
    <w:name w:val="Normal (Web)"/>
    <w:basedOn w:val="Normal"/>
    <w:uiPriority w:val="99"/>
    <w:semiHidden/>
    <w:unhideWhenUsed/>
    <w:rsid w:val="0082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04D8D"/>
    <w:rPr>
      <w:strike w:val="0"/>
      <w:dstrike w:val="0"/>
      <w:color w:val="0000FF"/>
      <w:u w:val="none"/>
      <w:effect w:val="none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50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5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0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1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4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1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7119">
              <w:marLeft w:val="-281"/>
              <w:marRight w:val="-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essdata.fda.gov/drugsatfda_docs/label/2014/202192s009lbl.pdf" TargetMode="External"/><Relationship Id="rId13" Type="http://schemas.openxmlformats.org/officeDocument/2006/relationships/hyperlink" Target="https://clinicaltrials.gov/ct2/show/NCT01969838?cond=myelofibrosis&amp;intr=momelotinib&amp;rank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loodjournal.org/content/124/17/2635?sso-checked=true" TargetMode="External"/><Relationship Id="rId12" Type="http://schemas.openxmlformats.org/officeDocument/2006/relationships/hyperlink" Target="https://clinicaltrials.gov/ct2/show/NCT01773187?cond=myelofibrosis&amp;intr=pacritinib&amp;rank=2" TargetMode="External"/><Relationship Id="rId17" Type="http://schemas.openxmlformats.org/officeDocument/2006/relationships/hyperlink" Target="https://clinicaltrials.gov/show/NCT012366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nicaltrials.gov/show/NCT0251563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inicaltrials.gov/ct2/show/NCT02055781?cond=myelofibrosis&amp;intr=pacritinib&amp;rank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inicaltrials.gov/show/NCT01423058" TargetMode="External"/><Relationship Id="rId10" Type="http://schemas.openxmlformats.org/officeDocument/2006/relationships/hyperlink" Target="https://clinicaltrials.gov/ct2/show/NCT01731951?cond=myelofibrosis&amp;intr=imetelstat&amp;rank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inicaltrials.gov/ct2/show/NCT02426086" TargetMode="External"/><Relationship Id="rId14" Type="http://schemas.openxmlformats.org/officeDocument/2006/relationships/hyperlink" Target="https://clinicaltrials.gov/ct2/show/NCT02101268?cond=myelofibrosis&amp;intr=momelotinib&amp;rank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 Potluri</dc:creator>
  <cp:lastModifiedBy>Ravi Potluri</cp:lastModifiedBy>
  <cp:revision>2</cp:revision>
  <dcterms:created xsi:type="dcterms:W3CDTF">2015-10-27T13:18:00Z</dcterms:created>
  <dcterms:modified xsi:type="dcterms:W3CDTF">2015-10-27T13:18:00Z</dcterms:modified>
</cp:coreProperties>
</file>