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44"/>
          <w:szCs w:val="144"/>
        </w:rPr>
      </w:pPr>
      <w:r>
        <w:rPr>
          <w:sz w:val="144"/>
          <w:szCs w:val="144"/>
        </w:rPr>
      </w:r>
    </w:p>
    <w:p>
      <w:pPr>
        <w:pStyle w:val="Normal"/>
        <w:jc w:val="center"/>
        <w:rPr>
          <w:sz w:val="144"/>
          <w:szCs w:val="144"/>
        </w:rPr>
      </w:pPr>
      <w:r>
        <w:rPr>
          <w:sz w:val="144"/>
          <w:szCs w:val="144"/>
        </w:rPr>
      </w:r>
    </w:p>
    <w:p>
      <w:pPr>
        <w:pStyle w:val="Normal"/>
        <w:jc w:val="center"/>
        <w:rPr>
          <w:sz w:val="144"/>
          <w:szCs w:val="144"/>
        </w:rPr>
      </w:pPr>
      <w:r>
        <w:rPr>
          <w:sz w:val="144"/>
          <w:szCs w:val="144"/>
        </w:rPr>
      </w:r>
    </w:p>
    <w:p>
      <w:pPr>
        <w:pStyle w:val="Normal"/>
        <w:jc w:val="center"/>
        <w:rPr>
          <w:sz w:val="144"/>
          <w:szCs w:val="144"/>
        </w:rPr>
      </w:pPr>
      <w:r>
        <w:rPr>
          <w:sz w:val="144"/>
          <w:szCs w:val="144"/>
        </w:rPr>
        <w:t>PRÁCTICA 6</w:t>
      </w:r>
    </w:p>
    <w:p>
      <w:pPr>
        <w:pStyle w:val="Normal"/>
        <w:rPr>
          <w:sz w:val="144"/>
          <w:szCs w:val="144"/>
        </w:rPr>
      </w:pPr>
      <w:r>
        <w:rPr>
          <w:sz w:val="144"/>
          <w:szCs w:val="14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>Ángel Igualada Moraga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Comentarios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 este modelo, se nos daban un conjunto de datos ( MaquinasDisp , MaquinasMant …) y de sets ya definidos ( Periodo, Maquina…).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Las variables decisión en nuestro caso serán las unidades Vendidas y fabricadas de cada producto en cada mes y con ellas se calculará el stock.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Cabe destacar que en este modelo, está prefijado el mantenimiento de las máquinas mediante el dato MaquinasMant. Tras la modelización, obtenemos un beneficio total de 289247,4 unidades monetarias.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Conforme a la solución óptima: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744210" cy="460756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34710" cy="4690745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 el apartado 2, hemos eliminado el dato MaquinasMant que fijaba en qué momento , cuantas máquinas de cada tipo estaban en mantenimiento y hemos añadido una variable que contiene el número de máquinas que deberán pasar un mantenimiento de cada tipo en los 6 meses del problema.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 este cambio, hemos dotado de más flexibilidad a nuestro modelo.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!Restricción de mantenimiento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Para cada tipo de maquina, la suma de de sus mantenimientos en todos los periodos debe ser los mantenimientos programados;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7205" cy="88836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39" t="38922" r="26448" b="44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Con este código, si estamos tratando con la máquina cortadora los mantenimientos serán dos y sino serán los de la variable Mantenimiento_programado ( en la segunda versión, simplemente tomamos los valores de la variable.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[Mantenimiento_requerido]@GIN(MaquinasMant(b,c));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Forzamos a que los mantenimientos sean variables enteras.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 esto, obtenemos que el valor óptimo ( máximo beneficio) será de 325411.6 unidades monetarias, esta mejoría se debe a haber hecho más flexible el modelo.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u w:val="single"/>
        </w:rPr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  <w:u w:val="single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Unidades producidas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Producto 1</c:v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0</c:v>
                </c:pt>
                <c:pt idx="1">
                  <c:v>404.2105</c:v>
                </c:pt>
                <c:pt idx="2">
                  <c:v>0</c:v>
                </c:pt>
                <c:pt idx="3">
                  <c:v>681.5789</c:v>
                </c:pt>
                <c:pt idx="4">
                  <c:v>0</c:v>
                </c:pt>
                <c:pt idx="5">
                  <c:v>3072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Producto 2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Producto 3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6"/>
                <c:pt idx="0">
                  <c:v>1440</c:v>
                </c:pt>
                <c:pt idx="1">
                  <c:v>378.94</c:v>
                </c:pt>
                <c:pt idx="2">
                  <c:v>1440</c:v>
                </c:pt>
                <c:pt idx="3">
                  <c:v>1232.1</c:v>
                </c:pt>
                <c:pt idx="4">
                  <c:v>1440</c:v>
                </c:pt>
                <c:pt idx="5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Producto 4</c:v>
                </c:pt>
              </c:strCache>
            </c:strRef>
          </c:tx>
          <c:spPr>
            <a:solidFill>
              <a:srgbClr val="ffc000"/>
            </a:solidFill>
            <a:ln w="28440">
              <a:solidFill>
                <a:srgbClr val="ffc000"/>
              </a:solidFill>
              <a:round/>
            </a:ln>
          </c:spPr>
          <c:marker>
            <c:symbol val="circle"/>
            <c:size val="5"/>
            <c:spPr>
              <a:solidFill>
                <a:srgbClr val="ffc00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6"/>
                <c:pt idx="0">
                  <c:v>825.8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412.9</c:v>
                </c:pt>
                <c:pt idx="5">
                  <c:v>1536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Producto 5</c:v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6"/>
                <c:pt idx="0">
                  <c:v>3261.935</c:v>
                </c:pt>
                <c:pt idx="1">
                  <c:v>3637.895</c:v>
                </c:pt>
                <c:pt idx="2">
                  <c:v>0</c:v>
                </c:pt>
                <c:pt idx="3">
                  <c:v>2444.211</c:v>
                </c:pt>
                <c:pt idx="4">
                  <c:v>3550.968</c:v>
                </c:pt>
                <c:pt idx="5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Producto 6</c:v>
                </c:pt>
              </c:strCache>
            </c:strRef>
          </c:tx>
          <c:spPr>
            <a:solidFill>
              <a:srgbClr val="70ad47"/>
            </a:solidFill>
            <a:ln w="28440">
              <a:solidFill>
                <a:srgbClr val="70ad47"/>
              </a:solidFill>
              <a:round/>
            </a:ln>
          </c:spPr>
          <c:marker>
            <c:symbol val="circle"/>
            <c:size val="5"/>
            <c:spPr>
              <a:solidFill>
                <a:srgbClr val="70ad47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6"/>
                <c:pt idx="0">
                  <c:v>867</c:v>
                </c:pt>
                <c:pt idx="1">
                  <c:v>1212.63</c:v>
                </c:pt>
                <c:pt idx="2">
                  <c:v>1280</c:v>
                </c:pt>
                <c:pt idx="3">
                  <c:v>509.7368</c:v>
                </c:pt>
                <c:pt idx="4">
                  <c:v>433.5484</c:v>
                </c:pt>
                <c:pt idx="5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Producto 7</c:v>
                </c:pt>
              </c:strCache>
            </c:strRef>
          </c:tx>
          <c:spPr>
            <a:solidFill>
              <a:srgbClr val="264478"/>
            </a:solidFill>
            <a:ln w="28440">
              <a:solidFill>
                <a:srgbClr val="264478"/>
              </a:solidFill>
              <a:round/>
            </a:ln>
          </c:spPr>
          <c:marker>
            <c:symbol val="circle"/>
            <c:size val="5"/>
            <c:spPr>
              <a:solidFill>
                <a:srgbClr val="26447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2515554"/>
        <c:axId val="30421377"/>
      </c:lineChart>
      <c:catAx>
        <c:axId val="2515554"/>
        <c:scaling>
          <c:orientation val="minMax"/>
        </c:scaling>
        <c:delete val="0"/>
        <c:axPos val="b"/>
        <c:numFmt formatCode="D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30421377"/>
        <c:crosses val="autoZero"/>
        <c:auto val="1"/>
        <c:lblAlgn val="ctr"/>
        <c:lblOffset val="100"/>
      </c:catAx>
      <c:valAx>
        <c:axId val="3042137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515554"/>
        <c:crosses val="autoZero"/>
        <c:crossBetween val="midCat"/>
      </c:valAx>
      <c:dTable>
        <c:showHorzBorder val="1"/>
        <c:showVertBorder val="1"/>
        <c:showOutline val="1"/>
      </c:dTable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Unidades Vendidas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Producto 1</c:v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0</c:v>
                </c:pt>
                <c:pt idx="1">
                  <c:v>404.21</c:v>
                </c:pt>
                <c:pt idx="2">
                  <c:v>0</c:v>
                </c:pt>
                <c:pt idx="3">
                  <c:v>681.57</c:v>
                </c:pt>
                <c:pt idx="4">
                  <c:v>0</c:v>
                </c:pt>
                <c:pt idx="5">
                  <c:v>3022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Producto 2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Producto 3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6"/>
                <c:pt idx="0">
                  <c:v>1440</c:v>
                </c:pt>
                <c:pt idx="1">
                  <c:v>379.94</c:v>
                </c:pt>
                <c:pt idx="2">
                  <c:v>1440</c:v>
                </c:pt>
                <c:pt idx="3">
                  <c:v>1232.1</c:v>
                </c:pt>
                <c:pt idx="4">
                  <c:v>1390</c:v>
                </c:pt>
                <c:pt idx="5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Producto 4</c:v>
                </c:pt>
              </c:strCache>
            </c:strRef>
          </c:tx>
          <c:spPr>
            <a:solidFill>
              <a:srgbClr val="ffc000"/>
            </a:solidFill>
            <a:ln w="28440">
              <a:solidFill>
                <a:srgbClr val="ffc000"/>
              </a:solidFill>
              <a:round/>
            </a:ln>
          </c:spPr>
          <c:marker>
            <c:symbol val="circle"/>
            <c:size val="5"/>
            <c:spPr>
              <a:solidFill>
                <a:srgbClr val="ffc00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6"/>
                <c:pt idx="0">
                  <c:v>825.8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412.9</c:v>
                </c:pt>
                <c:pt idx="5">
                  <c:v>1486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Producto 5</c:v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6"/>
                <c:pt idx="0">
                  <c:v>3261.93</c:v>
                </c:pt>
                <c:pt idx="1">
                  <c:v>3637.89</c:v>
                </c:pt>
                <c:pt idx="2">
                  <c:v>0</c:v>
                </c:pt>
                <c:pt idx="3">
                  <c:v>3444.21</c:v>
                </c:pt>
                <c:pt idx="4">
                  <c:v>3500</c:v>
                </c:pt>
                <c:pt idx="5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Producto 6</c:v>
                </c:pt>
              </c:strCache>
            </c:strRef>
          </c:tx>
          <c:spPr>
            <a:solidFill>
              <a:srgbClr val="70ad47"/>
            </a:solidFill>
            <a:ln w="28440">
              <a:solidFill>
                <a:srgbClr val="70ad47"/>
              </a:solidFill>
              <a:round/>
            </a:ln>
          </c:spPr>
          <c:marker>
            <c:symbol val="circle"/>
            <c:size val="5"/>
            <c:spPr>
              <a:solidFill>
                <a:srgbClr val="70ad47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6"/>
                <c:pt idx="0">
                  <c:v>867.09</c:v>
                </c:pt>
                <c:pt idx="1">
                  <c:v>1212.63</c:v>
                </c:pt>
                <c:pt idx="2">
                  <c:v>1280</c:v>
                </c:pt>
                <c:pt idx="3">
                  <c:v>509.73</c:v>
                </c:pt>
                <c:pt idx="4">
                  <c:v>383.54</c:v>
                </c:pt>
                <c:pt idx="5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Producto 7</c:v>
                </c:pt>
              </c:strCache>
            </c:strRef>
          </c:tx>
          <c:spPr>
            <a:solidFill>
              <a:srgbClr val="264478"/>
            </a:solidFill>
            <a:ln w="28440">
              <a:solidFill>
                <a:srgbClr val="264478"/>
              </a:solidFill>
              <a:round/>
            </a:ln>
          </c:spPr>
          <c:marker>
            <c:symbol val="circle"/>
            <c:size val="5"/>
            <c:spPr>
              <a:solidFill>
                <a:srgbClr val="26447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23602716"/>
        <c:axId val="1290461"/>
      </c:lineChart>
      <c:catAx>
        <c:axId val="23602716"/>
        <c:scaling>
          <c:orientation val="minMax"/>
        </c:scaling>
        <c:delete val="0"/>
        <c:axPos val="b"/>
        <c:numFmt formatCode="D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1290461"/>
        <c:crosses val="autoZero"/>
        <c:auto val="1"/>
        <c:lblAlgn val="ctr"/>
        <c:lblOffset val="100"/>
      </c:catAx>
      <c:valAx>
        <c:axId val="129046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3602716"/>
        <c:crosses val="autoZero"/>
        <c:crossBetween val="midCat"/>
      </c:valAx>
      <c:dTable>
        <c:showHorzBorder val="1"/>
        <c:showVertBorder val="1"/>
        <c:showOutline val="1"/>
      </c:dTable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LibreOffice/5.1.6.2$Linux_X86_64 LibreOffice_project/10m0$Build-2</Application>
  <Pages>4</Pages>
  <Words>239</Words>
  <Characters>1296</Characters>
  <CharactersWithSpaces>1527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2018-05-18T01:47:00Z</dcterms:created>
  <dc:creator>angel igualada moraga</dc:creator>
  <dc:description/>
  <dc:language>es-ES</dc:language>
  <cp:lastModifiedBy/>
  <dcterms:modified xsi:type="dcterms:W3CDTF">2018-05-18T07:07:43Z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