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Meeting Room Facilities</w:t>
      </w:r>
    </w:p>
    <w:p>
      <w:pPr>
        <w:jc w:val="center"/>
      </w:pPr>
      <w:r>
        <w:rPr>
          <w:i/>
          <w:sz w:val="20"/>
        </w:rPr>
        <w:t>Room configuration for the Meeting Organizer System</w:t>
      </w:r>
    </w:p>
    <w:p/>
    <w:p>
      <w:r>
        <w:rPr>
          <w:b/>
          <w:sz w:val="26"/>
        </w:rPr>
        <w:t>Room Configuration</w:t>
      </w:r>
    </w:p>
    <w:p>
      <w:pPr>
        <w:spacing w:after="160"/>
      </w:pPr>
      <w:r>
        <w:t>The following rooms and facilities are available for meeting scheduling. Facilities are modeled as room capabilities so that additional features can be added or enabled for individual rooms without changing the scheduling logic.</w:t>
      </w:r>
    </w:p>
    <w:tbl>
      <w:tblPr>
        <w:tblStyle w:val="TableGrid"/>
        <w:tblW w:type="auto" w:w="0"/>
        <w:jc w:val="center"/>
        <w:tblLook w:firstColumn="1" w:firstRow="1" w:lastColumn="0" w:lastRow="0" w:noHBand="0" w:noVBand="1" w:val="04A0"/>
      </w:tblPr>
      <w:tblGrid>
        <w:gridCol w:w="5112"/>
        <w:gridCol w:w="5112"/>
      </w:tblGrid>
      <w:tr>
        <w:tc>
          <w:tcPr>
            <w:tcW w:type="dxa" w:w="2304"/>
            <w:vAlign w:val="center"/>
          </w:tcPr>
          <w:p>
            <w:r>
              <w:rPr>
                <w:b/>
                <w:sz w:val="21"/>
              </w:rPr>
              <w:t>Room</w:t>
            </w:r>
          </w:p>
        </w:tc>
        <w:tc>
          <w:tcPr>
            <w:tcW w:type="dxa" w:w="8352"/>
            <w:vAlign w:val="center"/>
          </w:tcPr>
          <w:p>
            <w:r>
              <w:rPr>
                <w:b/>
                <w:sz w:val="21"/>
              </w:rPr>
              <w:t>Facilities</w:t>
            </w:r>
          </w:p>
        </w:tc>
      </w:tr>
      <w:tr>
        <w:tc>
          <w:tcPr>
            <w:tcW w:type="dxa" w:w="2304"/>
            <w:vAlign w:val="center"/>
          </w:tcPr>
          <w:p>
            <w:pPr>
              <w:spacing w:after="0"/>
            </w:pPr>
            <w:r>
              <w:t>Auditorium</w:t>
            </w:r>
          </w:p>
        </w:tc>
        <w:tc>
          <w:tcPr>
            <w:tcW w:type="dxa" w:w="8352"/>
            <w:vAlign w:val="center"/>
          </w:tcPr>
          <w:p>
            <w:pPr>
              <w:spacing w:after="0"/>
            </w:pPr>
            <w:r>
              <w:t>Projector, Mic, Whiteboard, Video Conferencing, Stage, Seating</w:t>
            </w:r>
          </w:p>
        </w:tc>
      </w:tr>
      <w:tr>
        <w:tc>
          <w:tcPr>
            <w:tcW w:type="dxa" w:w="2304"/>
            <w:vAlign w:val="center"/>
          </w:tcPr>
          <w:p>
            <w:pPr>
              <w:spacing w:after="0"/>
            </w:pPr>
            <w:r>
              <w:t>IoT Lab</w:t>
            </w:r>
          </w:p>
        </w:tc>
        <w:tc>
          <w:tcPr>
            <w:tcW w:type="dxa" w:w="8352"/>
            <w:vAlign w:val="center"/>
          </w:tcPr>
          <w:p>
            <w:pPr>
              <w:spacing w:after="0"/>
            </w:pPr>
            <w:r>
              <w:t>Projector, Mic, Whiteboard, Stage</w:t>
            </w:r>
          </w:p>
        </w:tc>
      </w:tr>
      <w:tr>
        <w:tc>
          <w:tcPr>
            <w:tcW w:type="dxa" w:w="2304"/>
            <w:vAlign w:val="center"/>
          </w:tcPr>
          <w:p>
            <w:pPr>
              <w:spacing w:after="0"/>
            </w:pPr>
            <w:r>
              <w:t>STEP Hall</w:t>
            </w:r>
          </w:p>
        </w:tc>
        <w:tc>
          <w:tcPr>
            <w:tcW w:type="dxa" w:w="8352"/>
            <w:vAlign w:val="center"/>
          </w:tcPr>
          <w:p>
            <w:pPr>
              <w:spacing w:after="0"/>
            </w:pPr>
            <w:r>
              <w:t>Projector, Mic, Whiteboard, Video Conferencing, Stage</w:t>
            </w:r>
          </w:p>
        </w:tc>
      </w:tr>
      <w:tr>
        <w:tc>
          <w:tcPr>
            <w:tcW w:type="dxa" w:w="2304"/>
            <w:vAlign w:val="center"/>
          </w:tcPr>
          <w:p>
            <w:pPr>
              <w:spacing w:after="0"/>
            </w:pPr>
            <w:r>
              <w:t>MB 104</w:t>
            </w:r>
          </w:p>
        </w:tc>
        <w:tc>
          <w:tcPr>
            <w:tcW w:type="dxa" w:w="8352"/>
            <w:vAlign w:val="center"/>
          </w:tcPr>
          <w:p>
            <w:pPr>
              <w:spacing w:after="0"/>
            </w:pPr>
            <w:r>
              <w:t>Projector, Mic, Whiteboard, Stage</w:t>
            </w:r>
          </w:p>
        </w:tc>
      </w:tr>
    </w:tbl>
    <w:p/>
    <w:p>
      <w:r>
        <w:rPr>
          <w:b/>
          <w:sz w:val="26"/>
        </w:rPr>
        <w:t>Facility Standardization</w:t>
      </w:r>
    </w:p>
    <w:p>
      <w:pPr>
        <w:pStyle w:val="ListBullet"/>
      </w:pPr>
      <w:r>
        <w:t>Stage is treated as a standard room facility and can be enabled for any room where required.</w:t>
      </w:r>
    </w:p>
    <w:p>
      <w:pPr>
        <w:pStyle w:val="ListBullet"/>
      </w:pPr>
      <w:r>
        <w:t>Projector availability is included for the Auditorium, IoT Lab, STEP Hall, and MB 104.</w:t>
      </w:r>
    </w:p>
    <w:p>
      <w:pPr>
        <w:pStyle w:val="ListBullet"/>
      </w:pPr>
      <w:r>
        <w:t>Video conferencing is currently available in the Auditorium and STEP Hall.</w:t>
      </w:r>
    </w:p>
    <w:p>
      <w:pPr>
        <w:pStyle w:val="ListBullet"/>
      </w:pPr>
      <w:r>
        <w:t>Room facilities should remain configurable so additional capabilities such as speakers, smart boards, recording, AC, computers, or seating capacity can be added later.</w:t>
      </w:r>
    </w:p>
    <w:p/>
    <w:p>
      <w:r>
        <w:rPr>
          <w:b/>
          <w:sz w:val="26"/>
        </w:rPr>
        <w:t>Final Room List</w:t>
      </w:r>
    </w:p>
    <w:p>
      <w:pPr>
        <w:pStyle w:val="ListNumber"/>
      </w:pPr>
      <w:r>
        <w:t>Auditorium</w:t>
      </w:r>
    </w:p>
    <w:p>
      <w:pPr>
        <w:pStyle w:val="ListNumber"/>
      </w:pPr>
      <w:r>
        <w:t>IoT Lab</w:t>
      </w:r>
    </w:p>
    <w:p>
      <w:pPr>
        <w:pStyle w:val="ListNumber"/>
      </w:pPr>
      <w:r>
        <w:t>STEP Hall</w:t>
      </w:r>
    </w:p>
    <w:p>
      <w:pPr>
        <w:pStyle w:val="ListNumber"/>
      </w:pPr>
      <w:r>
        <w:t>MB 104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