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2"/>
        </w:rPr>
        <w:t>NLP PROJECT RECOVERY REPORT</w:t>
      </w:r>
    </w:p>
    <w:p>
      <w:pPr>
        <w:jc w:val="center"/>
      </w:pPr>
      <w:r>
        <w:rPr>
          <w:b/>
          <w:sz w:val="26"/>
        </w:rPr>
        <w:t>NLP Based Patient Record Summarization for Clinical Decision</w:t>
      </w:r>
    </w:p>
    <w:p>
      <w:r>
        <w:t>Prepared from the uploaded NLP_Final.pdf and finalnlp2.ipynb, with public-source verification of the dataset. Statements below distinguish documented implementation from claims in the paper.</w:t>
      </w:r>
    </w:p>
    <w:p>
      <w:pPr>
        <w:pStyle w:val="Heading1"/>
      </w:pPr>
      <w:r>
        <w:t>1. Project identity</w:t>
      </w:r>
    </w:p>
    <w:p>
      <w:r>
        <w:t>Title: NLP Based Patient Record Summarization for Clinical Decision</w:t>
      </w:r>
    </w:p>
    <w:p>
      <w:r>
        <w:t>Authors listed in the paper: Aniket Patil, Sujal Revankar, Viraj Patil, Srushti Bandi and Savita Bagewadi.</w:t>
      </w:r>
    </w:p>
    <w:p>
      <w:r>
        <w:t>Affiliation: Department of Computer Science and Engineering (AI), KLE Technological University, Dr. M. S. Sheshgiri Campus, Belagavi, Karnataka, India.</w:t>
      </w:r>
    </w:p>
    <w:p>
      <w:r>
        <w:t>Problem: Convert long, unstructured clinical notes into more organized, structured patient summaries that preserve important details such as visit motivation, patient information, medical history, symptoms, investigations, diagnosis and treatment.</w:t>
      </w:r>
    </w:p>
    <w:p>
      <w:r>
        <w:t>Core approach: Compare a TF-IDF extractive baseline and zero-shot facebook/bart-large-cnn against a BART-large-CNN model fine-tuned on clinical note → structured summary pairs.</w:t>
      </w:r>
    </w:p>
    <w:p>
      <w:pPr>
        <w:pStyle w:val="Heading1"/>
      </w:pPr>
      <w:r>
        <w:t>2. Project objective and motivation</w:t>
      </w:r>
    </w:p>
    <w:p>
      <w:pPr>
        <w:pStyle w:val="ListBullet"/>
      </w:pPr>
      <w:r>
        <w:t>Reduce the time clinicians spend manually reviewing long electronic health record (EHR) notes.</w:t>
      </w:r>
    </w:p>
    <w:p>
      <w:pPr>
        <w:pStyle w:val="ListBullet"/>
      </w:pPr>
      <w:r>
        <w:t>Generate a structured, JSON-like patient summary from an unstructured clinical note.</w:t>
      </w:r>
    </w:p>
    <w:p>
      <w:pPr>
        <w:pStyle w:val="ListBullet"/>
      </w:pPr>
      <w:r>
        <w:t>Fine-tune a pre-trained BART summarization model on clinical-domain examples.</w:t>
      </w:r>
    </w:p>
    <w:p>
      <w:pPr>
        <w:pStyle w:val="ListBullet"/>
      </w:pPr>
      <w:r>
        <w:t>Compare the fine-tuned model against extractive TF-IDF and zero-shot pre-trained BART.</w:t>
      </w:r>
    </w:p>
    <w:p>
      <w:pPr>
        <w:pStyle w:val="ListBullet"/>
      </w:pPr>
      <w:r>
        <w:t>Evaluate lexical overlap, semantic similarity and clinical-content retention using ROUGE, BERTScore, METEOR, medical entity preservation and MEDCON.</w:t>
      </w:r>
    </w:p>
    <w:p>
      <w:pPr>
        <w:pStyle w:val="ListBullet"/>
      </w:pPr>
      <w:r>
        <w:t>The paper also discusses hallucination and inconsistency as important safety risks for clinical summarization.</w:t>
      </w:r>
    </w:p>
    <w:p>
      <w:r>
        <w:t>Important scope note: the artifacts describe a research prototype and offline evaluation. They do not establish clinical validation or readiness for real patient-care use.</w:t>
      </w:r>
    </w:p>
    <w:p>
      <w:pPr>
        <w:pStyle w:val="Heading1"/>
      </w:pPr>
      <w:r>
        <w:t>3. Dataset</w:t>
      </w:r>
    </w:p>
    <w:p>
      <w:r>
        <w:t>Dataset identifier: AGBonnet/augmented-clinical-notes (Hugging Face Datasets).</w:t>
      </w:r>
    </w:p>
    <w:p>
      <w:r>
        <w:t>The notebook loads the train split and reports 30,000 rows and five columns: idx, note, full_note, conversation and summary. The training task uses note as the source and summary as the target.</w:t>
      </w:r>
    </w:p>
    <w:tbl>
      <w:tblPr>
        <w:tblStyle w:val="LightShading-Accent1"/>
        <w:tblW w:type="auto" w:w="0"/>
        <w:jc w:val="center"/>
        <w:tblLook w:firstColumn="1" w:firstRow="1" w:lastColumn="0" w:lastRow="0" w:noHBand="0" w:noVBand="1" w:val="04A0"/>
      </w:tblPr>
      <w:tblGrid>
        <w:gridCol w:w="5040"/>
        <w:gridCol w:w="5040"/>
      </w:tblGrid>
      <w:tr>
        <w:tc>
          <w:tcPr>
            <w:tcW w:type="dxa" w:w="5040"/>
          </w:tcPr>
          <w:p>
            <w:r>
              <w:t>Item</w:t>
            </w:r>
          </w:p>
        </w:tc>
        <w:tc>
          <w:tcPr>
            <w:tcW w:type="dxa" w:w="5040"/>
          </w:tcPr>
          <w:p>
            <w:r>
              <w:t>Recovered detail</w:t>
            </w:r>
          </w:p>
        </w:tc>
      </w:tr>
      <w:tr>
        <w:tc>
          <w:tcPr>
            <w:tcW w:type="dxa" w:w="5040"/>
            <w:vAlign w:val="center"/>
          </w:tcPr>
          <w:p>
            <w:r>
              <w:t>Total dataset</w:t>
            </w:r>
          </w:p>
        </w:tc>
        <w:tc>
          <w:tcPr>
            <w:tcW w:type="dxa" w:w="5040"/>
            <w:vAlign w:val="center"/>
          </w:tcPr>
          <w:p>
            <w:r>
              <w:t>30,000 rows</w:t>
            </w:r>
          </w:p>
        </w:tc>
      </w:tr>
      <w:tr>
        <w:tc>
          <w:tcPr>
            <w:tcW w:type="dxa" w:w="5040"/>
            <w:vAlign w:val="center"/>
          </w:tcPr>
          <w:p>
            <w:r>
              <w:t>Input field</w:t>
            </w:r>
          </w:p>
        </w:tc>
        <w:tc>
          <w:tcPr>
            <w:tcW w:type="dxa" w:w="5040"/>
            <w:vAlign w:val="center"/>
          </w:tcPr>
          <w:p>
            <w:r>
              <w:t>note — clinical note (may be truncated in the dataset source)</w:t>
            </w:r>
          </w:p>
        </w:tc>
      </w:tr>
      <w:tr>
        <w:tc>
          <w:tcPr>
            <w:tcW w:type="dxa" w:w="5040"/>
            <w:vAlign w:val="center"/>
          </w:tcPr>
          <w:p>
            <w:r>
              <w:t>Target field</w:t>
            </w:r>
          </w:p>
        </w:tc>
        <w:tc>
          <w:tcPr>
            <w:tcW w:type="dxa" w:w="5040"/>
            <w:vAlign w:val="center"/>
          </w:tcPr>
          <w:p>
            <w:r>
              <w:t>summary — structured patient-information summary in JSON-like form</w:t>
            </w:r>
          </w:p>
        </w:tc>
      </w:tr>
      <w:tr>
        <w:tc>
          <w:tcPr>
            <w:tcW w:type="dxa" w:w="5040"/>
            <w:vAlign w:val="center"/>
          </w:tcPr>
          <w:p>
            <w:r>
              <w:t>Other available fields</w:t>
            </w:r>
          </w:p>
        </w:tc>
        <w:tc>
          <w:tcPr>
            <w:tcW w:type="dxa" w:w="5040"/>
            <w:vAlign w:val="center"/>
          </w:tcPr>
          <w:p>
            <w:r>
              <w:t>idx, full_note, conversation</w:t>
            </w:r>
          </w:p>
        </w:tc>
      </w:tr>
      <w:tr>
        <w:tc>
          <w:tcPr>
            <w:tcW w:type="dxa" w:w="5040"/>
            <w:vAlign w:val="center"/>
          </w:tcPr>
          <w:p>
            <w:r>
              <w:t>Selected subset</w:t>
            </w:r>
          </w:p>
        </w:tc>
        <w:tc>
          <w:tcPr>
            <w:tcW w:type="dxa" w:w="5040"/>
            <w:vAlign w:val="center"/>
          </w:tcPr>
          <w:p>
            <w:r>
              <w:t>5,000 samples, random_state/seed 42</w:t>
            </w:r>
          </w:p>
        </w:tc>
      </w:tr>
      <w:tr>
        <w:tc>
          <w:tcPr>
            <w:tcW w:type="dxa" w:w="5040"/>
            <w:vAlign w:val="center"/>
          </w:tcPr>
          <w:p>
            <w:r>
              <w:t>Train split</w:t>
            </w:r>
          </w:p>
        </w:tc>
        <w:tc>
          <w:tcPr>
            <w:tcW w:type="dxa" w:w="5040"/>
            <w:vAlign w:val="center"/>
          </w:tcPr>
          <w:p>
            <w:r>
              <w:t>3,500 (70%)</w:t>
            </w:r>
          </w:p>
        </w:tc>
      </w:tr>
      <w:tr>
        <w:tc>
          <w:tcPr>
            <w:tcW w:type="dxa" w:w="5040"/>
            <w:vAlign w:val="center"/>
          </w:tcPr>
          <w:p>
            <w:r>
              <w:t>Validation split</w:t>
            </w:r>
          </w:p>
        </w:tc>
        <w:tc>
          <w:tcPr>
            <w:tcW w:type="dxa" w:w="5040"/>
            <w:vAlign w:val="center"/>
          </w:tcPr>
          <w:p>
            <w:r>
              <w:t>750 (15%)</w:t>
            </w:r>
          </w:p>
        </w:tc>
      </w:tr>
      <w:tr>
        <w:tc>
          <w:tcPr>
            <w:tcW w:type="dxa" w:w="5040"/>
            <w:vAlign w:val="center"/>
          </w:tcPr>
          <w:p>
            <w:r>
              <w:t>Test split</w:t>
            </w:r>
          </w:p>
        </w:tc>
        <w:tc>
          <w:tcPr>
            <w:tcW w:type="dxa" w:w="5040"/>
            <w:vAlign w:val="center"/>
          </w:tcPr>
          <w:p>
            <w:r>
              <w:t>750 (15%)</w:t>
            </w:r>
          </w:p>
        </w:tc>
      </w:tr>
      <w:tr>
        <w:tc>
          <w:tcPr>
            <w:tcW w:type="dxa" w:w="5040"/>
            <w:vAlign w:val="center"/>
          </w:tcPr>
          <w:p>
            <w:r>
              <w:t>Notebook EDA median note length</w:t>
            </w:r>
          </w:p>
        </w:tc>
        <w:tc>
          <w:tcPr>
            <w:tcW w:type="dxa" w:w="5040"/>
            <w:vAlign w:val="center"/>
          </w:tcPr>
          <w:p>
            <w:r>
              <w:t>316 words</w:t>
            </w:r>
          </w:p>
        </w:tc>
      </w:tr>
      <w:tr>
        <w:tc>
          <w:tcPr>
            <w:tcW w:type="dxa" w:w="5040"/>
            <w:vAlign w:val="center"/>
          </w:tcPr>
          <w:p>
            <w:r>
              <w:t>Notebook EDA median summary length</w:t>
            </w:r>
          </w:p>
        </w:tc>
        <w:tc>
          <w:tcPr>
            <w:tcW w:type="dxa" w:w="5040"/>
            <w:vAlign w:val="center"/>
          </w:tcPr>
          <w:p>
            <w:r>
              <w:t>446 words</w:t>
            </w:r>
          </w:p>
        </w:tc>
      </w:tr>
      <w:tr>
        <w:tc>
          <w:tcPr>
            <w:tcW w:type="dxa" w:w="5040"/>
            <w:vAlign w:val="center"/>
          </w:tcPr>
          <w:p>
            <w:r>
              <w:t>Notebook EDA median summary/note word ratio</w:t>
            </w:r>
          </w:p>
        </w:tc>
        <w:tc>
          <w:tcPr>
            <w:tcW w:type="dxa" w:w="5040"/>
            <w:vAlign w:val="center"/>
          </w:tcPr>
          <w:p>
            <w:r>
              <w:t>1.407</w:t>
            </w:r>
          </w:p>
        </w:tc>
      </w:tr>
    </w:tbl>
    <w:p>
      <w:r>
        <w:t>The notebook checks note and summary for missing values and reports zero nulls in both columns before filtering. It normalizes whitespace, removes rows with missing values and drops examples where the cleaned note or summary is 10 characters or shorter.</w:t>
      </w:r>
    </w:p>
    <w:p>
      <w:r>
        <w:t>External dataset context: the dataset card describes the corpus as 30,000 triplets combining clinical notes derived from PMC-Patients, synthetic patient–doctor dialogues from NoteChat and structured patient summaries generated with GPT-4 using a medical information template. The notebook does not train on the conversation or full_note fields.</w:t>
      </w:r>
    </w:p>
    <w:p>
      <w:pPr>
        <w:pStyle w:val="Heading1"/>
      </w:pPr>
      <w:r>
        <w:t>4. Preprocessing and data pipeline</w:t>
      </w:r>
    </w:p>
    <w:p>
      <w:pPr>
        <w:pStyle w:val="ListNumber"/>
      </w:pPr>
      <w:r>
        <w:t>Load AGBonnet/augmented-clinical-notes with Hugging Face Datasets.</w:t>
      </w:r>
    </w:p>
    <w:p>
      <w:pPr>
        <w:pStyle w:val="ListNumber"/>
      </w:pPr>
      <w:r>
        <w:t>Convert the train split to a pandas DataFrame.</w:t>
      </w:r>
    </w:p>
    <w:p>
      <w:pPr>
        <w:pStyle w:val="ListNumber"/>
      </w:pPr>
      <w:r>
        <w:t>Inspect columns and null counts and compute note length, summary length and compression ratio.</w:t>
      </w:r>
    </w:p>
    <w:p>
      <w:pPr>
        <w:pStyle w:val="ListNumber"/>
      </w:pPr>
      <w:r>
        <w:t>Normalize whitespace with a regular expression and strip leading/trailing whitespace.</w:t>
      </w:r>
    </w:p>
    <w:p>
      <w:pPr>
        <w:pStyle w:val="ListNumber"/>
      </w:pPr>
      <w:r>
        <w:t>Filter out very short note/summary pairs.</w:t>
      </w:r>
    </w:p>
    <w:p>
      <w:pPr>
        <w:pStyle w:val="ListNumber"/>
      </w:pPr>
      <w:r>
        <w:t>Sample 5,000 records reproducibly with random_state=42.</w:t>
      </w:r>
    </w:p>
    <w:p>
      <w:pPr>
        <w:pStyle w:val="ListNumber"/>
      </w:pPr>
      <w:r>
        <w:t>Split into 3,500 train, 750 validation and 750 test records using scikit-learn train_test_split.</w:t>
      </w:r>
    </w:p>
    <w:p>
      <w:pPr>
        <w:pStyle w:val="ListNumber"/>
      </w:pPr>
      <w:r>
        <w:t>Tokenize both source notes and target summaries using the facebook/bart-large-cnn tokenizer.</w:t>
      </w:r>
    </w:p>
    <w:p>
      <w:pPr>
        <w:pStyle w:val="ListNumber"/>
      </w:pPr>
      <w:r>
        <w:t>Truncate/pad inputs to 512 tokens and target summaries to 384 tokens; replace target padding token IDs with -100 so they are ignored by the loss.</w:t>
      </w:r>
    </w:p>
    <w:p>
      <w:pPr>
        <w:pStyle w:val="ListNumber"/>
      </w:pPr>
      <w:r>
        <w:t>Use batched processing and a sequence-to-sequence data collator for model training.</w:t>
      </w:r>
    </w:p>
    <w:p>
      <w:pPr>
        <w:pStyle w:val="Heading1"/>
      </w:pPr>
      <w:r>
        <w:t>5. Model and baselines</w:t>
      </w:r>
    </w:p>
    <w:p>
      <w:pPr>
        <w:pStyle w:val="Heading2"/>
      </w:pPr>
      <w:r>
        <w:t>A. Proposed model</w:t>
      </w:r>
    </w:p>
    <w:p>
      <w:r>
        <w:t>facebook/bart-large-cnn, a pre-trained encoder–decoder transformer used for abstractive summarization. The notebook fine-tunes it with supervised sequence-to-sequence learning on clinical note and structured summary pairs.</w:t>
      </w:r>
    </w:p>
    <w:p>
      <w:pPr>
        <w:pStyle w:val="Heading2"/>
      </w:pPr>
      <w:r>
        <w:t>B. Baseline 1 — TF-IDF extractive summarizer</w:t>
      </w:r>
    </w:p>
    <w:p>
      <w:pPr>
        <w:pStyle w:val="ListBullet"/>
      </w:pPr>
      <w:r>
        <w:t>Split each note into sentences using sentence-ending punctuation.</w:t>
      </w:r>
    </w:p>
    <w:p>
      <w:pPr>
        <w:pStyle w:val="ListBullet"/>
      </w:pPr>
      <w:r>
        <w:t>Discard sentences with four words or fewer.</w:t>
      </w:r>
    </w:p>
    <w:p>
      <w:pPr>
        <w:pStyle w:val="ListBullet"/>
      </w:pPr>
      <w:r>
        <w:t>Fit a TF-IDF vectorizer with English stop words over the sentences.</w:t>
      </w:r>
    </w:p>
    <w:p>
      <w:pPr>
        <w:pStyle w:val="ListBullet"/>
      </w:pPr>
      <w:r>
        <w:t>Compute each sentence's cosine similarity to the mean TF-IDF document vector.</w:t>
      </w:r>
    </w:p>
    <w:p>
      <w:pPr>
        <w:pStyle w:val="ListBullet"/>
      </w:pPr>
      <w:r>
        <w:t>Select the five highest-scoring sentences and restore their original order.</w:t>
      </w:r>
    </w:p>
    <w:p>
      <w:pPr>
        <w:pStyle w:val="ListBullet"/>
      </w:pPr>
      <w:r>
        <w:t>If vectorization fails, fall back to the first five eligible sentences.</w:t>
      </w:r>
    </w:p>
    <w:p>
      <w:pPr>
        <w:pStyle w:val="Heading2"/>
      </w:pPr>
      <w:r>
        <w:t>C. Baseline 2 — zero-shot BART</w:t>
      </w:r>
    </w:p>
    <w:p>
      <w:pPr>
        <w:pStyle w:val="ListBullet"/>
      </w:pPr>
      <w:r>
        <w:t>Use facebook/bart-large-cnn without domain-specific fine-tuning.</w:t>
      </w:r>
    </w:p>
    <w:p>
      <w:pPr>
        <w:pStyle w:val="ListBullet"/>
      </w:pPr>
      <w:r>
        <w:t>Run inference over 50 held-out test notes, passing note[:1024] to the pipeline.</w:t>
      </w:r>
    </w:p>
    <w:p>
      <w:pPr>
        <w:pStyle w:val="ListBullet"/>
      </w:pPr>
      <w:r>
        <w:t>Generation settings shown in the notebook: max_length=256, min_length=60, do_sample=False and truncation=True.</w:t>
      </w:r>
    </w:p>
    <w:p>
      <w:pPr>
        <w:pStyle w:val="Heading2"/>
      </w:pPr>
      <w:r>
        <w:t>D. Fine-tuned BART inference</w:t>
      </w:r>
    </w:p>
    <w:p>
      <w:pPr>
        <w:pStyle w:val="ListBullet"/>
      </w:pPr>
      <w:r>
        <w:t>Use a deterministic summarization pipeline with max_length=384, min_length=80, num_beams=4, length_penalty=1.2, no_repeat_ngram_size=3 and truncation=True.</w:t>
      </w:r>
    </w:p>
    <w:p>
      <w:pPr>
        <w:pStyle w:val="ListBullet"/>
      </w:pPr>
      <w:r>
        <w:t>A helper function named generate_clinical_summary(note) returns the generated structured summary or an error message for empty input, missing pipeline or generation failure.</w:t>
      </w:r>
    </w:p>
    <w:p>
      <w:pPr>
        <w:pStyle w:val="ListBullet"/>
      </w:pPr>
      <w:r>
        <w:t>The notebook's qualitative examples show JSON-like text but also malformed quotation marks, inconsistent fields and incomplete/truncated output. Valid JSON is therefore not guaranteed.</w:t>
      </w:r>
    </w:p>
    <w:p>
      <w:pPr>
        <w:pStyle w:val="Heading1"/>
      </w:pPr>
      <w:r>
        <w:t>6. Training configuration recovered from notebook and paper</w:t>
      </w:r>
    </w:p>
    <w:tbl>
      <w:tblPr>
        <w:tblStyle w:val="LightShading-Accent1"/>
        <w:tblW w:type="auto" w:w="0"/>
        <w:jc w:val="center"/>
        <w:tblLook w:firstColumn="1" w:firstRow="1" w:lastColumn="0" w:lastRow="0" w:noHBand="0" w:noVBand="1" w:val="04A0"/>
      </w:tblPr>
      <w:tblGrid>
        <w:gridCol w:w="5040"/>
        <w:gridCol w:w="5040"/>
      </w:tblGrid>
      <w:tr>
        <w:tc>
          <w:tcPr>
            <w:tcW w:type="dxa" w:w="5040"/>
          </w:tcPr>
          <w:p>
            <w:r>
              <w:t>Parameter</w:t>
            </w:r>
          </w:p>
        </w:tc>
        <w:tc>
          <w:tcPr>
            <w:tcW w:type="dxa" w:w="5040"/>
          </w:tcPr>
          <w:p>
            <w:r>
              <w:t>Value</w:t>
            </w:r>
          </w:p>
        </w:tc>
      </w:tr>
      <w:tr>
        <w:tc>
          <w:tcPr>
            <w:tcW w:type="dxa" w:w="5040"/>
            <w:vAlign w:val="center"/>
          </w:tcPr>
          <w:p>
            <w:r>
              <w:t>Base model</w:t>
            </w:r>
          </w:p>
        </w:tc>
        <w:tc>
          <w:tcPr>
            <w:tcW w:type="dxa" w:w="5040"/>
            <w:vAlign w:val="center"/>
          </w:tcPr>
          <w:p>
            <w:r>
              <w:t>facebook/bart-large-cnn</w:t>
            </w:r>
          </w:p>
        </w:tc>
      </w:tr>
      <w:tr>
        <w:tc>
          <w:tcPr>
            <w:tcW w:type="dxa" w:w="5040"/>
            <w:vAlign w:val="center"/>
          </w:tcPr>
          <w:p>
            <w:r>
              <w:t>Tokenizer</w:t>
            </w:r>
          </w:p>
        </w:tc>
        <w:tc>
          <w:tcPr>
            <w:tcW w:type="dxa" w:w="5040"/>
            <w:vAlign w:val="center"/>
          </w:tcPr>
          <w:p>
            <w:r>
              <w:t>AutoTokenizer for facebook/bart-large-cnn</w:t>
            </w:r>
          </w:p>
        </w:tc>
      </w:tr>
      <w:tr>
        <w:tc>
          <w:tcPr>
            <w:tcW w:type="dxa" w:w="5040"/>
            <w:vAlign w:val="center"/>
          </w:tcPr>
          <w:p>
            <w:r>
              <w:t>Framework</w:t>
            </w:r>
          </w:p>
        </w:tc>
        <w:tc>
          <w:tcPr>
            <w:tcW w:type="dxa" w:w="5040"/>
            <w:vAlign w:val="center"/>
          </w:tcPr>
          <w:p>
            <w:r>
              <w:t>PyTorch + Hugging Face Transformers</w:t>
            </w:r>
          </w:p>
        </w:tc>
      </w:tr>
      <w:tr>
        <w:tc>
          <w:tcPr>
            <w:tcW w:type="dxa" w:w="5040"/>
            <w:vAlign w:val="center"/>
          </w:tcPr>
          <w:p>
            <w:r>
              <w:t>Transformers version</w:t>
            </w:r>
          </w:p>
        </w:tc>
        <w:tc>
          <w:tcPr>
            <w:tcW w:type="dxa" w:w="5040"/>
            <w:vAlign w:val="center"/>
          </w:tcPr>
          <w:p>
            <w:r>
              <w:t>4.35.2</w:t>
            </w:r>
          </w:p>
        </w:tc>
      </w:tr>
      <w:tr>
        <w:tc>
          <w:tcPr>
            <w:tcW w:type="dxa" w:w="5040"/>
            <w:vAlign w:val="center"/>
          </w:tcPr>
          <w:p>
            <w:r>
              <w:t>Accelerate version</w:t>
            </w:r>
          </w:p>
        </w:tc>
        <w:tc>
          <w:tcPr>
            <w:tcW w:type="dxa" w:w="5040"/>
            <w:vAlign w:val="center"/>
          </w:tcPr>
          <w:p>
            <w:r>
              <w:t>0.24.1</w:t>
            </w:r>
          </w:p>
        </w:tc>
      </w:tr>
      <w:tr>
        <w:tc>
          <w:tcPr>
            <w:tcW w:type="dxa" w:w="5040"/>
            <w:vAlign w:val="center"/>
          </w:tcPr>
          <w:p>
            <w:r>
              <w:t>Compute environment in saved notebook output</w:t>
            </w:r>
          </w:p>
        </w:tc>
        <w:tc>
          <w:tcPr>
            <w:tcW w:type="dxa" w:w="5040"/>
            <w:vAlign w:val="center"/>
          </w:tcPr>
          <w:p>
            <w:r>
              <w:t>Kaggle Python environment; CUDA; NVIDIA Tesla T4, GPU count reported as 2</w:t>
            </w:r>
          </w:p>
        </w:tc>
      </w:tr>
      <w:tr>
        <w:tc>
          <w:tcPr>
            <w:tcW w:type="dxa" w:w="5040"/>
            <w:vAlign w:val="center"/>
          </w:tcPr>
          <w:p>
            <w:r>
              <w:t>Precision</w:t>
            </w:r>
          </w:p>
        </w:tc>
        <w:tc>
          <w:tcPr>
            <w:tcW w:type="dxa" w:w="5040"/>
            <w:vAlign w:val="center"/>
          </w:tcPr>
          <w:p>
            <w:r>
              <w:t>fp16 mixed precision</w:t>
            </w:r>
          </w:p>
        </w:tc>
      </w:tr>
      <w:tr>
        <w:tc>
          <w:tcPr>
            <w:tcW w:type="dxa" w:w="5040"/>
            <w:vAlign w:val="center"/>
          </w:tcPr>
          <w:p>
            <w:r>
              <w:t>Maximum input length</w:t>
            </w:r>
          </w:p>
        </w:tc>
        <w:tc>
          <w:tcPr>
            <w:tcW w:type="dxa" w:w="5040"/>
            <w:vAlign w:val="center"/>
          </w:tcPr>
          <w:p>
            <w:r>
              <w:t>512 tokens</w:t>
            </w:r>
          </w:p>
        </w:tc>
      </w:tr>
      <w:tr>
        <w:tc>
          <w:tcPr>
            <w:tcW w:type="dxa" w:w="5040"/>
            <w:vAlign w:val="center"/>
          </w:tcPr>
          <w:p>
            <w:r>
              <w:t>Maximum target length</w:t>
            </w:r>
          </w:p>
        </w:tc>
        <w:tc>
          <w:tcPr>
            <w:tcW w:type="dxa" w:w="5040"/>
            <w:vAlign w:val="center"/>
          </w:tcPr>
          <w:p>
            <w:r>
              <w:t>384 tokens</w:t>
            </w:r>
          </w:p>
        </w:tc>
      </w:tr>
      <w:tr>
        <w:tc>
          <w:tcPr>
            <w:tcW w:type="dxa" w:w="5040"/>
            <w:vAlign w:val="center"/>
          </w:tcPr>
          <w:p>
            <w:r>
              <w:t>Learning rate</w:t>
            </w:r>
          </w:p>
        </w:tc>
        <w:tc>
          <w:tcPr>
            <w:tcW w:type="dxa" w:w="5040"/>
            <w:vAlign w:val="center"/>
          </w:tcPr>
          <w:p>
            <w:r>
              <w:t>3e-5</w:t>
            </w:r>
          </w:p>
        </w:tc>
      </w:tr>
      <w:tr>
        <w:tc>
          <w:tcPr>
            <w:tcW w:type="dxa" w:w="5040"/>
            <w:vAlign w:val="center"/>
          </w:tcPr>
          <w:p>
            <w:r>
              <w:t>Scheduler</w:t>
            </w:r>
          </w:p>
        </w:tc>
        <w:tc>
          <w:tcPr>
            <w:tcW w:type="dxa" w:w="5040"/>
            <w:vAlign w:val="center"/>
          </w:tcPr>
          <w:p>
            <w:r>
              <w:t>Cosine schedule with warmup</w:t>
            </w:r>
          </w:p>
        </w:tc>
      </w:tr>
      <w:tr>
        <w:tc>
          <w:tcPr>
            <w:tcW w:type="dxa" w:w="5040"/>
            <w:vAlign w:val="center"/>
          </w:tcPr>
          <w:p>
            <w:r>
              <w:t>Per-device batch size</w:t>
            </w:r>
          </w:p>
        </w:tc>
        <w:tc>
          <w:tcPr>
            <w:tcW w:type="dxa" w:w="5040"/>
            <w:vAlign w:val="center"/>
          </w:tcPr>
          <w:p>
            <w:r>
              <w:t>2</w:t>
            </w:r>
          </w:p>
        </w:tc>
      </w:tr>
      <w:tr>
        <w:tc>
          <w:tcPr>
            <w:tcW w:type="dxa" w:w="5040"/>
            <w:vAlign w:val="center"/>
          </w:tcPr>
          <w:p>
            <w:r>
              <w:t>Gradient accumulation</w:t>
            </w:r>
          </w:p>
        </w:tc>
        <w:tc>
          <w:tcPr>
            <w:tcW w:type="dxa" w:w="5040"/>
            <w:vAlign w:val="center"/>
          </w:tcPr>
          <w:p>
            <w:r>
              <w:t>4 steps</w:t>
            </w:r>
          </w:p>
        </w:tc>
      </w:tr>
      <w:tr>
        <w:tc>
          <w:tcPr>
            <w:tcW w:type="dxa" w:w="5040"/>
            <w:vAlign w:val="center"/>
          </w:tcPr>
          <w:p>
            <w:r>
              <w:t>Effective batch size</w:t>
            </w:r>
          </w:p>
        </w:tc>
        <w:tc>
          <w:tcPr>
            <w:tcW w:type="dxa" w:w="5040"/>
            <w:vAlign w:val="center"/>
          </w:tcPr>
          <w:p>
            <w:r>
              <w:t>8</w:t>
            </w:r>
          </w:p>
        </w:tc>
      </w:tr>
      <w:tr>
        <w:tc>
          <w:tcPr>
            <w:tcW w:type="dxa" w:w="5040"/>
            <w:vAlign w:val="center"/>
          </w:tcPr>
          <w:p>
            <w:r>
              <w:t>Epochs</w:t>
            </w:r>
          </w:p>
        </w:tc>
        <w:tc>
          <w:tcPr>
            <w:tcW w:type="dxa" w:w="5040"/>
            <w:vAlign w:val="center"/>
          </w:tcPr>
          <w:p>
            <w:r>
              <w:t>Up to 5</w:t>
            </w:r>
          </w:p>
        </w:tc>
      </w:tr>
      <w:tr>
        <w:tc>
          <w:tcPr>
            <w:tcW w:type="dxa" w:w="5040"/>
            <w:vAlign w:val="center"/>
          </w:tcPr>
          <w:p>
            <w:r>
              <w:t>Early stopping</w:t>
            </w:r>
          </w:p>
        </w:tc>
        <w:tc>
          <w:tcPr>
            <w:tcW w:type="dxa" w:w="5040"/>
            <w:vAlign w:val="center"/>
          </w:tcPr>
          <w:p>
            <w:r>
              <w:t>Patience 2</w:t>
            </w:r>
          </w:p>
        </w:tc>
      </w:tr>
      <w:tr>
        <w:tc>
          <w:tcPr>
            <w:tcW w:type="dxa" w:w="5040"/>
            <w:vAlign w:val="center"/>
          </w:tcPr>
          <w:p>
            <w:r>
              <w:t>Weight decay</w:t>
            </w:r>
          </w:p>
        </w:tc>
        <w:tc>
          <w:tcPr>
            <w:tcW w:type="dxa" w:w="5040"/>
            <w:vAlign w:val="center"/>
          </w:tcPr>
          <w:p>
            <w:r>
              <w:t>0.01</w:t>
            </w:r>
          </w:p>
        </w:tc>
      </w:tr>
      <w:tr>
        <w:tc>
          <w:tcPr>
            <w:tcW w:type="dxa" w:w="5040"/>
            <w:vAlign w:val="center"/>
          </w:tcPr>
          <w:p>
            <w:r>
              <w:t>Label smoothing</w:t>
            </w:r>
          </w:p>
        </w:tc>
        <w:tc>
          <w:tcPr>
            <w:tcW w:type="dxa" w:w="5040"/>
            <w:vAlign w:val="center"/>
          </w:tcPr>
          <w:p>
            <w:r>
              <w:t>0.1</w:t>
            </w:r>
          </w:p>
        </w:tc>
      </w:tr>
      <w:tr>
        <w:tc>
          <w:tcPr>
            <w:tcW w:type="dxa" w:w="5040"/>
            <w:vAlign w:val="center"/>
          </w:tcPr>
          <w:p>
            <w:r>
              <w:t>Inference beam size</w:t>
            </w:r>
          </w:p>
        </w:tc>
        <w:tc>
          <w:tcPr>
            <w:tcW w:type="dxa" w:w="5040"/>
            <w:vAlign w:val="center"/>
          </w:tcPr>
          <w:p>
            <w:r>
              <w:t>4</w:t>
            </w:r>
          </w:p>
        </w:tc>
      </w:tr>
      <w:tr>
        <w:tc>
          <w:tcPr>
            <w:tcW w:type="dxa" w:w="5040"/>
            <w:vAlign w:val="center"/>
          </w:tcPr>
          <w:p>
            <w:r>
              <w:t>Inference length penalty</w:t>
            </w:r>
          </w:p>
        </w:tc>
        <w:tc>
          <w:tcPr>
            <w:tcW w:type="dxa" w:w="5040"/>
            <w:vAlign w:val="center"/>
          </w:tcPr>
          <w:p>
            <w:r>
              <w:t>1.2</w:t>
            </w:r>
          </w:p>
        </w:tc>
      </w:tr>
      <w:tr>
        <w:tc>
          <w:tcPr>
            <w:tcW w:type="dxa" w:w="5040"/>
            <w:vAlign w:val="center"/>
          </w:tcPr>
          <w:p>
            <w:r>
              <w:t>Evaluation subset</w:t>
            </w:r>
          </w:p>
        </w:tc>
        <w:tc>
          <w:tcPr>
            <w:tcW w:type="dxa" w:w="5040"/>
            <w:vAlign w:val="center"/>
          </w:tcPr>
          <w:p>
            <w:r>
              <w:t>50 test samples</w:t>
            </w:r>
          </w:p>
        </w:tc>
      </w:tr>
    </w:tbl>
    <w:p>
      <w:r>
        <w:t>The notebook installs transformers==4.35.2, accelerate==0.24.1, peft==0.6.2, datasets, rouge-score, sentencepiece, bert-extractive-summarizer, bert-score and nltk. It also imports scikit-learn, matplotlib, seaborn and PyTorch. SciSpacy is attempted for medical NER but the saved output says en_core_sci_sm was unavailable and a keyword-based fallback was used.</w:t>
      </w:r>
    </w:p>
    <w:p>
      <w:pPr>
        <w:pStyle w:val="Heading1"/>
      </w:pPr>
      <w:r>
        <w:t>7. Evaluation methods</w:t>
      </w:r>
    </w:p>
    <w:tbl>
      <w:tblPr>
        <w:tblStyle w:val="LightShading-Accent1"/>
        <w:tblW w:type="auto" w:w="0"/>
        <w:jc w:val="center"/>
        <w:tblLook w:firstColumn="1" w:firstRow="1" w:lastColumn="0" w:lastRow="0" w:noHBand="0" w:noVBand="1" w:val="04A0"/>
      </w:tblPr>
      <w:tblGrid>
        <w:gridCol w:w="5040"/>
        <w:gridCol w:w="5040"/>
      </w:tblGrid>
      <w:tr>
        <w:tc>
          <w:tcPr>
            <w:tcW w:type="dxa" w:w="5040"/>
          </w:tcPr>
          <w:p>
            <w:r>
              <w:t>Metric</w:t>
            </w:r>
          </w:p>
        </w:tc>
        <w:tc>
          <w:tcPr>
            <w:tcW w:type="dxa" w:w="5040"/>
          </w:tcPr>
          <w:p>
            <w:r>
              <w:t>What the recovered implementation measures</w:t>
            </w:r>
          </w:p>
        </w:tc>
      </w:tr>
      <w:tr>
        <w:tc>
          <w:tcPr>
            <w:tcW w:type="dxa" w:w="5040"/>
            <w:vAlign w:val="center"/>
          </w:tcPr>
          <w:p>
            <w:r>
              <w:t>ROUGE-1 / ROUGE-2 / ROUGE-L</w:t>
            </w:r>
          </w:p>
        </w:tc>
        <w:tc>
          <w:tcPr>
            <w:tcW w:type="dxa" w:w="5040"/>
            <w:vAlign w:val="center"/>
          </w:tcPr>
          <w:p>
            <w:r>
              <w:t>Lexical overlap with the reference summary: unigrams, bigrams and longest common subsequence.</w:t>
            </w:r>
          </w:p>
        </w:tc>
      </w:tr>
      <w:tr>
        <w:tc>
          <w:tcPr>
            <w:tcW w:type="dxa" w:w="5040"/>
            <w:vAlign w:val="center"/>
          </w:tcPr>
          <w:p>
            <w:r>
              <w:t>BERTScore-F1</w:t>
            </w:r>
          </w:p>
        </w:tc>
        <w:tc>
          <w:tcPr>
            <w:tcW w:type="dxa" w:w="5040"/>
            <w:vAlign w:val="center"/>
          </w:tcPr>
          <w:p>
            <w:r>
              <w:t>Contextual embedding-based semantic similarity between generated and reference summaries.</w:t>
            </w:r>
          </w:p>
        </w:tc>
      </w:tr>
      <w:tr>
        <w:tc>
          <w:tcPr>
            <w:tcW w:type="dxa" w:w="5040"/>
            <w:vAlign w:val="center"/>
          </w:tcPr>
          <w:p>
            <w:r>
              <w:t>METEOR</w:t>
            </w:r>
          </w:p>
        </w:tc>
        <w:tc>
          <w:tcPr>
            <w:tcW w:type="dxa" w:w="5040"/>
            <w:vAlign w:val="center"/>
          </w:tcPr>
          <w:p>
            <w:r>
              <w:t>Word matching with consideration for related word forms/synonyms as supported by the NLTK implementation.</w:t>
            </w:r>
          </w:p>
        </w:tc>
      </w:tr>
      <w:tr>
        <w:tc>
          <w:tcPr>
            <w:tcW w:type="dxa" w:w="5040"/>
            <w:vAlign w:val="center"/>
          </w:tcPr>
          <w:p>
            <w:r>
              <w:t>Medical entity preservation / NER</w:t>
            </w:r>
          </w:p>
        </w:tc>
        <w:tc>
          <w:tcPr>
            <w:tcW w:type="dxa" w:w="5040"/>
            <w:vAlign w:val="center"/>
          </w:tcPr>
          <w:p>
            <w:r>
              <w:t>Intended to estimate how many medical entities in the reference are preserved in the prediction. Notebook output shows SciSpacy model unavailable, so a keyword-based fallback was used.</w:t>
            </w:r>
          </w:p>
        </w:tc>
      </w:tr>
      <w:tr>
        <w:tc>
          <w:tcPr>
            <w:tcW w:type="dxa" w:w="5040"/>
            <w:vAlign w:val="center"/>
          </w:tcPr>
          <w:p>
            <w:r>
              <w:t>Factual consistency</w:t>
            </w:r>
          </w:p>
        </w:tc>
        <w:tc>
          <w:tcPr>
            <w:tcW w:type="dxa" w:w="5040"/>
            <w:vAlign w:val="center"/>
          </w:tcPr>
          <w:p>
            <w:r>
              <w:t>Custom token-overlap proxy: fraction of prediction content tokens also found in the source note after punctuation and stopword filtering. This is not an NLI model or a clinically validated hallucination detector.</w:t>
            </w:r>
          </w:p>
        </w:tc>
      </w:tr>
      <w:tr>
        <w:tc>
          <w:tcPr>
            <w:tcW w:type="dxa" w:w="5040"/>
            <w:vAlign w:val="center"/>
          </w:tcPr>
          <w:p>
            <w:r>
              <w:t>MEDCON score</w:t>
            </w:r>
          </w:p>
        </w:tc>
        <w:tc>
          <w:tcPr>
            <w:tcW w:type="dxa" w:w="5040"/>
            <w:vAlign w:val="center"/>
          </w:tcPr>
          <w:p>
            <w:r>
              <w:t>Custom F1 overlap over a curated UMLS-inspired list of clinical terms including diseases, symptoms, medications, procedures, diagnostics and anatomy. It uses substring matching, not a full UMLS concept linker.</w:t>
            </w:r>
          </w:p>
        </w:tc>
      </w:tr>
    </w:tbl>
    <w:p>
      <w:r>
        <w:t>The evaluation code calculates the metrics over 50 test examples, even though the full held-out test split contains 750 examples. The reported numbers should therefore be described as evaluation on a 50-example subset, not as scores over all 750 test records.</w:t>
      </w:r>
    </w:p>
    <w:p>
      <w:pPr>
        <w:pStyle w:val="Heading1"/>
      </w:pPr>
      <w:r>
        <w:t>8. Saved quantitative results</w:t>
      </w:r>
    </w:p>
    <w:tbl>
      <w:tblPr>
        <w:tblStyle w:val="LightShading-Accent1"/>
        <w:tblW w:type="auto" w:w="0"/>
        <w:jc w:val="center"/>
        <w:tblLook w:firstColumn="1" w:firstRow="1" w:lastColumn="0" w:lastRow="0" w:noHBand="0" w:noVBand="1" w:val="04A0"/>
      </w:tblPr>
      <w:tblGrid>
        <w:gridCol w:w="1120"/>
        <w:gridCol w:w="1120"/>
        <w:gridCol w:w="1120"/>
        <w:gridCol w:w="1120"/>
        <w:gridCol w:w="1120"/>
        <w:gridCol w:w="1120"/>
        <w:gridCol w:w="1120"/>
        <w:gridCol w:w="1120"/>
        <w:gridCol w:w="1120"/>
      </w:tblGrid>
      <w:tr>
        <w:tc>
          <w:tcPr>
            <w:tcW w:type="dxa" w:w="1120"/>
          </w:tcPr>
          <w:p>
            <w:r>
              <w:t>Model</w:t>
            </w:r>
          </w:p>
        </w:tc>
        <w:tc>
          <w:tcPr>
            <w:tcW w:type="dxa" w:w="1120"/>
          </w:tcPr>
          <w:p>
            <w:r>
              <w:t>ROUGE-1</w:t>
            </w:r>
          </w:p>
        </w:tc>
        <w:tc>
          <w:tcPr>
            <w:tcW w:type="dxa" w:w="1120"/>
          </w:tcPr>
          <w:p>
            <w:r>
              <w:t>ROUGE-2</w:t>
            </w:r>
          </w:p>
        </w:tc>
        <w:tc>
          <w:tcPr>
            <w:tcW w:type="dxa" w:w="1120"/>
          </w:tcPr>
          <w:p>
            <w:r>
              <w:t>ROUGE-L</w:t>
            </w:r>
          </w:p>
        </w:tc>
        <w:tc>
          <w:tcPr>
            <w:tcW w:type="dxa" w:w="1120"/>
          </w:tcPr>
          <w:p>
            <w:r>
              <w:t>BERTScore-F1</w:t>
            </w:r>
          </w:p>
        </w:tc>
        <w:tc>
          <w:tcPr>
            <w:tcW w:type="dxa" w:w="1120"/>
          </w:tcPr>
          <w:p>
            <w:r>
              <w:t>METEOR</w:t>
            </w:r>
          </w:p>
        </w:tc>
        <w:tc>
          <w:tcPr>
            <w:tcW w:type="dxa" w:w="1120"/>
          </w:tcPr>
          <w:p>
            <w:r>
              <w:t>NER preservation</w:t>
            </w:r>
          </w:p>
        </w:tc>
        <w:tc>
          <w:tcPr>
            <w:tcW w:type="dxa" w:w="1120"/>
          </w:tcPr>
          <w:p>
            <w:r>
              <w:t>Factual consistency*</w:t>
            </w:r>
          </w:p>
        </w:tc>
        <w:tc>
          <w:tcPr>
            <w:tcW w:type="dxa" w:w="1120"/>
          </w:tcPr>
          <w:p>
            <w:r>
              <w:t>MEDCON</w:t>
            </w:r>
          </w:p>
        </w:tc>
      </w:tr>
      <w:tr>
        <w:tc>
          <w:tcPr>
            <w:tcW w:type="dxa" w:w="1120"/>
            <w:vAlign w:val="center"/>
          </w:tcPr>
          <w:p>
            <w:r>
              <w:t>TF-IDF extractive</w:t>
            </w:r>
          </w:p>
        </w:tc>
        <w:tc>
          <w:tcPr>
            <w:tcW w:type="dxa" w:w="1120"/>
            <w:vAlign w:val="center"/>
          </w:tcPr>
          <w:p>
            <w:r>
              <w:t>0.2918</w:t>
            </w:r>
          </w:p>
        </w:tc>
        <w:tc>
          <w:tcPr>
            <w:tcW w:type="dxa" w:w="1120"/>
            <w:vAlign w:val="center"/>
          </w:tcPr>
          <w:p>
            <w:r>
              <w:t>0.1751</w:t>
            </w:r>
          </w:p>
        </w:tc>
        <w:tc>
          <w:tcPr>
            <w:tcW w:type="dxa" w:w="1120"/>
            <w:vAlign w:val="center"/>
          </w:tcPr>
          <w:p>
            <w:r>
              <w:t>0.1936</w:t>
            </w:r>
          </w:p>
        </w:tc>
        <w:tc>
          <w:tcPr>
            <w:tcW w:type="dxa" w:w="1120"/>
            <w:vAlign w:val="center"/>
          </w:tcPr>
          <w:p>
            <w:r>
              <w:t>0.7291</w:t>
            </w:r>
          </w:p>
        </w:tc>
        <w:tc>
          <w:tcPr>
            <w:tcW w:type="dxa" w:w="1120"/>
            <w:vAlign w:val="center"/>
          </w:tcPr>
          <w:p>
            <w:r>
              <w:t>0.0684</w:t>
            </w:r>
          </w:p>
        </w:tc>
        <w:tc>
          <w:tcPr>
            <w:tcW w:type="dxa" w:w="1120"/>
            <w:vAlign w:val="center"/>
          </w:tcPr>
          <w:p>
            <w:r>
              <w:t>0.2459</w:t>
            </w:r>
          </w:p>
        </w:tc>
        <w:tc>
          <w:tcPr>
            <w:tcW w:type="dxa" w:w="1120"/>
            <w:vAlign w:val="center"/>
          </w:tcPr>
          <w:p>
            <w:r>
              <w:t>1.0000</w:t>
            </w:r>
          </w:p>
        </w:tc>
        <w:tc>
          <w:tcPr>
            <w:tcW w:type="dxa" w:w="1120"/>
            <w:vAlign w:val="center"/>
          </w:tcPr>
          <w:p>
            <w:r>
              <w:t>0.5143</w:t>
            </w:r>
          </w:p>
        </w:tc>
      </w:tr>
      <w:tr>
        <w:tc>
          <w:tcPr>
            <w:tcW w:type="dxa" w:w="1120"/>
            <w:vAlign w:val="center"/>
          </w:tcPr>
          <w:p>
            <w:r>
              <w:t>Pre-trained BART</w:t>
            </w:r>
          </w:p>
        </w:tc>
        <w:tc>
          <w:tcPr>
            <w:tcW w:type="dxa" w:w="1120"/>
            <w:vAlign w:val="center"/>
          </w:tcPr>
          <w:p>
            <w:r>
              <w:t>0.1926</w:t>
            </w:r>
          </w:p>
        </w:tc>
        <w:tc>
          <w:tcPr>
            <w:tcW w:type="dxa" w:w="1120"/>
            <w:vAlign w:val="center"/>
          </w:tcPr>
          <w:p>
            <w:r>
              <w:t>0.1169</w:t>
            </w:r>
          </w:p>
        </w:tc>
        <w:tc>
          <w:tcPr>
            <w:tcW w:type="dxa" w:w="1120"/>
            <w:vAlign w:val="center"/>
          </w:tcPr>
          <w:p>
            <w:r>
              <w:t>0.1384</w:t>
            </w:r>
          </w:p>
        </w:tc>
        <w:tc>
          <w:tcPr>
            <w:tcW w:type="dxa" w:w="1120"/>
            <w:vAlign w:val="center"/>
          </w:tcPr>
          <w:p>
            <w:r>
              <w:t>0.7128</w:t>
            </w:r>
          </w:p>
        </w:tc>
        <w:tc>
          <w:tcPr>
            <w:tcW w:type="dxa" w:w="1120"/>
            <w:vAlign w:val="center"/>
          </w:tcPr>
          <w:p>
            <w:r>
              <w:t>0.0395</w:t>
            </w:r>
          </w:p>
        </w:tc>
        <w:tc>
          <w:tcPr>
            <w:tcW w:type="dxa" w:w="1120"/>
            <w:vAlign w:val="center"/>
          </w:tcPr>
          <w:p>
            <w:r>
              <w:t>0.1814</w:t>
            </w:r>
          </w:p>
        </w:tc>
        <w:tc>
          <w:tcPr>
            <w:tcW w:type="dxa" w:w="1120"/>
            <w:vAlign w:val="center"/>
          </w:tcPr>
          <w:p>
            <w:r>
              <w:t>0.9995</w:t>
            </w:r>
          </w:p>
        </w:tc>
        <w:tc>
          <w:tcPr>
            <w:tcW w:type="dxa" w:w="1120"/>
            <w:vAlign w:val="center"/>
          </w:tcPr>
          <w:p>
            <w:r>
              <w:t>0.4268</w:t>
            </w:r>
          </w:p>
        </w:tc>
      </w:tr>
      <w:tr>
        <w:tc>
          <w:tcPr>
            <w:tcW w:type="dxa" w:w="1120"/>
            <w:vAlign w:val="center"/>
          </w:tcPr>
          <w:p>
            <w:r>
              <w:t>Fine-tuned BART</w:t>
            </w:r>
          </w:p>
        </w:tc>
        <w:tc>
          <w:tcPr>
            <w:tcW w:type="dxa" w:w="1120"/>
            <w:vAlign w:val="center"/>
          </w:tcPr>
          <w:p>
            <w:r>
              <w:t>0.4922</w:t>
            </w:r>
          </w:p>
        </w:tc>
        <w:tc>
          <w:tcPr>
            <w:tcW w:type="dxa" w:w="1120"/>
            <w:vAlign w:val="center"/>
          </w:tcPr>
          <w:p>
            <w:r>
              <w:t>0.3381</w:t>
            </w:r>
          </w:p>
        </w:tc>
        <w:tc>
          <w:tcPr>
            <w:tcW w:type="dxa" w:w="1120"/>
            <w:vAlign w:val="center"/>
          </w:tcPr>
          <w:p>
            <w:r>
              <w:t>0.3470</w:t>
            </w:r>
          </w:p>
        </w:tc>
        <w:tc>
          <w:tcPr>
            <w:tcW w:type="dxa" w:w="1120"/>
            <w:vAlign w:val="center"/>
          </w:tcPr>
          <w:p>
            <w:r>
              <w:t>0.9187</w:t>
            </w:r>
          </w:p>
        </w:tc>
        <w:tc>
          <w:tcPr>
            <w:tcW w:type="dxa" w:w="1120"/>
            <w:vAlign w:val="center"/>
          </w:tcPr>
          <w:p>
            <w:r>
              <w:t>0.2546</w:t>
            </w:r>
          </w:p>
        </w:tc>
        <w:tc>
          <w:tcPr>
            <w:tcW w:type="dxa" w:w="1120"/>
            <w:vAlign w:val="center"/>
          </w:tcPr>
          <w:p>
            <w:r>
              <w:t>0.5818</w:t>
            </w:r>
          </w:p>
        </w:tc>
        <w:tc>
          <w:tcPr>
            <w:tcW w:type="dxa" w:w="1120"/>
            <w:vAlign w:val="center"/>
          </w:tcPr>
          <w:p>
            <w:r>
              <w:t>0.5802</w:t>
            </w:r>
          </w:p>
        </w:tc>
        <w:tc>
          <w:tcPr>
            <w:tcW w:type="dxa" w:w="1120"/>
            <w:vAlign w:val="center"/>
          </w:tcPr>
          <w:p>
            <w:r>
              <w:t>0.6531</w:t>
            </w:r>
          </w:p>
        </w:tc>
      </w:tr>
    </w:tbl>
    <w:p>
      <w:r>
        <w:t>*The notebook's custom factual-consistency proxy is based on token overlap with the source note. TF-IDF receives 1.0000 because it copies sentences directly from the source; this does not mean the extractive system has been clinically verified. The fine-tuned model's 0.5802 is lower, so the notebook's own table does not support a claim that fine-tuning achieved the highest factual-consistency score or a low hallucination rate.</w:t>
      </w:r>
    </w:p>
    <w:p>
      <w:r>
        <w:t>The fine-tuned BART model has the best saved scores for ROUGE-1, ROUGE-2, ROUGE-L, BERTScore-F1, METEOR, NER preservation and MEDCON among the three evaluated systems.</w:t>
      </w:r>
    </w:p>
    <w:p>
      <w:pPr>
        <w:pStyle w:val="Heading1"/>
      </w:pPr>
      <w:r>
        <w:t>9. Training and visualization artifacts referenced in notebook</w:t>
      </w:r>
    </w:p>
    <w:p>
      <w:pPr>
        <w:pStyle w:val="ListBullet"/>
      </w:pPr>
      <w:r>
        <w:t>eda_plots.png — note word lengths, summary word lengths and summary/note ratio.</w:t>
      </w:r>
    </w:p>
    <w:p>
      <w:pPr>
        <w:pStyle w:val="ListBullet"/>
      </w:pPr>
      <w:r>
        <w:t>training_loss_curve.png — training and validation loss curve.</w:t>
      </w:r>
    </w:p>
    <w:p>
      <w:pPr>
        <w:pStyle w:val="ListBullet"/>
      </w:pPr>
      <w:r>
        <w:t>rouge_comparison_chart.png — comparison of ROUGE-1, ROUGE-2 and ROUGE-L.</w:t>
      </w:r>
    </w:p>
    <w:p>
      <w:pPr>
        <w:pStyle w:val="ListBullet"/>
      </w:pPr>
      <w:r>
        <w:t>full_metrics_comparison.png — grouped comparison of all eight metrics.</w:t>
      </w:r>
    </w:p>
    <w:p>
      <w:pPr>
        <w:pStyle w:val="ListBullet"/>
      </w:pPr>
      <w:r>
        <w:t>./bart_large_medical_summarizer_final/ — final model directory referenced by the notebook.</w:t>
      </w:r>
    </w:p>
    <w:p>
      <w:r>
        <w:t>These names appear in notebook code/output, but the uploaded notebook does not contain the actual model directory or the PNG files as separate files. They may have existed in the original Kaggle working session, but cannot be recovered from the notebook unless they were separately saved/shared.</w:t>
      </w:r>
    </w:p>
    <w:p>
      <w:pPr>
        <w:pStyle w:val="Heading1"/>
      </w:pPr>
      <w:r>
        <w:t>10. Paper-only details</w:t>
      </w:r>
    </w:p>
    <w:p>
      <w:pPr>
        <w:pStyle w:val="ListBullet"/>
      </w:pPr>
      <w:r>
        <w:t>The PDF presents a three-stage pipeline: data preparation/preprocessing, model training/summarization and multi-metric evaluation.</w:t>
      </w:r>
    </w:p>
    <w:p>
      <w:pPr>
        <w:pStyle w:val="ListBullet"/>
      </w:pPr>
      <w:r>
        <w:t>It includes a pipeline diagram on page 3 and metric comparison/training-validation loss plots on page 5.</w:t>
      </w:r>
    </w:p>
    <w:p>
      <w:pPr>
        <w:pStyle w:val="ListBullet"/>
      </w:pPr>
      <w:r>
        <w:t>The paper reports the same seven primary results as the notebook's comparison table, but does not include factual consistency in its main table.</w:t>
      </w:r>
    </w:p>
    <w:p>
      <w:pPr>
        <w:pStyle w:val="ListBullet"/>
      </w:pPr>
      <w:r>
        <w:t>The paper states training loss decreased from approximately 2.7 to 1.52 and validation loss from 1.66 to around 1.60.</w:t>
      </w:r>
    </w:p>
    <w:p>
      <w:pPr>
        <w:pStyle w:val="ListBullet"/>
      </w:pPr>
      <w:r>
        <w:t>Future work proposed in the paper: train on a larger and more diverse clinical corpus, evaluate on a larger test set, obtain expert review, incorporate additional EHR/lab context and use compression or knowledge distillation to accelerate inference.</w:t>
      </w:r>
    </w:p>
    <w:p>
      <w:pPr>
        <w:pStyle w:val="ListBullet"/>
      </w:pPr>
      <w:r>
        <w:t>The paper includes a literature survey and references on BART, BioBART, clinical summarization, RAG, hallucination detection, SciSpacy and summarization evaluation.</w:t>
      </w:r>
    </w:p>
    <w:p>
      <w:pPr>
        <w:pStyle w:val="Heading1"/>
      </w:pPr>
      <w:r>
        <w:t>11. Important inconsistencies and limitations to fix before reusing</w:t>
      </w:r>
    </w:p>
    <w:p>
      <w:pPr>
        <w:pStyle w:val="ListBullet"/>
      </w:pPr>
      <w:r>
        <w:t>Dataset length mismatch: the paper's table says median note length ≈220 words and median summary length ≈180 words, while the executed notebook reports 316 and 446 words respectively. Use the notebook's actual EDA values only if describing that run; correct the paper table if revising it.</w:t>
      </w:r>
    </w:p>
    <w:p>
      <w:pPr>
        <w:pStyle w:val="ListBullet"/>
      </w:pPr>
      <w:r>
        <w:t>Factual consistency claim: the notebook's custom metric gives the fine-tuned model 0.5802 versus 1.0000 for TF-IDF and 0.9995 for zero-shot BART. Do not claim the score proves a low hallucination rate. The metric is only token overlap and is not a robust factuality test.</w:t>
      </w:r>
    </w:p>
    <w:p>
      <w:pPr>
        <w:pStyle w:val="ListBullet"/>
      </w:pPr>
      <w:r>
        <w:t>NER method: the notebook output says the SciSpacy model was unavailable and a keyword fallback was used. Do not describe the final NER score as coming from a fully functioning SciSpacy biomedical NER pipeline.</w:t>
      </w:r>
    </w:p>
    <w:p>
      <w:pPr>
        <w:pStyle w:val="ListBullet"/>
      </w:pPr>
      <w:r>
        <w:t>MEDCON method: this is a curated substring-matching lexicon, not an implementation of the official clinical MEDCON benchmark unless further evidence exists.</w:t>
      </w:r>
    </w:p>
    <w:p>
      <w:pPr>
        <w:pStyle w:val="ListBullet"/>
      </w:pPr>
      <w:r>
        <w:t>Output validity: sample generations contain malformed JSON-like syntax and cut-off content. JSON parsing/validation and clinical fact checks are not shown as implemented.</w:t>
      </w:r>
    </w:p>
    <w:p>
      <w:pPr>
        <w:pStyle w:val="ListBullet"/>
      </w:pPr>
      <w:r>
        <w:t>Evaluation size: results are computed over 50 examples, not the full 750-row test split.</w:t>
      </w:r>
    </w:p>
    <w:p>
      <w:pPr>
        <w:pStyle w:val="ListBullet"/>
      </w:pPr>
      <w:r>
        <w:t>Paper's claim that generated summaries can be used directly in clinical environments is too strong for the available evidence. Human review and clinical validation would be needed.</w:t>
      </w:r>
    </w:p>
    <w:p>
      <w:pPr>
        <w:pStyle w:val="ListBullet"/>
      </w:pPr>
      <w:r>
        <w:t>The PDF calls the approach hybrid TF-IDF + fine-tuned BART, but the notebook evaluates TF-IDF as a separate baseline; the code shown does not feed TF-IDF-selected content into BART as a combined hybrid input.</w:t>
      </w:r>
    </w:p>
    <w:p>
      <w:pPr>
        <w:pStyle w:val="Heading1"/>
      </w:pPr>
      <w:r>
        <w:t>12. Public files and resources found</w:t>
      </w:r>
    </w:p>
    <w:p>
      <w:r>
        <w:t>The exact project notebook/repository was not found through the public searches performed. However, the original public dataset repository contains supporting files that can help reconstruct the dataset schema and source methodology:</w:t>
      </w:r>
    </w:p>
    <w:p>
      <w:pPr>
        <w:pStyle w:val="ListBullet"/>
      </w:pPr>
      <w:r>
        <w:rPr>
          <w:b/>
        </w:rPr>
        <w:t xml:space="preserve">Hugging Face dataset card and viewer: </w:t>
      </w:r>
      <w:r>
        <w:t>https://huggingface.co/datasets/AGBonnet/augmented-clinical-notes</w:t>
      </w:r>
    </w:p>
    <w:p>
      <w:pPr>
        <w:pStyle w:val="ListBullet"/>
      </w:pPr>
      <w:r>
        <w:rPr>
          <w:b/>
        </w:rPr>
        <w:t xml:space="preserve">Dataset repository file listing: </w:t>
      </w:r>
      <w:r>
        <w:t>https://huggingface.co/datasets/AGBonnet/augmented-clinical-notes/tree/main</w:t>
      </w:r>
    </w:p>
    <w:p>
      <w:pPr>
        <w:pStyle w:val="ListBullet"/>
      </w:pPr>
      <w:r>
        <w:rPr>
          <w:b/>
        </w:rPr>
        <w:t xml:space="preserve">Dataset README: </w:t>
      </w:r>
      <w:r>
        <w:t>https://huggingface.co/datasets/AGBonnet/augmented-clinical-notes/blob/main/README.md</w:t>
      </w:r>
    </w:p>
    <w:p>
      <w:pPr>
        <w:pStyle w:val="ListBullet"/>
      </w:pPr>
      <w:r>
        <w:rPr>
          <w:b/>
        </w:rPr>
        <w:t xml:space="preserve">Medical information template definitions JSON: </w:t>
      </w:r>
      <w:r>
        <w:t>https://huggingface.co/datasets/AGBonnet/augmented-clinical-notes/blob/main/template_definitions.json</w:t>
      </w:r>
    </w:p>
    <w:p>
      <w:pPr>
        <w:pStyle w:val="ListBullet"/>
      </w:pPr>
      <w:r>
        <w:rPr>
          <w:b/>
        </w:rPr>
        <w:t xml:space="preserve">Dataset report PDF: </w:t>
      </w:r>
      <w:r>
        <w:t>https://huggingface.co/datasets/AGBonnet/augmented-clinical-notes/blob/main/report.pdf</w:t>
      </w:r>
    </w:p>
    <w:p>
      <w:pPr>
        <w:pStyle w:val="ListBullet"/>
      </w:pPr>
      <w:r>
        <w:rPr>
          <w:b/>
        </w:rPr>
        <w:t xml:space="preserve">Dataset data-pipeline PDF: </w:t>
      </w:r>
      <w:r>
        <w:t>https://huggingface.co/datasets/AGBonnet/augmented-clinical-notes/blob/main/data_pipeline.pdf</w:t>
      </w:r>
    </w:p>
    <w:p>
      <w:pPr>
        <w:pStyle w:val="ListBullet"/>
      </w:pPr>
      <w:r>
        <w:rPr>
          <w:b/>
        </w:rPr>
        <w:t xml:space="preserve">ClinicalNotes source repository: </w:t>
      </w:r>
      <w:r>
        <w:t>https://github.com/EPFL-IC-Make-Team/ClinicalNotes</w:t>
      </w:r>
    </w:p>
    <w:p>
      <w:pPr>
        <w:pStyle w:val="Heading1"/>
      </w:pPr>
      <w:r>
        <w:t>13. What is and is not recoverable</w:t>
      </w:r>
    </w:p>
    <w:p>
      <w:r>
        <w:t>Recoverable from the uploaded notebook: most source code, package versions, dataset ID and schema, split sizes, model configuration, baseline methods, metric definitions, saved evaluation outputs, several qualitative examples and output-file names.</w:t>
      </w:r>
    </w:p>
    <w:p>
      <w:r>
        <w:t>Recoverable from the PDF: project framing, objectives, literature review, paper methodology, training configuration, primary result table, plots and stated future work.</w:t>
      </w:r>
    </w:p>
    <w:p>
      <w:r>
        <w:t>Not present as separate uploaded files: fine-tuned model weights, tokenizer directory, generated PNG charts, cached tokenized datasets, exact sampled train/validation/test CSVs and a standalone inference script. The public dataset can be downloaded again, and the notebook code can likely be rerun, but recreating the exact fine-tuned weights requires rerunning training in a compatible environment.</w:t>
      </w:r>
    </w:p>
    <w:p>
      <w:pPr>
        <w:pStyle w:val="Heading1"/>
      </w:pPr>
      <w:r>
        <w:t>14. Resume-ready project description</w:t>
      </w:r>
    </w:p>
    <w:p>
      <w:r>
        <w:t>Built a clinical text summarization pipeline using Hugging Face Transformers and PyTorch, fine-tuning BART-large-CNN on 5,000 clinical note–summary pairs from the Augmented Clinical Notes dataset. Compared against TF-IDF extractive summarization and zero-shot BART using ROUGE, BERTScore, METEOR and custom clinical-content overlap metrics; the fine-tuned model achieved 0.4922 ROUGE-1 and 0.9187 BERTScore-F1 on a 50-example evaluation subset.</w:t>
      </w:r>
    </w:p>
    <w:p>
      <w:r>
        <w:t>Use the above only if these results accurately reflect your own completed work. For technical interviews, be transparent that the NER and factual-consistency measures were custom/fallback approximations and that outputs were not clinically validated.</w:t>
      </w:r>
    </w:p>
    <w:p>
      <w:pPr>
        <w:pStyle w:val="Heading1"/>
      </w:pPr>
      <w:r>
        <w:t>15. Original uploaded artifacts</w:t>
      </w:r>
    </w:p>
    <w:p>
      <w:r>
        <w:t>NLP_Final.pdf — six-page research paper.</w:t>
      </w:r>
    </w:p>
    <w:p>
      <w:r>
        <w:t>finalnlp2.ipynb — 38-cell Jupyter notebook with code and saved execution outputs.</w:t>
      </w:r>
    </w:p>
    <w:sectPr w:rsidR="00FC693F" w:rsidRPr="0006063C"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