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320"/>
        <w:jc w:val="center"/>
      </w:pPr>
      <w:r>
        <w:rPr>
          <w:rFonts w:ascii="Calibri" w:hAnsi="Calibri"/>
          <w:b/>
          <w:color w:val="2E74B5"/>
          <w:sz w:val="20"/>
        </w:rPr>
        <w:t>PROJECT DEFENSE HANDBOOK</w:t>
      </w:r>
    </w:p>
    <w:p>
      <w:pPr>
        <w:spacing w:after="240"/>
        <w:jc w:val="center"/>
      </w:pPr>
      <w:r>
        <w:rPr>
          <w:rFonts w:ascii="Calibri" w:hAnsi="Calibri"/>
          <w:b/>
          <w:color w:val="102A43"/>
          <w:sz w:val="58"/>
        </w:rPr>
        <w:t>Fraud Transaction Detector</w:t>
      </w:r>
    </w:p>
    <w:p>
      <w:pPr>
        <w:spacing w:after="560"/>
        <w:jc w:val="center"/>
      </w:pPr>
      <w:r>
        <w:rPr>
          <w:rFonts w:ascii="Calibri" w:hAnsi="Calibri"/>
          <w:color w:val="627D98"/>
          <w:sz w:val="26"/>
        </w:rPr>
        <w:t>Code Map, Business Logic, Database, ML, Security, Operations, and Defense Questions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8EEF5"/>
            <w:tcMar>
              <w:top w:w="80" w:type="dxa"/>
              <w:bottom w:w="80" w:type="dxa"/>
              <w:start w:w="120" w:type="dxa"/>
              <w:end w:w="120" w:type="dxa"/>
            </w:tcMar>
            <w:vAlign w:val="center"/>
          </w:tcPr>
          <w:p>
            <w:r>
              <w:rPr>
                <w:rFonts w:ascii="Calibri" w:hAnsi="Calibri"/>
                <w:b/>
                <w:color w:val="102A43"/>
                <w:sz w:val="18"/>
              </w:rPr>
              <w:t>Guide</w:t>
            </w:r>
          </w:p>
        </w:tc>
        <w:tc>
          <w:tcPr>
            <w:tcW w:type="dxa" w:w="7260"/>
            <w:shd w:fill="E8EEF5"/>
            <w:tcMar>
              <w:top w:w="80" w:type="dxa"/>
              <w:bottom w:w="80" w:type="dxa"/>
              <w:start w:w="120" w:type="dxa"/>
              <w:end w:w="120" w:type="dxa"/>
            </w:tcMar>
            <w:vAlign w:val="center"/>
          </w:tcPr>
          <w:p>
            <w:r>
              <w:rPr>
                <w:rFonts w:ascii="Calibri" w:hAnsi="Calibri"/>
                <w:b/>
                <w:color w:val="102A43"/>
                <w:sz w:val="18"/>
              </w:rPr>
              <w:t>Scope</w:t>
            </w:r>
          </w:p>
        </w:tc>
      </w:tr>
      <w:tr>
        <w:tc>
          <w:tcPr>
            <w:tcW w:type="dxa" w:w="2100"/>
            <w:tcMar>
              <w:top w:w="80" w:type="dxa"/>
              <w:bottom w:w="80" w:type="dxa"/>
              <w:start w:w="120" w:type="dxa"/>
              <w:end w:w="120" w:type="dxa"/>
            </w:tcMar>
            <w:vAlign w:val="center"/>
          </w:tcPr>
          <w:p>
            <w:pPr>
              <w:spacing w:after="0" w:line="259" w:lineRule="auto"/>
            </w:pPr>
            <w:r>
              <w:rPr>
                <w:rFonts w:ascii="Calibri" w:hAnsi="Calibri"/>
                <w:color w:val="243B53"/>
                <w:sz w:val="18"/>
              </w:rPr>
              <w:t>Audience</w:t>
            </w:r>
          </w:p>
        </w:tc>
        <w:tc>
          <w:tcPr>
            <w:tcW w:type="dxa" w:w="7260"/>
            <w:tcMar>
              <w:top w:w="80" w:type="dxa"/>
              <w:bottom w:w="80" w:type="dxa"/>
              <w:start w:w="120" w:type="dxa"/>
              <w:end w:w="120" w:type="dxa"/>
            </w:tcMar>
            <w:vAlign w:val="center"/>
          </w:tcPr>
          <w:p>
            <w:pPr>
              <w:spacing w:after="0" w:line="259" w:lineRule="auto"/>
            </w:pPr>
            <w:r>
              <w:rPr>
                <w:rFonts w:ascii="Calibri" w:hAnsi="Calibri"/>
                <w:color w:val="243B53"/>
                <w:sz w:val="18"/>
              </w:rPr>
              <w:t>Student developer, supervisor, external examiner, technical reviewer</w:t>
            </w:r>
          </w:p>
        </w:tc>
      </w:tr>
      <w:tr>
        <w:tc>
          <w:tcPr>
            <w:tcW w:type="dxa" w:w="2100"/>
            <w:shd w:fill="F8FAFC"/>
            <w:tcMar>
              <w:top w:w="80" w:type="dxa"/>
              <w:bottom w:w="80" w:type="dxa"/>
              <w:start w:w="120" w:type="dxa"/>
              <w:end w:w="120" w:type="dxa"/>
            </w:tcMar>
            <w:vAlign w:val="center"/>
          </w:tcPr>
          <w:p>
            <w:pPr>
              <w:spacing w:after="0" w:line="259" w:lineRule="auto"/>
            </w:pPr>
            <w:r>
              <w:rPr>
                <w:rFonts w:ascii="Calibri" w:hAnsi="Calibri"/>
                <w:color w:val="243B53"/>
                <w:sz w:val="18"/>
              </w:rPr>
              <w:t>Implementation snapshot</w:t>
            </w:r>
          </w:p>
        </w:tc>
        <w:tc>
          <w:tcPr>
            <w:tcW w:type="dxa" w:w="7260"/>
            <w:shd w:fill="F8FAFC"/>
            <w:tcMar>
              <w:top w:w="80" w:type="dxa"/>
              <w:bottom w:w="80" w:type="dxa"/>
              <w:start w:w="120" w:type="dxa"/>
              <w:end w:w="120" w:type="dxa"/>
            </w:tcMar>
            <w:vAlign w:val="center"/>
          </w:tcPr>
          <w:p>
            <w:pPr>
              <w:spacing w:after="0" w:line="259" w:lineRule="auto"/>
            </w:pPr>
            <w:r>
              <w:rPr>
                <w:rFonts w:ascii="Calibri" w:hAnsi="Calibri"/>
                <w:color w:val="243B53"/>
                <w:sz w:val="18"/>
              </w:rPr>
              <w:t>Current repository and live SQL schema as reviewed on August 15, 2026</w:t>
            </w:r>
          </w:p>
        </w:tc>
      </w:tr>
      <w:tr>
        <w:tc>
          <w:tcPr>
            <w:tcW w:type="dxa" w:w="2100"/>
            <w:tcMar>
              <w:top w:w="80" w:type="dxa"/>
              <w:bottom w:w="80" w:type="dxa"/>
              <w:start w:w="120" w:type="dxa"/>
              <w:end w:w="120" w:type="dxa"/>
            </w:tcMar>
            <w:vAlign w:val="center"/>
          </w:tcPr>
          <w:p>
            <w:pPr>
              <w:spacing w:after="0" w:line="259" w:lineRule="auto"/>
            </w:pPr>
            <w:r>
              <w:rPr>
                <w:rFonts w:ascii="Calibri" w:hAnsi="Calibri"/>
                <w:color w:val="243B53"/>
                <w:sz w:val="18"/>
              </w:rPr>
              <w:t>Architecture</w:t>
            </w:r>
          </w:p>
        </w:tc>
        <w:tc>
          <w:tcPr>
            <w:tcW w:type="dxa" w:w="7260"/>
            <w:tcMar>
              <w:top w:w="80" w:type="dxa"/>
              <w:bottom w:w="80" w:type="dxa"/>
              <w:start w:w="120" w:type="dxa"/>
              <w:end w:w="120" w:type="dxa"/>
            </w:tcMar>
            <w:vAlign w:val="center"/>
          </w:tcPr>
          <w:p>
            <w:pPr>
              <w:spacing w:after="0" w:line="259" w:lineRule="auto"/>
            </w:pPr>
            <w:r>
              <w:rPr>
                <w:rFonts w:ascii="Calibri" w:hAnsi="Calibri"/>
                <w:color w:val="243B53"/>
                <w:sz w:val="18"/>
              </w:rPr>
              <w:t>Angular UI + Spring Boot modular monolith + Python FastAPI ML service + Microsoft SQL Server</w:t>
            </w:r>
          </w:p>
        </w:tc>
      </w:tr>
      <w:tr>
        <w:tc>
          <w:tcPr>
            <w:tcW w:type="dxa" w:w="2100"/>
            <w:shd w:fill="F8FAFC"/>
            <w:tcMar>
              <w:top w:w="80" w:type="dxa"/>
              <w:bottom w:w="80" w:type="dxa"/>
              <w:start w:w="120" w:type="dxa"/>
              <w:end w:w="120" w:type="dxa"/>
            </w:tcMar>
            <w:vAlign w:val="center"/>
          </w:tcPr>
          <w:p>
            <w:pPr>
              <w:spacing w:after="0" w:line="259" w:lineRule="auto"/>
            </w:pPr>
            <w:r>
              <w:rPr>
                <w:rFonts w:ascii="Calibri" w:hAnsi="Calibri"/>
                <w:color w:val="243B53"/>
                <w:sz w:val="18"/>
              </w:rPr>
              <w:t>Purpose</w:t>
            </w:r>
          </w:p>
        </w:tc>
        <w:tc>
          <w:tcPr>
            <w:tcW w:type="dxa" w:w="7260"/>
            <w:shd w:fill="F8FAFC"/>
            <w:tcMar>
              <w:top w:w="80" w:type="dxa"/>
              <w:bottom w:w="80" w:type="dxa"/>
              <w:start w:w="120" w:type="dxa"/>
              <w:end w:w="120" w:type="dxa"/>
            </w:tcMar>
            <w:vAlign w:val="center"/>
          </w:tcPr>
          <w:p>
            <w:pPr>
              <w:spacing w:after="0" w:line="259" w:lineRule="auto"/>
            </w:pPr>
            <w:r>
              <w:rPr>
                <w:rFonts w:ascii="Calibri" w:hAnsi="Calibri"/>
                <w:color w:val="243B53"/>
                <w:sz w:val="18"/>
              </w:rPr>
              <w:t>Explain where each feature is implemented, why it exists, and how to defend the design honestly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7E6"/>
            <w:tcMar>
              <w:top w:w="80" w:type="dxa"/>
              <w:bottom w:w="80" w:type="dxa"/>
              <w:start w:w="120" w:type="dxa"/>
              <w:end w:w="120" w:type="dxa"/>
            </w:tcMar>
            <w:vAlign w:val="center"/>
          </w:tcPr>
          <w:p>
            <w:pPr>
              <w:spacing w:after="0"/>
            </w:pPr>
            <w:r>
              <w:rPr>
                <w:rFonts w:ascii="Calibri" w:hAnsi="Calibri"/>
                <w:b/>
                <w:color w:val="9A6700"/>
              </w:rPr>
              <w:t xml:space="preserve">Core claim: </w:t>
            </w:r>
            <w:r>
              <w:rPr>
                <w:rFonts w:ascii="Calibri" w:hAnsi="Calibri"/>
                <w:color w:val="243B53"/>
              </w:rPr>
              <w:t>The system identifies suspicious transactions and prioritizes investigation. It does not claim that an alert proves fraud; reviewed outcomes provide the labels needed for supervised learning.</w:t>
            </w:r>
          </w:p>
        </w:tc>
      </w:tr>
    </w:tbl>
    <w:p>
      <w:pPr>
        <w:spacing w:after="0"/>
      </w:pPr>
    </w:p>
    <w:p>
      <w:pPr>
        <w:spacing w:before="360"/>
        <w:jc w:val="center"/>
      </w:pPr>
      <w:r>
        <w:rPr>
          <w:rFonts w:ascii="Calibri" w:hAnsi="Calibri"/>
          <w:color w:val="627D98"/>
          <w:sz w:val="19"/>
        </w:rPr>
        <w:t>Prepared August 15, 2026</w:t>
      </w:r>
    </w:p>
    <w:p>
      <w:r>
        <w:br w:type="page"/>
      </w:r>
    </w:p>
    <w:p>
      <w:pPr>
        <w:pStyle w:val="Heading1"/>
      </w:pPr>
      <w:r>
        <w:t>How to Use This Handbook</w:t>
      </w:r>
    </w:p>
    <w:p>
      <w:r>
        <w:rPr>
          <w:rFonts w:ascii="Calibri" w:hAnsi="Calibri"/>
          <w:color w:val="243B53"/>
        </w:rPr>
        <w:t>Use the first sections for your presentation and viva answers. Use the middle sections when an examiner asks where a rule is implemented. Use the appendices as a complete lookup for routes, APIs, tables, columns, and configuration keys.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tcMar>
              <w:top w:w="80" w:type="dxa"/>
              <w:bottom w:w="80" w:type="dxa"/>
              <w:start w:w="120" w:type="dxa"/>
              <w:end w:w="120" w:type="dxa"/>
            </w:tcMar>
            <w:vAlign w:val="center"/>
          </w:tcPr>
          <w:p>
            <w:pPr>
              <w:spacing w:after="0"/>
            </w:pPr>
            <w:r>
              <w:rPr>
                <w:rFonts w:ascii="Calibri" w:hAnsi="Calibri"/>
                <w:b/>
                <w:color w:val="2E74B5"/>
              </w:rPr>
              <w:t xml:space="preserve">Accuracy of this guide: </w:t>
            </w:r>
            <w:r>
              <w:rPr>
                <w:rFonts w:ascii="Calibri" w:hAnsi="Calibri"/>
                <w:color w:val="243B53"/>
              </w:rPr>
              <w:t>Current source code and the live SQL schema are the authority. Older phase documents remain useful history, but some mention models and pages that were later replaced.</w:t>
            </w:r>
          </w:p>
        </w:tc>
      </w:tr>
    </w:tbl>
    <w:p>
      <w:pPr>
        <w:spacing w:after="0"/>
      </w:pPr>
    </w:p>
    <w:p>
      <w:pPr>
        <w:pStyle w:val="Heading2"/>
      </w:pPr>
      <w:r>
        <w:t>Contents</w:t>
      </w:r>
    </w:p>
    <w:p>
      <w:pPr>
        <w:pStyle w:val="ListBullet"/>
      </w:pPr>
      <w:r>
        <w:rPr>
          <w:rFonts w:ascii="Calibri" w:hAnsi="Calibri"/>
          <w:color w:val="243B53"/>
        </w:rPr>
        <w:t>1. Five-minute defense narrative</w:t>
      </w:r>
    </w:p>
    <w:p>
      <w:pPr>
        <w:pStyle w:val="ListBullet"/>
      </w:pPr>
      <w:r>
        <w:rPr>
          <w:rFonts w:ascii="Calibri" w:hAnsi="Calibri"/>
          <w:color w:val="243B53"/>
        </w:rPr>
        <w:t>2. Architecture and repository map</w:t>
      </w:r>
    </w:p>
    <w:p>
      <w:pPr>
        <w:pStyle w:val="ListBullet"/>
      </w:pPr>
      <w:r>
        <w:rPr>
          <w:rFonts w:ascii="Calibri" w:hAnsi="Calibri"/>
          <w:color w:val="243B53"/>
        </w:rPr>
        <w:t>3. Authentication, authorization, and security</w:t>
      </w:r>
    </w:p>
    <w:p>
      <w:pPr>
        <w:pStyle w:val="ListBullet"/>
      </w:pPr>
      <w:r>
        <w:rPr>
          <w:rFonts w:ascii="Calibri" w:hAnsi="Calibri"/>
          <w:color w:val="243B53"/>
        </w:rPr>
        <w:t>4. Angular pages and user journeys</w:t>
      </w:r>
    </w:p>
    <w:p>
      <w:pPr>
        <w:pStyle w:val="ListBullet"/>
      </w:pPr>
      <w:r>
        <w:rPr>
          <w:rFonts w:ascii="Calibri" w:hAnsi="Calibri"/>
          <w:color w:val="243B53"/>
        </w:rPr>
        <w:t>5. Transaction ingestion, feature engineering, and prediction</w:t>
      </w:r>
    </w:p>
    <w:p>
      <w:pPr>
        <w:pStyle w:val="ListBullet"/>
      </w:pPr>
      <w:r>
        <w:rPr>
          <w:rFonts w:ascii="Calibri" w:hAnsi="Calibri"/>
          <w:color w:val="243B53"/>
        </w:rPr>
        <w:t>6. Layered risk scoring and decisions</w:t>
      </w:r>
    </w:p>
    <w:p>
      <w:pPr>
        <w:pStyle w:val="ListBullet"/>
      </w:pPr>
      <w:r>
        <w:rPr>
          <w:rFonts w:ascii="Calibri" w:hAnsi="Calibri"/>
          <w:color w:val="243B53"/>
        </w:rPr>
        <w:t>7. Unsupervised and supervised learning modes</w:t>
      </w:r>
    </w:p>
    <w:p>
      <w:pPr>
        <w:pStyle w:val="ListBullet"/>
      </w:pPr>
      <w:r>
        <w:rPr>
          <w:rFonts w:ascii="Calibri" w:hAnsi="Calibri"/>
          <w:color w:val="243B53"/>
        </w:rPr>
        <w:t>8. Training, comparison, artifacts, and governance</w:t>
      </w:r>
    </w:p>
    <w:p>
      <w:pPr>
        <w:pStyle w:val="ListBullet"/>
      </w:pPr>
      <w:r>
        <w:rPr>
          <w:rFonts w:ascii="Calibri" w:hAnsi="Calibri"/>
          <w:color w:val="243B53"/>
        </w:rPr>
        <w:t>9. Labels, cases, false positives, and STR</w:t>
      </w:r>
    </w:p>
    <w:p>
      <w:pPr>
        <w:pStyle w:val="ListBullet"/>
      </w:pPr>
      <w:r>
        <w:rPr>
          <w:rFonts w:ascii="Calibri" w:hAnsi="Calibri"/>
          <w:color w:val="243B53"/>
        </w:rPr>
        <w:t>10. Scalability, performance, reliability, and auditability</w:t>
      </w:r>
    </w:p>
    <w:p>
      <w:pPr>
        <w:pStyle w:val="ListBullet"/>
      </w:pPr>
      <w:r>
        <w:rPr>
          <w:rFonts w:ascii="Calibri" w:hAnsi="Calibri"/>
          <w:color w:val="243B53"/>
        </w:rPr>
        <w:t>11. Manual demonstration sequence</w:t>
      </w:r>
    </w:p>
    <w:p>
      <w:pPr>
        <w:pStyle w:val="ListBullet"/>
      </w:pPr>
      <w:r>
        <w:rPr>
          <w:rFonts w:ascii="Calibri" w:hAnsi="Calibri"/>
          <w:color w:val="243B53"/>
        </w:rPr>
        <w:t>12. Defense questions and honest limitations</w:t>
      </w:r>
    </w:p>
    <w:p>
      <w:pPr>
        <w:pStyle w:val="ListBullet"/>
      </w:pPr>
      <w:r>
        <w:rPr>
          <w:rFonts w:ascii="Calibri" w:hAnsi="Calibri"/>
          <w:color w:val="243B53"/>
        </w:rPr>
        <w:t>Appendix A. API index</w:t>
      </w:r>
    </w:p>
    <w:p>
      <w:pPr>
        <w:pStyle w:val="ListBullet"/>
      </w:pPr>
      <w:r>
        <w:rPr>
          <w:rFonts w:ascii="Calibri" w:hAnsi="Calibri"/>
          <w:color w:val="243B53"/>
        </w:rPr>
        <w:t>Appendix B. Complete database table and column reference</w:t>
      </w:r>
    </w:p>
    <w:p>
      <w:pPr>
        <w:pStyle w:val="ListBullet"/>
      </w:pPr>
      <w:r>
        <w:rPr>
          <w:rFonts w:ascii="Calibri" w:hAnsi="Calibri"/>
          <w:color w:val="243B53"/>
        </w:rPr>
        <w:t>Appendix C. Runtime configuration catalog</w:t>
      </w:r>
    </w:p>
    <w:p>
      <w:pPr>
        <w:pStyle w:val="ListBullet"/>
      </w:pPr>
      <w:r>
        <w:rPr>
          <w:rFonts w:ascii="Calibri" w:hAnsi="Calibri"/>
          <w:color w:val="243B53"/>
        </w:rPr>
        <w:t>Appendix D. Code navigation cheat sheet</w:t>
      </w:r>
    </w:p>
    <w:p>
      <w:pPr>
        <w:pStyle w:val="Heading1"/>
      </w:pPr>
      <w:r>
        <w:t>1. Five-Minute Defense Narrative</w:t>
      </w:r>
    </w:p>
    <w:p>
      <w:pPr>
        <w:pStyle w:val="Heading2"/>
      </w:pPr>
      <w:r>
        <w:t>Problem</w:t>
      </w:r>
    </w:p>
    <w:p>
      <w:r>
        <w:rPr>
          <w:rFonts w:ascii="Calibri" w:hAnsi="Calibri"/>
          <w:color w:val="243B53"/>
        </w:rPr>
        <w:t>Banks process many transactions, confirmed fraud labels are rare and delayed, customer behavior differs, and a single model can create too many false positives. Investigators also need reasons, evidence, reproducibility, and a controlled path from model training to production.</w:t>
      </w:r>
    </w:p>
    <w:p>
      <w:pPr>
        <w:pStyle w:val="Heading2"/>
      </w:pPr>
      <w:r>
        <w:t>Solution</w:t>
      </w:r>
    </w:p>
    <w:p>
      <w:r>
        <w:rPr>
          <w:rFonts w:ascii="Calibri" w:hAnsi="Calibri"/>
          <w:color w:val="243B53"/>
        </w:rPr>
        <w:t>The project combines point-in-time feature engineering, configurable customer and peer behavior, deterministic AML rules, and a selectable machine-learning ensemble. It supports unsupervised learning when labels are unavailable and supervised learning after reliable labels accumulate. Every suspicious decision can create a case for human review.</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1872"/>
            <w:shd w:fill="E8EEF5"/>
            <w:tcMar>
              <w:top w:w="80" w:type="dxa"/>
              <w:bottom w:w="80" w:type="dxa"/>
              <w:start w:w="120" w:type="dxa"/>
              <w:end w:w="120" w:type="dxa"/>
            </w:tcMar>
            <w:vAlign w:val="center"/>
          </w:tcPr>
          <w:p>
            <w:pPr>
              <w:jc w:val="center"/>
            </w:pPr>
            <w:r>
              <w:rPr>
                <w:rFonts w:ascii="Calibri" w:hAnsi="Calibri"/>
                <w:b/>
                <w:color w:val="2E74B5"/>
                <w:sz w:val="17"/>
              </w:rPr>
              <w:t>Ingest</w:t>
            </w:r>
          </w:p>
          <w:p>
            <w:pPr>
              <w:spacing w:after="0"/>
              <w:jc w:val="center"/>
            </w:pPr>
            <w:r>
              <w:rPr>
                <w:rFonts w:ascii="Calibri" w:hAnsi="Calibri"/>
                <w:color w:val="243B53"/>
                <w:sz w:val="16"/>
              </w:rPr>
              <w:t>File or API transaction</w:t>
            </w:r>
          </w:p>
        </w:tc>
        <w:tc>
          <w:tcPr>
            <w:tcW w:type="dxa" w:w="1872"/>
            <w:shd w:fill="F8FAFC"/>
            <w:tcMar>
              <w:top w:w="80" w:type="dxa"/>
              <w:bottom w:w="80" w:type="dxa"/>
              <w:start w:w="120" w:type="dxa"/>
              <w:end w:w="120" w:type="dxa"/>
            </w:tcMar>
            <w:vAlign w:val="center"/>
          </w:tcPr>
          <w:p>
            <w:pPr>
              <w:jc w:val="center"/>
            </w:pPr>
            <w:r>
              <w:rPr>
                <w:rFonts w:ascii="Calibri" w:hAnsi="Calibri"/>
                <w:b/>
                <w:color w:val="2E74B5"/>
                <w:sz w:val="17"/>
              </w:rPr>
              <w:t>Build</w:t>
            </w:r>
          </w:p>
          <w:p>
            <w:pPr>
              <w:spacing w:after="0"/>
              <w:jc w:val="center"/>
            </w:pPr>
            <w:r>
              <w:rPr>
                <w:rFonts w:ascii="Calibri" w:hAnsi="Calibri"/>
                <w:color w:val="243B53"/>
                <w:sz w:val="16"/>
              </w:rPr>
              <w:t>Point-in-time features</w:t>
            </w:r>
          </w:p>
        </w:tc>
        <w:tc>
          <w:tcPr>
            <w:tcW w:type="dxa" w:w="1872"/>
            <w:shd w:fill="E8EEF5"/>
            <w:tcMar>
              <w:top w:w="80" w:type="dxa"/>
              <w:bottom w:w="80" w:type="dxa"/>
              <w:start w:w="120" w:type="dxa"/>
              <w:end w:w="120" w:type="dxa"/>
            </w:tcMar>
            <w:vAlign w:val="center"/>
          </w:tcPr>
          <w:p>
            <w:pPr>
              <w:jc w:val="center"/>
            </w:pPr>
            <w:r>
              <w:rPr>
                <w:rFonts w:ascii="Calibri" w:hAnsi="Calibri"/>
                <w:b/>
                <w:color w:val="2E74B5"/>
                <w:sz w:val="17"/>
              </w:rPr>
              <w:t>Score</w:t>
            </w:r>
          </w:p>
          <w:p>
            <w:pPr>
              <w:spacing w:after="0"/>
              <w:jc w:val="center"/>
            </w:pPr>
            <w:r>
              <w:rPr>
                <w:rFonts w:ascii="Calibri" w:hAnsi="Calibri"/>
                <w:color w:val="243B53"/>
                <w:sz w:val="16"/>
              </w:rPr>
              <w:t>Behavior + peer + ML + rules</w:t>
            </w:r>
          </w:p>
        </w:tc>
        <w:tc>
          <w:tcPr>
            <w:tcW w:type="dxa" w:w="1872"/>
            <w:shd w:fill="F8FAFC"/>
            <w:tcMar>
              <w:top w:w="80" w:type="dxa"/>
              <w:bottom w:w="80" w:type="dxa"/>
              <w:start w:w="120" w:type="dxa"/>
              <w:end w:w="120" w:type="dxa"/>
            </w:tcMar>
            <w:vAlign w:val="center"/>
          </w:tcPr>
          <w:p>
            <w:pPr>
              <w:jc w:val="center"/>
            </w:pPr>
            <w:r>
              <w:rPr>
                <w:rFonts w:ascii="Calibri" w:hAnsi="Calibri"/>
                <w:b/>
                <w:color w:val="2E74B5"/>
                <w:sz w:val="17"/>
              </w:rPr>
              <w:t>Decide</w:t>
            </w:r>
          </w:p>
          <w:p>
            <w:pPr>
              <w:spacing w:after="0"/>
              <w:jc w:val="center"/>
            </w:pPr>
            <w:r>
              <w:rPr>
                <w:rFonts w:ascii="Calibri" w:hAnsi="Calibri"/>
                <w:color w:val="243B53"/>
                <w:sz w:val="16"/>
              </w:rPr>
              <w:t>Weighted risk policy</w:t>
            </w:r>
          </w:p>
        </w:tc>
        <w:tc>
          <w:tcPr>
            <w:tcW w:type="dxa" w:w="1872"/>
            <w:shd w:fill="E8EEF5"/>
            <w:tcMar>
              <w:top w:w="80" w:type="dxa"/>
              <w:bottom w:w="80" w:type="dxa"/>
              <w:start w:w="120" w:type="dxa"/>
              <w:end w:w="120" w:type="dxa"/>
            </w:tcMar>
            <w:vAlign w:val="center"/>
          </w:tcPr>
          <w:p>
            <w:pPr>
              <w:jc w:val="center"/>
            </w:pPr>
            <w:r>
              <w:rPr>
                <w:rFonts w:ascii="Calibri" w:hAnsi="Calibri"/>
                <w:b/>
                <w:color w:val="2E74B5"/>
                <w:sz w:val="17"/>
              </w:rPr>
              <w:t>Investigate</w:t>
            </w:r>
          </w:p>
          <w:p>
            <w:pPr>
              <w:spacing w:after="0"/>
              <w:jc w:val="center"/>
            </w:pPr>
            <w:r>
              <w:rPr>
                <w:rFonts w:ascii="Calibri" w:hAnsi="Calibri"/>
                <w:color w:val="243B53"/>
                <w:sz w:val="16"/>
              </w:rPr>
              <w:t>Case, notes, FP, STR</w:t>
            </w:r>
          </w:p>
        </w:tc>
      </w:tr>
    </w:tbl>
    <w:p>
      <w:pPr>
        <w:spacing w:after="0"/>
      </w:pPr>
    </w:p>
    <w:p>
      <w:pPr>
        <w:pStyle w:val="Heading2"/>
      </w:pPr>
      <w:r>
        <w:t>Why the design is defensible</w:t>
      </w:r>
    </w:p>
    <w:p>
      <w:pPr>
        <w:pStyle w:val="ListBullet"/>
      </w:pPr>
      <w:r>
        <w:rPr>
          <w:rFonts w:ascii="Calibri" w:hAnsi="Calibri"/>
          <w:color w:val="243B53"/>
        </w:rPr>
        <w:t>Spring Boot owns security, SQL data, workflows, audit, and final business decisions; Python owns numerical training and inference.</w:t>
      </w:r>
    </w:p>
    <w:p>
      <w:pPr>
        <w:pStyle w:val="ListBullet"/>
      </w:pPr>
      <w:r>
        <w:rPr>
          <w:rFonts w:ascii="Calibri" w:hAnsi="Calibri"/>
          <w:color w:val="243B53"/>
        </w:rPr>
        <w:t>Training data is chronological and point-in-time, reducing future leakage.</w:t>
      </w:r>
    </w:p>
    <w:p>
      <w:pPr>
        <w:pStyle w:val="ListBullet"/>
      </w:pPr>
      <w:r>
        <w:rPr>
          <w:rFonts w:ascii="Calibri" w:hAnsi="Calibri"/>
          <w:color w:val="243B53"/>
        </w:rPr>
        <w:t>Unsupervised comparison uses label-free diagnostics; supervised comparison uses PR-AUC, precision, recall, F1, balanced accuracy, Brier score, and confusion matrices.</w:t>
      </w:r>
    </w:p>
    <w:p>
      <w:pPr>
        <w:pStyle w:val="ListBullet"/>
      </w:pPr>
      <w:r>
        <w:rPr>
          <w:rFonts w:ascii="Calibri" w:hAnsi="Calibri"/>
          <w:color w:val="243B53"/>
        </w:rPr>
        <w:t>Model output is only one risk layer. Customer behavior, peer behavior, and AML rules remain explicit and explainable.</w:t>
      </w:r>
    </w:p>
    <w:p>
      <w:pPr>
        <w:pStyle w:val="ListBullet"/>
      </w:pPr>
      <w:r>
        <w:rPr>
          <w:rFonts w:ascii="Calibri" w:hAnsi="Calibri"/>
          <w:color w:val="243B53"/>
        </w:rPr>
        <w:t>Training creates candidates; governance and version pointers separate a trained artifact from a production decision.</w:t>
      </w:r>
    </w:p>
    <w:p>
      <w:pPr>
        <w:pStyle w:val="ListBullet"/>
      </w:pPr>
      <w:r>
        <w:rPr>
          <w:rFonts w:ascii="Calibri" w:hAnsi="Calibri"/>
          <w:color w:val="243B53"/>
        </w:rPr>
        <w:t>MEDIUM creates a review case; HIGH can generate an STR workflow. Human review remains the final authority.</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9F7EF"/>
            <w:tcMar>
              <w:top w:w="80" w:type="dxa"/>
              <w:bottom w:w="80" w:type="dxa"/>
              <w:start w:w="120" w:type="dxa"/>
              <w:end w:w="120" w:type="dxa"/>
            </w:tcMar>
            <w:vAlign w:val="center"/>
          </w:tcPr>
          <w:p>
            <w:pPr>
              <w:spacing w:after="0"/>
            </w:pPr>
            <w:r>
              <w:rPr>
                <w:rFonts w:ascii="Calibri" w:hAnsi="Calibri"/>
                <w:b/>
                <w:color w:val="1B7F5A"/>
              </w:rPr>
              <w:t xml:space="preserve">One-sentence defense: </w:t>
            </w:r>
            <w:r>
              <w:rPr>
                <w:rFonts w:ascii="Calibri" w:hAnsi="Calibri"/>
                <w:color w:val="243B53"/>
              </w:rPr>
              <w:t>This is an auditable AML decision-support platform that can begin without labels, learn from reviewed outcomes, compare models as data grows, and preserve human control over suspicious-transaction decisions.</w:t>
            </w:r>
          </w:p>
        </w:tc>
      </w:tr>
    </w:tbl>
    <w:p>
      <w:pPr>
        <w:spacing w:after="0"/>
      </w:pPr>
    </w:p>
    <w:p>
      <w:pPr>
        <w:pStyle w:val="Heading1"/>
      </w:pPr>
      <w:r>
        <w:t>2. Architecture and Repository Map</w:t>
      </w:r>
    </w:p>
    <w:tbl>
      <w:tblPr>
        <w:tblStyle w:val="TableGrid"/>
        <w:tblW w:type="dxa" w:w="9360"/>
        <w:jc w:val="left"/>
        <w:tblLayout w:type="fixed"/>
        <w:tblLook w:firstColumn="1" w:firstRow="1" w:lastColumn="0" w:lastRow="0" w:noHBand="0" w:noVBand="1" w:val="04A0"/>
        <w:tblInd w:w="120" w:type="dxa"/>
      </w:tblPr>
      <w:tblGrid>
        <w:gridCol w:w="1500"/>
        <w:gridCol w:w="4550"/>
        <w:gridCol w:w="3310"/>
      </w:tblGrid>
      <w:tr>
        <w:trPr>
          <w:tblHeader w:val="true"/>
        </w:trPr>
        <w:tc>
          <w:tcPr>
            <w:tcW w:type="dxa" w:w="1500"/>
            <w:shd w:fill="E8EEF5"/>
            <w:tcMar>
              <w:top w:w="80" w:type="dxa"/>
              <w:bottom w:w="80" w:type="dxa"/>
              <w:start w:w="120" w:type="dxa"/>
              <w:end w:w="120" w:type="dxa"/>
            </w:tcMar>
            <w:vAlign w:val="center"/>
          </w:tcPr>
          <w:p>
            <w:r>
              <w:rPr>
                <w:rFonts w:ascii="Calibri" w:hAnsi="Calibri"/>
                <w:b/>
                <w:color w:val="102A43"/>
                <w:sz w:val="18"/>
              </w:rPr>
              <w:t>Component</w:t>
            </w:r>
          </w:p>
        </w:tc>
        <w:tc>
          <w:tcPr>
            <w:tcW w:type="dxa" w:w="4550"/>
            <w:shd w:fill="E8EEF5"/>
            <w:tcMar>
              <w:top w:w="80" w:type="dxa"/>
              <w:bottom w:w="80" w:type="dxa"/>
              <w:start w:w="120" w:type="dxa"/>
              <w:end w:w="120" w:type="dxa"/>
            </w:tcMar>
            <w:vAlign w:val="center"/>
          </w:tcPr>
          <w:p>
            <w:r>
              <w:rPr>
                <w:rFonts w:ascii="Calibri" w:hAnsi="Calibri"/>
                <w:b/>
                <w:color w:val="102A43"/>
                <w:sz w:val="18"/>
              </w:rPr>
              <w:t>Responsibility</w:t>
            </w:r>
          </w:p>
        </w:tc>
        <w:tc>
          <w:tcPr>
            <w:tcW w:type="dxa" w:w="3310"/>
            <w:shd w:fill="E8EEF5"/>
            <w:tcMar>
              <w:top w:w="80" w:type="dxa"/>
              <w:bottom w:w="80" w:type="dxa"/>
              <w:start w:w="120" w:type="dxa"/>
              <w:end w:w="120" w:type="dxa"/>
            </w:tcMar>
            <w:vAlign w:val="center"/>
          </w:tcPr>
          <w:p>
            <w:r>
              <w:rPr>
                <w:rFonts w:ascii="Calibri" w:hAnsi="Calibri"/>
                <w:b/>
                <w:color w:val="102A43"/>
                <w:sz w:val="18"/>
              </w:rPr>
              <w:t>Main location</w:t>
            </w:r>
          </w:p>
        </w:tc>
      </w:tr>
      <w:tr>
        <w:tc>
          <w:tcPr>
            <w:tcW w:type="dxa" w:w="1500"/>
            <w:tcMar>
              <w:top w:w="80" w:type="dxa"/>
              <w:bottom w:w="80" w:type="dxa"/>
              <w:start w:w="120" w:type="dxa"/>
              <w:end w:w="120" w:type="dxa"/>
            </w:tcMar>
            <w:vAlign w:val="center"/>
          </w:tcPr>
          <w:p>
            <w:pPr>
              <w:spacing w:after="0" w:line="259" w:lineRule="auto"/>
            </w:pPr>
            <w:r>
              <w:rPr>
                <w:rFonts w:ascii="Calibri" w:hAnsi="Calibri"/>
                <w:color w:val="243B53"/>
                <w:sz w:val="17"/>
              </w:rPr>
              <w:t>Angular UI</w:t>
            </w:r>
          </w:p>
        </w:tc>
        <w:tc>
          <w:tcPr>
            <w:tcW w:type="dxa" w:w="4550"/>
            <w:tcMar>
              <w:top w:w="80" w:type="dxa"/>
              <w:bottom w:w="80" w:type="dxa"/>
              <w:start w:w="120" w:type="dxa"/>
              <w:end w:w="120" w:type="dxa"/>
            </w:tcMar>
            <w:vAlign w:val="center"/>
          </w:tcPr>
          <w:p>
            <w:pPr>
              <w:spacing w:after="0" w:line="259" w:lineRule="auto"/>
            </w:pPr>
            <w:r>
              <w:rPr>
                <w:rFonts w:ascii="Calibri" w:hAnsi="Calibri"/>
                <w:color w:val="243B53"/>
                <w:sz w:val="17"/>
              </w:rPr>
              <w:t>Forms, reports, comparison views, training operations, risk policy, transaction checks, and cases.</w:t>
            </w:r>
          </w:p>
        </w:tc>
        <w:tc>
          <w:tcPr>
            <w:tcW w:type="dxa" w:w="3310"/>
            <w:tcMar>
              <w:top w:w="80" w:type="dxa"/>
              <w:bottom w:w="80" w:type="dxa"/>
              <w:start w:w="120" w:type="dxa"/>
              <w:end w:w="120" w:type="dxa"/>
            </w:tcMar>
            <w:vAlign w:val="center"/>
          </w:tcPr>
          <w:p>
            <w:pPr>
              <w:spacing w:after="0" w:line="259" w:lineRule="auto"/>
            </w:pPr>
            <w:r>
              <w:rPr>
                <w:rFonts w:ascii="Calibri" w:hAnsi="Calibri"/>
                <w:color w:val="243B53"/>
                <w:sz w:val="17"/>
              </w:rPr>
              <w:t>fraud-transaction-ui/src/app</w:t>
            </w:r>
          </w:p>
        </w:tc>
      </w:tr>
      <w:tr>
        <w:tc>
          <w:tcPr>
            <w:tcW w:type="dxa" w:w="1500"/>
            <w:shd w:fill="F8FAFC"/>
            <w:tcMar>
              <w:top w:w="80" w:type="dxa"/>
              <w:bottom w:w="80" w:type="dxa"/>
              <w:start w:w="120" w:type="dxa"/>
              <w:end w:w="120" w:type="dxa"/>
            </w:tcMar>
            <w:vAlign w:val="center"/>
          </w:tcPr>
          <w:p>
            <w:pPr>
              <w:spacing w:after="0" w:line="259" w:lineRule="auto"/>
            </w:pPr>
            <w:r>
              <w:rPr>
                <w:rFonts w:ascii="Calibri" w:hAnsi="Calibri"/>
                <w:color w:val="243B53"/>
                <w:sz w:val="17"/>
              </w:rPr>
              <w:t>Spring Boot</w:t>
            </w:r>
          </w:p>
        </w:tc>
        <w:tc>
          <w:tcPr>
            <w:tcW w:type="dxa" w:w="4550"/>
            <w:shd w:fill="F8FAFC"/>
            <w:tcMar>
              <w:top w:w="80" w:type="dxa"/>
              <w:bottom w:w="80" w:type="dxa"/>
              <w:start w:w="120" w:type="dxa"/>
              <w:end w:w="120" w:type="dxa"/>
            </w:tcMar>
            <w:vAlign w:val="center"/>
          </w:tcPr>
          <w:p>
            <w:pPr>
              <w:spacing w:after="0" w:line="259" w:lineRule="auto"/>
            </w:pPr>
            <w:r>
              <w:rPr>
                <w:rFonts w:ascii="Calibri" w:hAnsi="Calibri"/>
                <w:color w:val="243B53"/>
                <w:sz w:val="17"/>
              </w:rPr>
              <w:t>Authentication, authorization, business workflows, SQL access, features, risk aggregation, alerts, cases, model registry, and audit.</w:t>
            </w:r>
          </w:p>
        </w:tc>
        <w:tc>
          <w:tcPr>
            <w:tcW w:type="dxa" w:w="3310"/>
            <w:shd w:fill="F8FAFC"/>
            <w:tcMar>
              <w:top w:w="80" w:type="dxa"/>
              <w:bottom w:w="80" w:type="dxa"/>
              <w:start w:w="120" w:type="dxa"/>
              <w:end w:w="120" w:type="dxa"/>
            </w:tcMar>
            <w:vAlign w:val="center"/>
          </w:tcPr>
          <w:p>
            <w:pPr>
              <w:spacing w:after="0" w:line="259" w:lineRule="auto"/>
            </w:pPr>
            <w:r>
              <w:rPr>
                <w:rFonts w:ascii="Calibri" w:hAnsi="Calibri"/>
                <w:color w:val="243B53"/>
                <w:sz w:val="17"/>
              </w:rPr>
              <w:t>fraud-transaction-detector/src/main/java</w:t>
            </w:r>
          </w:p>
        </w:tc>
      </w:tr>
      <w:tr>
        <w:tc>
          <w:tcPr>
            <w:tcW w:type="dxa" w:w="1500"/>
            <w:tcMar>
              <w:top w:w="80" w:type="dxa"/>
              <w:bottom w:w="80" w:type="dxa"/>
              <w:start w:w="120" w:type="dxa"/>
              <w:end w:w="120" w:type="dxa"/>
            </w:tcMar>
            <w:vAlign w:val="center"/>
          </w:tcPr>
          <w:p>
            <w:pPr>
              <w:spacing w:after="0" w:line="259" w:lineRule="auto"/>
            </w:pPr>
            <w:r>
              <w:rPr>
                <w:rFonts w:ascii="Calibri" w:hAnsi="Calibri"/>
                <w:color w:val="243B53"/>
                <w:sz w:val="17"/>
              </w:rPr>
              <w:t>FastAPI ML service</w:t>
            </w:r>
          </w:p>
        </w:tc>
        <w:tc>
          <w:tcPr>
            <w:tcW w:type="dxa" w:w="4550"/>
            <w:tcMar>
              <w:top w:w="80" w:type="dxa"/>
              <w:bottom w:w="80" w:type="dxa"/>
              <w:start w:w="120" w:type="dxa"/>
              <w:end w:w="120" w:type="dxa"/>
            </w:tcMar>
            <w:vAlign w:val="center"/>
          </w:tcPr>
          <w:p>
            <w:pPr>
              <w:spacing w:after="0" w:line="259" w:lineRule="auto"/>
            </w:pPr>
            <w:r>
              <w:rPr>
                <w:rFonts w:ascii="Calibri" w:hAnsi="Calibri"/>
                <w:color w:val="243B53"/>
                <w:sz w:val="17"/>
              </w:rPr>
              <w:t>Model training, artifact loading, prediction, growth analysis, agreement, supervised evaluation, and policy backtesting.</w:t>
            </w:r>
          </w:p>
        </w:tc>
        <w:tc>
          <w:tcPr>
            <w:tcW w:type="dxa" w:w="3310"/>
            <w:tcMar>
              <w:top w:w="80" w:type="dxa"/>
              <w:bottom w:w="80" w:type="dxa"/>
              <w:start w:w="120" w:type="dxa"/>
              <w:end w:w="120" w:type="dxa"/>
            </w:tcMar>
            <w:vAlign w:val="center"/>
          </w:tcPr>
          <w:p>
            <w:pPr>
              <w:spacing w:after="0" w:line="259" w:lineRule="auto"/>
            </w:pPr>
            <w:r>
              <w:rPr>
                <w:rFonts w:ascii="Calibri" w:hAnsi="Calibri"/>
                <w:color w:val="243B53"/>
                <w:sz w:val="17"/>
              </w:rPr>
              <w:t>fraud-ml-service/app</w:t>
            </w:r>
          </w:p>
        </w:tc>
      </w:tr>
      <w:tr>
        <w:tc>
          <w:tcPr>
            <w:tcW w:type="dxa" w:w="1500"/>
            <w:shd w:fill="F8FAFC"/>
            <w:tcMar>
              <w:top w:w="80" w:type="dxa"/>
              <w:bottom w:w="80" w:type="dxa"/>
              <w:start w:w="120" w:type="dxa"/>
              <w:end w:w="120" w:type="dxa"/>
            </w:tcMar>
            <w:vAlign w:val="center"/>
          </w:tcPr>
          <w:p>
            <w:pPr>
              <w:spacing w:after="0" w:line="259" w:lineRule="auto"/>
            </w:pPr>
            <w:r>
              <w:rPr>
                <w:rFonts w:ascii="Calibri" w:hAnsi="Calibri"/>
                <w:color w:val="243B53"/>
                <w:sz w:val="17"/>
              </w:rPr>
              <w:t>SQL Server</w:t>
            </w:r>
          </w:p>
        </w:tc>
        <w:tc>
          <w:tcPr>
            <w:tcW w:type="dxa" w:w="4550"/>
            <w:shd w:fill="F8FAFC"/>
            <w:tcMar>
              <w:top w:w="80" w:type="dxa"/>
              <w:bottom w:w="80" w:type="dxa"/>
              <w:start w:w="120" w:type="dxa"/>
              <w:end w:w="120" w:type="dxa"/>
            </w:tcMar>
            <w:vAlign w:val="center"/>
          </w:tcPr>
          <w:p>
            <w:pPr>
              <w:spacing w:after="0" w:line="259" w:lineRule="auto"/>
            </w:pPr>
            <w:r>
              <w:rPr>
                <w:rFonts w:ascii="Calibri" w:hAnsi="Calibri"/>
                <w:color w:val="243B53"/>
                <w:sz w:val="17"/>
              </w:rPr>
              <w:t>Authoritative events, labels, features, profiles, configs, model governance, predictions, alerts, and cases.</w:t>
            </w:r>
          </w:p>
        </w:tc>
        <w:tc>
          <w:tcPr>
            <w:tcW w:type="dxa" w:w="3310"/>
            <w:shd w:fill="F8FAFC"/>
            <w:tcMar>
              <w:top w:w="80" w:type="dxa"/>
              <w:bottom w:w="80" w:type="dxa"/>
              <w:start w:w="120" w:type="dxa"/>
              <w:end w:w="120" w:type="dxa"/>
            </w:tcMar>
            <w:vAlign w:val="center"/>
          </w:tcPr>
          <w:p>
            <w:pPr>
              <w:spacing w:after="0" w:line="259" w:lineRule="auto"/>
            </w:pPr>
            <w:r>
              <w:rPr>
                <w:rFonts w:ascii="Calibri" w:hAnsi="Calibri"/>
                <w:color w:val="243B53"/>
                <w:sz w:val="17"/>
              </w:rPr>
              <w:t>fraud-transaction-detector/src/main/resources/db</w:t>
            </w:r>
          </w:p>
        </w:tc>
      </w:tr>
    </w:tbl>
    <w:p>
      <w:pPr>
        <w:spacing w:after="0"/>
      </w:pPr>
    </w:p>
    <w:p>
      <w:pPr>
        <w:pStyle w:val="Heading2"/>
      </w:pPr>
      <w:r>
        <w:t>Runtime communication</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shd w:fill="E8EEF5"/>
            <w:tcMar>
              <w:top w:w="80" w:type="dxa"/>
              <w:bottom w:w="80" w:type="dxa"/>
              <w:start w:w="120" w:type="dxa"/>
              <w:end w:w="120" w:type="dxa"/>
            </w:tcMar>
            <w:vAlign w:val="center"/>
          </w:tcPr>
          <w:p>
            <w:pPr>
              <w:jc w:val="center"/>
            </w:pPr>
            <w:r>
              <w:rPr>
                <w:rFonts w:ascii="Calibri" w:hAnsi="Calibri"/>
                <w:b/>
                <w:color w:val="2E74B5"/>
                <w:sz w:val="17"/>
              </w:rPr>
              <w:t>Browser :4200</w:t>
            </w:r>
          </w:p>
          <w:p>
            <w:pPr>
              <w:spacing w:after="0"/>
              <w:jc w:val="center"/>
            </w:pPr>
            <w:r>
              <w:rPr>
                <w:rFonts w:ascii="Calibri" w:hAnsi="Calibri"/>
                <w:color w:val="243B53"/>
                <w:sz w:val="16"/>
              </w:rPr>
              <w:t>JWT + JSON/HTTP</w:t>
            </w:r>
          </w:p>
        </w:tc>
        <w:tc>
          <w:tcPr>
            <w:tcW w:type="dxa" w:w="2340"/>
            <w:shd w:fill="F8FAFC"/>
            <w:tcMar>
              <w:top w:w="80" w:type="dxa"/>
              <w:bottom w:w="80" w:type="dxa"/>
              <w:start w:w="120" w:type="dxa"/>
              <w:end w:w="120" w:type="dxa"/>
            </w:tcMar>
            <w:vAlign w:val="center"/>
          </w:tcPr>
          <w:p>
            <w:pPr>
              <w:jc w:val="center"/>
            </w:pPr>
            <w:r>
              <w:rPr>
                <w:rFonts w:ascii="Calibri" w:hAnsi="Calibri"/>
                <w:b/>
                <w:color w:val="2E74B5"/>
                <w:sz w:val="17"/>
              </w:rPr>
              <w:t>Spring :8080</w:t>
            </w:r>
          </w:p>
          <w:p>
            <w:pPr>
              <w:spacing w:after="0"/>
              <w:jc w:val="center"/>
            </w:pPr>
            <w:r>
              <w:rPr>
                <w:rFonts w:ascii="Calibri" w:hAnsi="Calibri"/>
                <w:color w:val="243B53"/>
                <w:sz w:val="16"/>
              </w:rPr>
              <w:t>Business authority</w:t>
            </w:r>
          </w:p>
        </w:tc>
        <w:tc>
          <w:tcPr>
            <w:tcW w:type="dxa" w:w="2340"/>
            <w:shd w:fill="E8EEF5"/>
            <w:tcMar>
              <w:top w:w="80" w:type="dxa"/>
              <w:bottom w:w="80" w:type="dxa"/>
              <w:start w:w="120" w:type="dxa"/>
              <w:end w:w="120" w:type="dxa"/>
            </w:tcMar>
            <w:vAlign w:val="center"/>
          </w:tcPr>
          <w:p>
            <w:pPr>
              <w:jc w:val="center"/>
            </w:pPr>
            <w:r>
              <w:rPr>
                <w:rFonts w:ascii="Calibri" w:hAnsi="Calibri"/>
                <w:b/>
                <w:color w:val="2E74B5"/>
                <w:sz w:val="17"/>
              </w:rPr>
              <w:t>FastAPI :8000</w:t>
            </w:r>
          </w:p>
          <w:p>
            <w:pPr>
              <w:spacing w:after="0"/>
              <w:jc w:val="center"/>
            </w:pPr>
            <w:r>
              <w:rPr>
                <w:rFonts w:ascii="Calibri" w:hAnsi="Calibri"/>
                <w:color w:val="243B53"/>
                <w:sz w:val="16"/>
              </w:rPr>
              <w:t>ML computation</w:t>
            </w:r>
          </w:p>
        </w:tc>
        <w:tc>
          <w:tcPr>
            <w:tcW w:type="dxa" w:w="2340"/>
            <w:shd w:fill="F8FAFC"/>
            <w:tcMar>
              <w:top w:w="80" w:type="dxa"/>
              <w:bottom w:w="80" w:type="dxa"/>
              <w:start w:w="120" w:type="dxa"/>
              <w:end w:w="120" w:type="dxa"/>
            </w:tcMar>
            <w:vAlign w:val="center"/>
          </w:tcPr>
          <w:p>
            <w:pPr>
              <w:jc w:val="center"/>
            </w:pPr>
            <w:r>
              <w:rPr>
                <w:rFonts w:ascii="Calibri" w:hAnsi="Calibri"/>
                <w:b/>
                <w:color w:val="2E74B5"/>
                <w:sz w:val="17"/>
              </w:rPr>
              <w:t>SQL Server</w:t>
            </w:r>
          </w:p>
          <w:p>
            <w:pPr>
              <w:spacing w:after="0"/>
              <w:jc w:val="center"/>
            </w:pPr>
            <w:r>
              <w:rPr>
                <w:rFonts w:ascii="Calibri" w:hAnsi="Calibri"/>
                <w:color w:val="243B53"/>
                <w:sz w:val="16"/>
              </w:rPr>
              <w:t>System of record</w:t>
            </w:r>
          </w:p>
        </w:tc>
      </w:tr>
    </w:tbl>
    <w:p>
      <w:pPr>
        <w:spacing w:after="0"/>
      </w:pPr>
    </w:p>
    <w:p>
      <w:r>
        <w:rPr>
          <w:rFonts w:ascii="Calibri" w:hAnsi="Calibri"/>
          <w:color w:val="243B53"/>
        </w:rPr>
        <w:t>The browser does not connect directly to SQL Server or FastAPI. This keeps credentials, authorization, audit, and final decision rules in Spring Boot.</w:t>
      </w:r>
    </w:p>
    <w:p>
      <w:pPr>
        <w:pStyle w:val="Heading2"/>
      </w:pPr>
      <w:r>
        <w:t>Modular monolith decision</w:t>
      </w:r>
    </w:p>
    <w:p>
      <w:r>
        <w:rPr>
          <w:rFonts w:ascii="Calibri" w:hAnsi="Calibri"/>
          <w:color w:val="243B53"/>
        </w:rPr>
        <w:t>The Java services were merged into one Spring Boot application. The code remains separated by packages such as auth, uploads, transactions, aml, comparison, cases, and config. This reduces deployment complexity for the project while preserving module boundaries that can later be separated if scale or organizational ownership requires it.</w:t>
      </w:r>
    </w:p>
    <w:p>
      <w:pPr>
        <w:pStyle w:val="Heading1"/>
      </w:pPr>
      <w:r>
        <w:t>3. Authentication, Authorization, and Security</w:t>
      </w:r>
    </w:p>
    <w:p>
      <w:pPr>
        <w:pStyle w:val="Heading2"/>
      </w:pPr>
      <w:r>
        <w:t>Authentication flow</w:t>
      </w:r>
    </w:p>
    <w:p>
      <w:pPr>
        <w:spacing w:after="80" w:line="300" w:lineRule="auto"/>
        <w:ind w:left="259" w:hanging="259"/>
      </w:pPr>
      <w:r>
        <w:rPr>
          <w:rFonts w:ascii="Calibri" w:hAnsi="Calibri"/>
          <w:color w:val="243B53"/>
        </w:rPr>
        <w:t>1.  A user registers or logs in through Angular.</w:t>
      </w:r>
    </w:p>
    <w:p>
      <w:pPr>
        <w:spacing w:after="80" w:line="300" w:lineRule="auto"/>
        <w:ind w:left="259" w:hanging="259"/>
      </w:pPr>
      <w:r>
        <w:rPr>
          <w:rFonts w:ascii="Calibri" w:hAnsi="Calibri"/>
          <w:color w:val="243B53"/>
        </w:rPr>
        <w:t>2.  Spring validates the username and BCrypt password hash stored in app_users.</w:t>
      </w:r>
    </w:p>
    <w:p>
      <w:pPr>
        <w:spacing w:after="80" w:line="300" w:lineRule="auto"/>
        <w:ind w:left="259" w:hanging="259"/>
      </w:pPr>
      <w:r>
        <w:rPr>
          <w:rFonts w:ascii="Calibri" w:hAnsi="Calibri"/>
          <w:color w:val="243B53"/>
        </w:rPr>
        <w:t>3.  Spring signs an HS256 JWT containing subject, role, full name, issued time, and expiry.</w:t>
      </w:r>
    </w:p>
    <w:p>
      <w:pPr>
        <w:spacing w:after="80" w:line="300" w:lineRule="auto"/>
        <w:ind w:left="259" w:hanging="259"/>
      </w:pPr>
      <w:r>
        <w:rPr>
          <w:rFonts w:ascii="Calibri" w:hAnsi="Calibri"/>
          <w:color w:val="243B53"/>
        </w:rPr>
        <w:t>4.  Angular sends the token as Authorization: Bearer &lt;token&gt;.</w:t>
      </w:r>
    </w:p>
    <w:p>
      <w:pPr>
        <w:spacing w:after="80" w:line="300" w:lineRule="auto"/>
        <w:ind w:left="259" w:hanging="259"/>
      </w:pPr>
      <w:r>
        <w:rPr>
          <w:rFonts w:ascii="Calibri" w:hAnsi="Calibri"/>
          <w:color w:val="243B53"/>
        </w:rPr>
        <w:t>5.  JwtAuthenticationFilter verifies the signature and expiry, reloads the active user from SQL, and creates the Spring Security principal.</w:t>
      </w:r>
    </w:p>
    <w:p>
      <w:pPr>
        <w:spacing w:after="80" w:line="300" w:lineRule="auto"/>
        <w:ind w:left="259" w:hanging="259"/>
      </w:pPr>
      <w:r>
        <w:rPr>
          <w:rFonts w:ascii="Calibri" w:hAnsi="Calibri"/>
          <w:color w:val="243B53"/>
        </w:rPr>
        <w:t>6.  SecurityConfig authorizes the route by HTTP method and role. Unauthorized and forbidden responses are structured JSON.</w:t>
      </w:r>
    </w:p>
    <w:tbl>
      <w:tblPr>
        <w:tblStyle w:val="TableGrid"/>
        <w:tblW w:type="dxa" w:w="9360"/>
        <w:jc w:val="left"/>
        <w:tblLayout w:type="fixed"/>
        <w:tblLook w:firstColumn="1" w:firstRow="1" w:lastColumn="0" w:lastRow="0" w:noHBand="0" w:noVBand="1" w:val="04A0"/>
        <w:tblInd w:w="120" w:type="dxa"/>
      </w:tblPr>
      <w:tblGrid>
        <w:gridCol w:w="1900"/>
        <w:gridCol w:w="3200"/>
        <w:gridCol w:w="4260"/>
      </w:tblGrid>
      <w:tr>
        <w:trPr>
          <w:tblHeader w:val="true"/>
        </w:trPr>
        <w:tc>
          <w:tcPr>
            <w:tcW w:type="dxa" w:w="1900"/>
            <w:shd w:fill="E8EEF5"/>
            <w:tcMar>
              <w:top w:w="80" w:type="dxa"/>
              <w:bottom w:w="80" w:type="dxa"/>
              <w:start w:w="120" w:type="dxa"/>
              <w:end w:w="120" w:type="dxa"/>
            </w:tcMar>
            <w:vAlign w:val="center"/>
          </w:tcPr>
          <w:p>
            <w:r>
              <w:rPr>
                <w:rFonts w:ascii="Calibri" w:hAnsi="Calibri"/>
                <w:b/>
                <w:color w:val="102A43"/>
                <w:sz w:val="18"/>
              </w:rPr>
              <w:t>Control</w:t>
            </w:r>
          </w:p>
        </w:tc>
        <w:tc>
          <w:tcPr>
            <w:tcW w:type="dxa" w:w="3200"/>
            <w:shd w:fill="E8EEF5"/>
            <w:tcMar>
              <w:top w:w="80" w:type="dxa"/>
              <w:bottom w:w="80" w:type="dxa"/>
              <w:start w:w="120" w:type="dxa"/>
              <w:end w:w="120" w:type="dxa"/>
            </w:tcMar>
            <w:vAlign w:val="center"/>
          </w:tcPr>
          <w:p>
            <w:r>
              <w:rPr>
                <w:rFonts w:ascii="Calibri" w:hAnsi="Calibri"/>
                <w:b/>
                <w:color w:val="102A43"/>
                <w:sz w:val="18"/>
              </w:rPr>
              <w:t>Implementation</w:t>
            </w:r>
          </w:p>
        </w:tc>
        <w:tc>
          <w:tcPr>
            <w:tcW w:type="dxa" w:w="4260"/>
            <w:shd w:fill="E8EEF5"/>
            <w:tcMar>
              <w:top w:w="80" w:type="dxa"/>
              <w:bottom w:w="80" w:type="dxa"/>
              <w:start w:w="120" w:type="dxa"/>
              <w:end w:w="120" w:type="dxa"/>
            </w:tcMar>
            <w:vAlign w:val="center"/>
          </w:tcPr>
          <w:p>
            <w:r>
              <w:rPr>
                <w:rFonts w:ascii="Calibri" w:hAnsi="Calibri"/>
                <w:b/>
                <w:color w:val="102A43"/>
                <w:sz w:val="18"/>
              </w:rPr>
              <w:t>Defense point</w:t>
            </w:r>
          </w:p>
        </w:tc>
      </w:tr>
      <w:tr>
        <w:tc>
          <w:tcPr>
            <w:tcW w:type="dxa" w:w="1900"/>
            <w:tcMar>
              <w:top w:w="80" w:type="dxa"/>
              <w:bottom w:w="80" w:type="dxa"/>
              <w:start w:w="120" w:type="dxa"/>
              <w:end w:w="120" w:type="dxa"/>
            </w:tcMar>
            <w:vAlign w:val="center"/>
          </w:tcPr>
          <w:p>
            <w:pPr>
              <w:spacing w:after="0" w:line="259" w:lineRule="auto"/>
            </w:pPr>
            <w:r>
              <w:rPr>
                <w:rFonts w:ascii="Calibri" w:hAnsi="Calibri"/>
                <w:color w:val="243B53"/>
                <w:sz w:val="17"/>
              </w:rPr>
              <w:t>Password storage</w:t>
            </w:r>
          </w:p>
        </w:tc>
        <w:tc>
          <w:tcPr>
            <w:tcW w:type="dxa" w:w="3200"/>
            <w:tcMar>
              <w:top w:w="80" w:type="dxa"/>
              <w:bottom w:w="80" w:type="dxa"/>
              <w:start w:w="120" w:type="dxa"/>
              <w:end w:w="120" w:type="dxa"/>
            </w:tcMar>
            <w:vAlign w:val="center"/>
          </w:tcPr>
          <w:p>
            <w:pPr>
              <w:spacing w:after="0" w:line="259" w:lineRule="auto"/>
            </w:pPr>
            <w:r>
              <w:rPr>
                <w:rFonts w:ascii="Calibri" w:hAnsi="Calibri"/>
                <w:color w:val="243B53"/>
                <w:sz w:val="17"/>
              </w:rPr>
              <w:t>BCrypt with work factor 12</w:t>
            </w:r>
          </w:p>
        </w:tc>
        <w:tc>
          <w:tcPr>
            <w:tcW w:type="dxa" w:w="4260"/>
            <w:tcMar>
              <w:top w:w="80" w:type="dxa"/>
              <w:bottom w:w="80" w:type="dxa"/>
              <w:start w:w="120" w:type="dxa"/>
              <w:end w:w="120" w:type="dxa"/>
            </w:tcMar>
            <w:vAlign w:val="center"/>
          </w:tcPr>
          <w:p>
            <w:pPr>
              <w:spacing w:after="0" w:line="259" w:lineRule="auto"/>
            </w:pPr>
            <w:r>
              <w:rPr>
                <w:rFonts w:ascii="Calibri" w:hAnsi="Calibri"/>
                <w:color w:val="243B53"/>
                <w:sz w:val="17"/>
              </w:rPr>
              <w:t>Passwords are not stored in clear text or reversibly encrypted.</w:t>
            </w:r>
          </w:p>
        </w:tc>
      </w:tr>
      <w:tr>
        <w:tc>
          <w:tcPr>
            <w:tcW w:type="dxa" w:w="1900"/>
            <w:shd w:fill="F8FAFC"/>
            <w:tcMar>
              <w:top w:w="80" w:type="dxa"/>
              <w:bottom w:w="80" w:type="dxa"/>
              <w:start w:w="120" w:type="dxa"/>
              <w:end w:w="120" w:type="dxa"/>
            </w:tcMar>
            <w:vAlign w:val="center"/>
          </w:tcPr>
          <w:p>
            <w:pPr>
              <w:spacing w:after="0" w:line="259" w:lineRule="auto"/>
            </w:pPr>
            <w:r>
              <w:rPr>
                <w:rFonts w:ascii="Calibri" w:hAnsi="Calibri"/>
                <w:color w:val="243B53"/>
                <w:sz w:val="17"/>
              </w:rPr>
              <w:t>Session model</w:t>
            </w:r>
          </w:p>
        </w:tc>
        <w:tc>
          <w:tcPr>
            <w:tcW w:type="dxa" w:w="3200"/>
            <w:shd w:fill="F8FAFC"/>
            <w:tcMar>
              <w:top w:w="80" w:type="dxa"/>
              <w:bottom w:w="80" w:type="dxa"/>
              <w:start w:w="120" w:type="dxa"/>
              <w:end w:w="120" w:type="dxa"/>
            </w:tcMar>
            <w:vAlign w:val="center"/>
          </w:tcPr>
          <w:p>
            <w:pPr>
              <w:spacing w:after="0" w:line="259" w:lineRule="auto"/>
            </w:pPr>
            <w:r>
              <w:rPr>
                <w:rFonts w:ascii="Calibri" w:hAnsi="Calibri"/>
                <w:color w:val="243B53"/>
                <w:sz w:val="17"/>
              </w:rPr>
              <w:t>Stateless JWT</w:t>
            </w:r>
          </w:p>
        </w:tc>
        <w:tc>
          <w:tcPr>
            <w:tcW w:type="dxa" w:w="4260"/>
            <w:shd w:fill="F8FAFC"/>
            <w:tcMar>
              <w:top w:w="80" w:type="dxa"/>
              <w:bottom w:w="80" w:type="dxa"/>
              <w:start w:w="120" w:type="dxa"/>
              <w:end w:w="120" w:type="dxa"/>
            </w:tcMar>
            <w:vAlign w:val="center"/>
          </w:tcPr>
          <w:p>
            <w:pPr>
              <w:spacing w:after="0" w:line="259" w:lineRule="auto"/>
            </w:pPr>
            <w:r>
              <w:rPr>
                <w:rFonts w:ascii="Calibri" w:hAnsi="Calibri"/>
                <w:color w:val="243B53"/>
                <w:sz w:val="17"/>
              </w:rPr>
              <w:t>No server HTTP session is required; every protected request is authenticated.</w:t>
            </w:r>
          </w:p>
        </w:tc>
      </w:tr>
      <w:tr>
        <w:tc>
          <w:tcPr>
            <w:tcW w:type="dxa" w:w="1900"/>
            <w:tcMar>
              <w:top w:w="80" w:type="dxa"/>
              <w:bottom w:w="80" w:type="dxa"/>
              <w:start w:w="120" w:type="dxa"/>
              <w:end w:w="120" w:type="dxa"/>
            </w:tcMar>
            <w:vAlign w:val="center"/>
          </w:tcPr>
          <w:p>
            <w:pPr>
              <w:spacing w:after="0" w:line="259" w:lineRule="auto"/>
            </w:pPr>
            <w:r>
              <w:rPr>
                <w:rFonts w:ascii="Calibri" w:hAnsi="Calibri"/>
                <w:color w:val="243B53"/>
                <w:sz w:val="17"/>
              </w:rPr>
              <w:t>Self-registration</w:t>
            </w:r>
          </w:p>
        </w:tc>
        <w:tc>
          <w:tcPr>
            <w:tcW w:type="dxa" w:w="3200"/>
            <w:tcMar>
              <w:top w:w="80" w:type="dxa"/>
              <w:bottom w:w="80" w:type="dxa"/>
              <w:start w:w="120" w:type="dxa"/>
              <w:end w:w="120" w:type="dxa"/>
            </w:tcMar>
            <w:vAlign w:val="center"/>
          </w:tcPr>
          <w:p>
            <w:pPr>
              <w:spacing w:after="0" w:line="259" w:lineRule="auto"/>
            </w:pPr>
            <w:r>
              <w:rPr>
                <w:rFonts w:ascii="Calibri" w:hAnsi="Calibri"/>
                <w:color w:val="243B53"/>
                <w:sz w:val="17"/>
              </w:rPr>
              <w:t>Always creates REVIEWER</w:t>
            </w:r>
          </w:p>
        </w:tc>
        <w:tc>
          <w:tcPr>
            <w:tcW w:type="dxa" w:w="4260"/>
            <w:tcMar>
              <w:top w:w="80" w:type="dxa"/>
              <w:bottom w:w="80" w:type="dxa"/>
              <w:start w:w="120" w:type="dxa"/>
              <w:end w:w="120" w:type="dxa"/>
            </w:tcMar>
            <w:vAlign w:val="center"/>
          </w:tcPr>
          <w:p>
            <w:pPr>
              <w:spacing w:after="0" w:line="259" w:lineRule="auto"/>
            </w:pPr>
            <w:r>
              <w:rPr>
                <w:rFonts w:ascii="Calibri" w:hAnsi="Calibri"/>
                <w:color w:val="243B53"/>
                <w:sz w:val="17"/>
              </w:rPr>
              <w:t>A public user cannot grant themselves ADMIN privileges.</w:t>
            </w:r>
          </w:p>
        </w:tc>
      </w:tr>
      <w:tr>
        <w:tc>
          <w:tcPr>
            <w:tcW w:type="dxa" w:w="1900"/>
            <w:shd w:fill="F8FAFC"/>
            <w:tcMar>
              <w:top w:w="80" w:type="dxa"/>
              <w:bottom w:w="80" w:type="dxa"/>
              <w:start w:w="120" w:type="dxa"/>
              <w:end w:w="120" w:type="dxa"/>
            </w:tcMar>
            <w:vAlign w:val="center"/>
          </w:tcPr>
          <w:p>
            <w:pPr>
              <w:spacing w:after="0" w:line="259" w:lineRule="auto"/>
            </w:pPr>
            <w:r>
              <w:rPr>
                <w:rFonts w:ascii="Calibri" w:hAnsi="Calibri"/>
                <w:color w:val="243B53"/>
                <w:sz w:val="17"/>
              </w:rPr>
              <w:t>API authorization</w:t>
            </w:r>
          </w:p>
        </w:tc>
        <w:tc>
          <w:tcPr>
            <w:tcW w:type="dxa" w:w="3200"/>
            <w:shd w:fill="F8FAFC"/>
            <w:tcMar>
              <w:top w:w="80" w:type="dxa"/>
              <w:bottom w:w="80" w:type="dxa"/>
              <w:start w:w="120" w:type="dxa"/>
              <w:end w:w="120" w:type="dxa"/>
            </w:tcMar>
            <w:vAlign w:val="center"/>
          </w:tcPr>
          <w:p>
            <w:pPr>
              <w:spacing w:after="0" w:line="259" w:lineRule="auto"/>
            </w:pPr>
            <w:r>
              <w:rPr>
                <w:rFonts w:ascii="Calibri" w:hAnsi="Calibri"/>
                <w:color w:val="243B53"/>
                <w:sz w:val="17"/>
              </w:rPr>
              <w:t>Spring Security route and method rules</w:t>
            </w:r>
          </w:p>
        </w:tc>
        <w:tc>
          <w:tcPr>
            <w:tcW w:type="dxa" w:w="4260"/>
            <w:shd w:fill="F8FAFC"/>
            <w:tcMar>
              <w:top w:w="80" w:type="dxa"/>
              <w:bottom w:w="80" w:type="dxa"/>
              <w:start w:w="120" w:type="dxa"/>
              <w:end w:w="120" w:type="dxa"/>
            </w:tcMar>
            <w:vAlign w:val="center"/>
          </w:tcPr>
          <w:p>
            <w:pPr>
              <w:spacing w:after="0" w:line="259" w:lineRule="auto"/>
            </w:pPr>
            <w:r>
              <w:rPr>
                <w:rFonts w:ascii="Calibri" w:hAnsi="Calibri"/>
                <w:color w:val="243B53"/>
                <w:sz w:val="17"/>
              </w:rPr>
              <w:t>Angular guards improve UX; backend rules provide real enforcement.</w:t>
            </w:r>
          </w:p>
        </w:tc>
      </w:tr>
      <w:tr>
        <w:tc>
          <w:tcPr>
            <w:tcW w:type="dxa" w:w="1900"/>
            <w:tcMar>
              <w:top w:w="80" w:type="dxa"/>
              <w:bottom w:w="80" w:type="dxa"/>
              <w:start w:w="120" w:type="dxa"/>
              <w:end w:w="120" w:type="dxa"/>
            </w:tcMar>
            <w:vAlign w:val="center"/>
          </w:tcPr>
          <w:p>
            <w:pPr>
              <w:spacing w:after="0" w:line="259" w:lineRule="auto"/>
            </w:pPr>
            <w:r>
              <w:rPr>
                <w:rFonts w:ascii="Calibri" w:hAnsi="Calibri"/>
                <w:color w:val="243B53"/>
                <w:sz w:val="17"/>
              </w:rPr>
              <w:t>Account activation</w:t>
            </w:r>
          </w:p>
        </w:tc>
        <w:tc>
          <w:tcPr>
            <w:tcW w:type="dxa" w:w="3200"/>
            <w:tcMar>
              <w:top w:w="80" w:type="dxa"/>
              <w:bottom w:w="80" w:type="dxa"/>
              <w:start w:w="120" w:type="dxa"/>
              <w:end w:w="120" w:type="dxa"/>
            </w:tcMar>
            <w:vAlign w:val="center"/>
          </w:tcPr>
          <w:p>
            <w:pPr>
              <w:spacing w:after="0" w:line="259" w:lineRule="auto"/>
            </w:pPr>
            <w:r>
              <w:rPr>
                <w:rFonts w:ascii="Calibri" w:hAnsi="Calibri"/>
                <w:color w:val="243B53"/>
                <w:sz w:val="17"/>
              </w:rPr>
              <w:t>Active state checked from SQL</w:t>
            </w:r>
          </w:p>
        </w:tc>
        <w:tc>
          <w:tcPr>
            <w:tcW w:type="dxa" w:w="4260"/>
            <w:tcMar>
              <w:top w:w="80" w:type="dxa"/>
              <w:bottom w:w="80" w:type="dxa"/>
              <w:start w:w="120" w:type="dxa"/>
              <w:end w:w="120" w:type="dxa"/>
            </w:tcMar>
            <w:vAlign w:val="center"/>
          </w:tcPr>
          <w:p>
            <w:pPr>
              <w:spacing w:after="0" w:line="259" w:lineRule="auto"/>
            </w:pPr>
            <w:r>
              <w:rPr>
                <w:rFonts w:ascii="Calibri" w:hAnsi="Calibri"/>
                <w:color w:val="243B53"/>
                <w:sz w:val="17"/>
              </w:rPr>
              <w:t>A disabled user cannot continue using a previously issued identity unchecked.</w:t>
            </w:r>
          </w:p>
        </w:tc>
      </w:tr>
      <w:tr>
        <w:tc>
          <w:tcPr>
            <w:tcW w:type="dxa" w:w="1900"/>
            <w:shd w:fill="F8FAFC"/>
            <w:tcMar>
              <w:top w:w="80" w:type="dxa"/>
              <w:bottom w:w="80" w:type="dxa"/>
              <w:start w:w="120" w:type="dxa"/>
              <w:end w:w="120" w:type="dxa"/>
            </w:tcMar>
            <w:vAlign w:val="center"/>
          </w:tcPr>
          <w:p>
            <w:pPr>
              <w:spacing w:after="0" w:line="259" w:lineRule="auto"/>
            </w:pPr>
            <w:r>
              <w:rPr>
                <w:rFonts w:ascii="Calibri" w:hAnsi="Calibri"/>
                <w:color w:val="243B53"/>
                <w:sz w:val="17"/>
              </w:rPr>
              <w:t>CORS</w:t>
            </w:r>
          </w:p>
        </w:tc>
        <w:tc>
          <w:tcPr>
            <w:tcW w:type="dxa" w:w="3200"/>
            <w:shd w:fill="F8FAFC"/>
            <w:tcMar>
              <w:top w:w="80" w:type="dxa"/>
              <w:bottom w:w="80" w:type="dxa"/>
              <w:start w:w="120" w:type="dxa"/>
              <w:end w:w="120" w:type="dxa"/>
            </w:tcMar>
            <w:vAlign w:val="center"/>
          </w:tcPr>
          <w:p>
            <w:pPr>
              <w:spacing w:after="0" w:line="259" w:lineRule="auto"/>
            </w:pPr>
            <w:r>
              <w:rPr>
                <w:rFonts w:ascii="Calibri" w:hAnsi="Calibri"/>
                <w:color w:val="243B53"/>
                <w:sz w:val="17"/>
              </w:rPr>
              <w:t>Configured allowed origins and OPTIONS support</w:t>
            </w:r>
          </w:p>
        </w:tc>
        <w:tc>
          <w:tcPr>
            <w:tcW w:type="dxa" w:w="4260"/>
            <w:shd w:fill="F8FAFC"/>
            <w:tcMar>
              <w:top w:w="80" w:type="dxa"/>
              <w:bottom w:w="80" w:type="dxa"/>
              <w:start w:w="120" w:type="dxa"/>
              <w:end w:w="120" w:type="dxa"/>
            </w:tcMar>
            <w:vAlign w:val="center"/>
          </w:tcPr>
          <w:p>
            <w:pPr>
              <w:spacing w:after="0" w:line="259" w:lineRule="auto"/>
            </w:pPr>
            <w:r>
              <w:rPr>
                <w:rFonts w:ascii="Calibri" w:hAnsi="Calibri"/>
                <w:color w:val="243B53"/>
                <w:sz w:val="17"/>
              </w:rPr>
              <w:t>Browser cross-origin access is explicit rather than accidental.</w:t>
            </w:r>
          </w:p>
        </w:tc>
      </w:tr>
    </w:tbl>
    <w:p>
      <w:pPr>
        <w:spacing w:after="0"/>
      </w:pPr>
    </w:p>
    <w:p>
      <w:pPr>
        <w:pStyle w:val="Heading2"/>
      </w:pPr>
      <w:r>
        <w:t>Roles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bottom w:w="80" w:type="dxa"/>
              <w:start w:w="120" w:type="dxa"/>
              <w:end w:w="120" w:type="dxa"/>
            </w:tcMar>
            <w:vAlign w:val="center"/>
          </w:tcPr>
          <w:p>
            <w:r>
              <w:rPr>
                <w:rFonts w:ascii="Calibri" w:hAnsi="Calibri"/>
                <w:b/>
                <w:color w:val="102A43"/>
                <w:sz w:val="18"/>
              </w:rPr>
              <w:t>Role</w:t>
            </w:r>
          </w:p>
        </w:tc>
        <w:tc>
          <w:tcPr>
            <w:tcW w:type="dxa" w:w="7160"/>
            <w:shd w:fill="E8EEF5"/>
            <w:tcMar>
              <w:top w:w="80" w:type="dxa"/>
              <w:bottom w:w="80" w:type="dxa"/>
              <w:start w:w="120" w:type="dxa"/>
              <w:end w:w="120" w:type="dxa"/>
            </w:tcMar>
            <w:vAlign w:val="center"/>
          </w:tcPr>
          <w:p>
            <w:r>
              <w:rPr>
                <w:rFonts w:ascii="Calibri" w:hAnsi="Calibri"/>
                <w:b/>
                <w:color w:val="102A43"/>
                <w:sz w:val="18"/>
              </w:rPr>
              <w:t>Typical access</w:t>
            </w:r>
          </w:p>
        </w:tc>
      </w:tr>
      <w:tr>
        <w:tc>
          <w:tcPr>
            <w:tcW w:type="dxa" w:w="2200"/>
            <w:tcMar>
              <w:top w:w="80" w:type="dxa"/>
              <w:bottom w:w="80" w:type="dxa"/>
              <w:start w:w="120" w:type="dxa"/>
              <w:end w:w="120" w:type="dxa"/>
            </w:tcMar>
            <w:vAlign w:val="center"/>
          </w:tcPr>
          <w:p>
            <w:pPr>
              <w:spacing w:after="0" w:line="259" w:lineRule="auto"/>
            </w:pPr>
            <w:r>
              <w:rPr>
                <w:rFonts w:ascii="Calibri" w:hAnsi="Calibri"/>
                <w:color w:val="243B53"/>
                <w:sz w:val="17"/>
              </w:rPr>
              <w:t>REVIEWER</w:t>
            </w:r>
          </w:p>
        </w:tc>
        <w:tc>
          <w:tcPr>
            <w:tcW w:type="dxa" w:w="7160"/>
            <w:tcMar>
              <w:top w:w="80" w:type="dxa"/>
              <w:bottom w:w="80" w:type="dxa"/>
              <w:start w:w="120" w:type="dxa"/>
              <w:end w:w="120" w:type="dxa"/>
            </w:tcMar>
            <w:vAlign w:val="center"/>
          </w:tcPr>
          <w:p>
            <w:pPr>
              <w:spacing w:after="0" w:line="259" w:lineRule="auto"/>
            </w:pPr>
            <w:r>
              <w:rPr>
                <w:rFonts w:ascii="Calibri" w:hAnsi="Calibri"/>
                <w:color w:val="243B53"/>
                <w:sz w:val="17"/>
              </w:rPr>
              <w:t>Transaction checks, comparisons, case review, notes, false-positive decisions, STR generation, and manual cases.</w:t>
            </w:r>
          </w:p>
        </w:tc>
      </w:tr>
      <w:tr>
        <w:tc>
          <w:tcPr>
            <w:tcW w:type="dxa" w:w="2200"/>
            <w:shd w:fill="F8FAFC"/>
            <w:tcMar>
              <w:top w:w="80" w:type="dxa"/>
              <w:bottom w:w="80" w:type="dxa"/>
              <w:start w:w="120" w:type="dxa"/>
              <w:end w:w="120" w:type="dxa"/>
            </w:tcMar>
            <w:vAlign w:val="center"/>
          </w:tcPr>
          <w:p>
            <w:pPr>
              <w:spacing w:after="0" w:line="259" w:lineRule="auto"/>
            </w:pPr>
            <w:r>
              <w:rPr>
                <w:rFonts w:ascii="Calibri" w:hAnsi="Calibri"/>
                <w:color w:val="243B53"/>
                <w:sz w:val="17"/>
              </w:rPr>
              <w:t>ADMIN / AML_ADMIN</w:t>
            </w:r>
          </w:p>
        </w:tc>
        <w:tc>
          <w:tcPr>
            <w:tcW w:type="dxa" w:w="7160"/>
            <w:shd w:fill="F8FAFC"/>
            <w:tcMar>
              <w:top w:w="80" w:type="dxa"/>
              <w:bottom w:w="80" w:type="dxa"/>
              <w:start w:w="120" w:type="dxa"/>
              <w:end w:w="120" w:type="dxa"/>
            </w:tcMar>
            <w:vAlign w:val="center"/>
          </w:tcPr>
          <w:p>
            <w:pPr>
              <w:spacing w:after="0" w:line="259" w:lineRule="auto"/>
            </w:pPr>
            <w:r>
              <w:rPr>
                <w:rFonts w:ascii="Calibri" w:hAnsi="Calibri"/>
                <w:color w:val="243B53"/>
                <w:sz w:val="17"/>
              </w:rPr>
              <w:t>Reviewer access plus uploads, training, ML configuration, settings, risk policy, validation, promotion, and rollback.</w:t>
            </w:r>
          </w:p>
        </w:tc>
      </w:tr>
    </w:tbl>
    <w:p>
      <w:pPr>
        <w:spacing w:after="0"/>
      </w:pPr>
    </w:p>
    <w:p>
      <w:pPr>
        <w:pStyle w:val="Heading2"/>
      </w:pPr>
      <w:r>
        <w:t>Key code</w:t>
      </w:r>
    </w:p>
    <w:p>
      <w:pPr>
        <w:pStyle w:val="CodePath"/>
      </w:pPr>
      <w:r>
        <w:rPr>
          <w:rFonts w:ascii="Consolas" w:hAnsi="Consolas"/>
          <w:color w:val="1F4D78"/>
          <w:sz w:val="17"/>
        </w:rPr>
        <w:t>fraud-transaction-detector/src/main/java/com/ftd/fraud_transaction_detector/auth/security/SecurityConfig.java</w:t>
      </w:r>
    </w:p>
    <w:p>
      <w:pPr>
        <w:pStyle w:val="CodePath"/>
      </w:pPr>
      <w:r>
        <w:rPr>
          <w:rFonts w:ascii="Consolas" w:hAnsi="Consolas"/>
          <w:color w:val="1F4D78"/>
          <w:sz w:val="17"/>
        </w:rPr>
        <w:t>fraud-transaction-detector/src/main/java/com/ftd/fraud_transaction_detector/auth/security/JwtAuthenticationFilter.java</w:t>
      </w:r>
    </w:p>
    <w:p>
      <w:pPr>
        <w:pStyle w:val="CodePath"/>
      </w:pPr>
      <w:r>
        <w:rPr>
          <w:rFonts w:ascii="Consolas" w:hAnsi="Consolas"/>
          <w:color w:val="1F4D78"/>
          <w:sz w:val="17"/>
        </w:rPr>
        <w:t>fraud-transaction-detector/src/main/java/com/ftd/fraud_transaction_detector/auth/service/JwtService.java</w:t>
      </w:r>
    </w:p>
    <w:p>
      <w:pPr>
        <w:pStyle w:val="CodePath"/>
      </w:pPr>
      <w:r>
        <w:rPr>
          <w:rFonts w:ascii="Consolas" w:hAnsi="Consolas"/>
          <w:color w:val="1F4D78"/>
          <w:sz w:val="17"/>
        </w:rPr>
        <w:t>fraud-transaction-detector/src/main/java/com/ftd/fraud_transaction_detector/auth/service/AuthService.java</w:t>
      </w:r>
    </w:p>
    <w:p>
      <w:pPr>
        <w:pStyle w:val="CodePath"/>
      </w:pPr>
      <w:r>
        <w:rPr>
          <w:rFonts w:ascii="Consolas" w:hAnsi="Consolas"/>
          <w:color w:val="1F4D78"/>
          <w:sz w:val="17"/>
        </w:rPr>
        <w:t>fraud-transaction-detector/src/main/java/com/ftd/fraud_transaction_detector/auth/service/PasswordHashService.java</w:t>
      </w:r>
    </w:p>
    <w:p>
      <w:pPr>
        <w:pStyle w:val="CodePath"/>
      </w:pPr>
      <w:r>
        <w:rPr>
          <w:rFonts w:ascii="Consolas" w:hAnsi="Consolas"/>
          <w:color w:val="1F4D78"/>
          <w:sz w:val="17"/>
        </w:rPr>
        <w:t>fraud-transaction-ui/src/app/core/auth.guard.ts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DECEC"/>
            <w:tcMar>
              <w:top w:w="80" w:type="dxa"/>
              <w:bottom w:w="80" w:type="dxa"/>
              <w:start w:w="120" w:type="dxa"/>
              <w:end w:w="120" w:type="dxa"/>
            </w:tcMar>
            <w:vAlign w:val="center"/>
          </w:tcPr>
          <w:p>
            <w:pPr>
              <w:spacing w:after="0"/>
            </w:pPr>
            <w:r>
              <w:rPr>
                <w:rFonts w:ascii="Calibri" w:hAnsi="Calibri"/>
                <w:b/>
                <w:color w:val="B42318"/>
              </w:rPr>
              <w:t xml:space="preserve">Production hardening: </w:t>
            </w:r>
            <w:r>
              <w:rPr>
                <w:rFonts w:ascii="Calibri" w:hAnsi="Calibri"/>
                <w:color w:val="243B53"/>
              </w:rPr>
              <w:t>Local database credentials and any development JWT fallback must be replaced by environment variables or a secret manager. Never present a development default as production security.</w:t>
            </w:r>
          </w:p>
        </w:tc>
      </w:tr>
    </w:tbl>
    <w:p>
      <w:pPr>
        <w:spacing w:after="0"/>
      </w:pPr>
    </w:p>
    <w:p>
      <w:pPr>
        <w:pStyle w:val="Heading1"/>
      </w:pPr>
      <w:r>
        <w:t>4. Angular Pages and User Journeys</w:t>
      </w:r>
    </w:p>
    <w:tbl>
      <w:tblPr>
        <w:tblStyle w:val="TableGrid"/>
        <w:tblW w:type="dxa" w:w="9360"/>
        <w:jc w:val="left"/>
        <w:tblLayout w:type="fixed"/>
        <w:tblLook w:firstColumn="1" w:firstRow="1" w:lastColumn="0" w:lastRow="0" w:noHBand="0" w:noVBand="1" w:val="04A0"/>
        <w:tblInd w:w="120" w:type="dxa"/>
      </w:tblPr>
      <w:tblGrid>
        <w:gridCol w:w="1450"/>
        <w:gridCol w:w="3560"/>
        <w:gridCol w:w="1650"/>
        <w:gridCol w:w="2700"/>
      </w:tblGrid>
      <w:tr>
        <w:trPr>
          <w:tblHeader w:val="true"/>
        </w:trPr>
        <w:tc>
          <w:tcPr>
            <w:tcW w:type="dxa" w:w="1450"/>
            <w:shd w:fill="E8EEF5"/>
            <w:tcMar>
              <w:top w:w="80" w:type="dxa"/>
              <w:bottom w:w="80" w:type="dxa"/>
              <w:start w:w="120" w:type="dxa"/>
              <w:end w:w="120" w:type="dxa"/>
            </w:tcMar>
            <w:vAlign w:val="center"/>
          </w:tcPr>
          <w:p>
            <w:r>
              <w:rPr>
                <w:rFonts w:ascii="Calibri" w:hAnsi="Calibri"/>
                <w:b/>
                <w:color w:val="102A43"/>
                <w:sz w:val="18"/>
              </w:rPr>
              <w:t>Route</w:t>
            </w:r>
          </w:p>
        </w:tc>
        <w:tc>
          <w:tcPr>
            <w:tcW w:type="dxa" w:w="3560"/>
            <w:shd w:fill="E8EEF5"/>
            <w:tcMar>
              <w:top w:w="80" w:type="dxa"/>
              <w:bottom w:w="80" w:type="dxa"/>
              <w:start w:w="120" w:type="dxa"/>
              <w:end w:w="120" w:type="dxa"/>
            </w:tcMar>
            <w:vAlign w:val="center"/>
          </w:tcPr>
          <w:p>
            <w:r>
              <w:rPr>
                <w:rFonts w:ascii="Calibri" w:hAnsi="Calibri"/>
                <w:b/>
                <w:color w:val="102A43"/>
                <w:sz w:val="18"/>
              </w:rPr>
              <w:t>Purpose</w:t>
            </w:r>
          </w:p>
        </w:tc>
        <w:tc>
          <w:tcPr>
            <w:tcW w:type="dxa" w:w="1650"/>
            <w:shd w:fill="E8EEF5"/>
            <w:tcMar>
              <w:top w:w="80" w:type="dxa"/>
              <w:bottom w:w="80" w:type="dxa"/>
              <w:start w:w="120" w:type="dxa"/>
              <w:end w:w="120" w:type="dxa"/>
            </w:tcMar>
            <w:vAlign w:val="center"/>
          </w:tcPr>
          <w:p>
            <w:r>
              <w:rPr>
                <w:rFonts w:ascii="Calibri" w:hAnsi="Calibri"/>
                <w:b/>
                <w:color w:val="102A43"/>
                <w:sz w:val="18"/>
              </w:rPr>
              <w:t>Access</w:t>
            </w:r>
          </w:p>
        </w:tc>
        <w:tc>
          <w:tcPr>
            <w:tcW w:type="dxa" w:w="2700"/>
            <w:shd w:fill="E8EEF5"/>
            <w:tcMar>
              <w:top w:w="80" w:type="dxa"/>
              <w:bottom w:w="80" w:type="dxa"/>
              <w:start w:w="120" w:type="dxa"/>
              <w:end w:w="120" w:type="dxa"/>
            </w:tcMar>
            <w:vAlign w:val="center"/>
          </w:tcPr>
          <w:p>
            <w:r>
              <w:rPr>
                <w:rFonts w:ascii="Calibri" w:hAnsi="Calibri"/>
                <w:b/>
                <w:color w:val="102A43"/>
                <w:sz w:val="18"/>
              </w:rPr>
              <w:t>Main component</w:t>
            </w:r>
          </w:p>
        </w:tc>
      </w:tr>
      <w:tr>
        <w:tc>
          <w:tcPr>
            <w:tcW w:type="dxa" w:w="1450"/>
            <w:tcMar>
              <w:top w:w="80" w:type="dxa"/>
              <w:bottom w:w="80" w:type="dxa"/>
              <w:start w:w="120" w:type="dxa"/>
              <w:end w:w="120" w:type="dxa"/>
            </w:tcMar>
            <w:vAlign w:val="center"/>
          </w:tcPr>
          <w:p>
            <w:pPr>
              <w:spacing w:after="0" w:line="259" w:lineRule="auto"/>
            </w:pPr>
            <w:r>
              <w:rPr>
                <w:rFonts w:ascii="Calibri" w:hAnsi="Calibri"/>
                <w:color w:val="243B53"/>
                <w:sz w:val="16"/>
              </w:rPr>
              <w:t>/login</w:t>
            </w:r>
          </w:p>
        </w:tc>
        <w:tc>
          <w:tcPr>
            <w:tcW w:type="dxa" w:w="3560"/>
            <w:tcMar>
              <w:top w:w="80" w:type="dxa"/>
              <w:bottom w:w="80" w:type="dxa"/>
              <w:start w:w="120" w:type="dxa"/>
              <w:end w:w="120" w:type="dxa"/>
            </w:tcMar>
            <w:vAlign w:val="center"/>
          </w:tcPr>
          <w:p>
            <w:pPr>
              <w:spacing w:after="0" w:line="259" w:lineRule="auto"/>
            </w:pPr>
            <w:r>
              <w:rPr>
                <w:rFonts w:ascii="Calibri" w:hAnsi="Calibri"/>
                <w:color w:val="243B53"/>
                <w:sz w:val="16"/>
              </w:rPr>
              <w:t>Simple sign-in page.</w:t>
            </w:r>
          </w:p>
        </w:tc>
        <w:tc>
          <w:tcPr>
            <w:tcW w:type="dxa" w:w="1650"/>
            <w:tcMar>
              <w:top w:w="80" w:type="dxa"/>
              <w:bottom w:w="80" w:type="dxa"/>
              <w:start w:w="120" w:type="dxa"/>
              <w:end w:w="120" w:type="dxa"/>
            </w:tcMar>
            <w:vAlign w:val="center"/>
          </w:tcPr>
          <w:p>
            <w:pPr>
              <w:spacing w:after="0" w:line="259" w:lineRule="auto"/>
            </w:pPr>
            <w:r>
              <w:rPr>
                <w:rFonts w:ascii="Calibri" w:hAnsi="Calibri"/>
                <w:color w:val="243B53"/>
                <w:sz w:val="16"/>
              </w:rPr>
              <w:t>Public</w:t>
            </w:r>
          </w:p>
        </w:tc>
        <w:tc>
          <w:tcPr>
            <w:tcW w:type="dxa" w:w="2700"/>
            <w:tcMar>
              <w:top w:w="80" w:type="dxa"/>
              <w:bottom w:w="80" w:type="dxa"/>
              <w:start w:w="120" w:type="dxa"/>
              <w:end w:w="120" w:type="dxa"/>
            </w:tcMar>
            <w:vAlign w:val="center"/>
          </w:tcPr>
          <w:p>
            <w:pPr>
              <w:spacing w:after="0" w:line="259" w:lineRule="auto"/>
            </w:pPr>
            <w:r>
              <w:rPr>
                <w:rFonts w:ascii="Calibri" w:hAnsi="Calibri"/>
                <w:color w:val="243B53"/>
                <w:sz w:val="16"/>
              </w:rPr>
              <w:t>login-page.component</w:t>
            </w:r>
          </w:p>
        </w:tc>
      </w:tr>
      <w:tr>
        <w:tc>
          <w:tcPr>
            <w:tcW w:type="dxa" w:w="1450"/>
            <w:shd w:fill="F8FAFC"/>
            <w:tcMar>
              <w:top w:w="80" w:type="dxa"/>
              <w:bottom w:w="80" w:type="dxa"/>
              <w:start w:w="120" w:type="dxa"/>
              <w:end w:w="120" w:type="dxa"/>
            </w:tcMar>
            <w:vAlign w:val="center"/>
          </w:tcPr>
          <w:p>
            <w:pPr>
              <w:spacing w:after="0" w:line="259" w:lineRule="auto"/>
            </w:pPr>
            <w:r>
              <w:rPr>
                <w:rFonts w:ascii="Calibri" w:hAnsi="Calibri"/>
                <w:color w:val="243B53"/>
                <w:sz w:val="16"/>
              </w:rPr>
              <w:t>/register</w:t>
            </w:r>
          </w:p>
        </w:tc>
        <w:tc>
          <w:tcPr>
            <w:tcW w:type="dxa" w:w="3560"/>
            <w:shd w:fill="F8FAFC"/>
            <w:tcMar>
              <w:top w:w="80" w:type="dxa"/>
              <w:bottom w:w="80" w:type="dxa"/>
              <w:start w:w="120" w:type="dxa"/>
              <w:end w:w="120" w:type="dxa"/>
            </w:tcMar>
            <w:vAlign w:val="center"/>
          </w:tcPr>
          <w:p>
            <w:pPr>
              <w:spacing w:after="0" w:line="259" w:lineRule="auto"/>
            </w:pPr>
            <w:r>
              <w:rPr>
                <w:rFonts w:ascii="Calibri" w:hAnsi="Calibri"/>
                <w:color w:val="243B53"/>
                <w:sz w:val="16"/>
              </w:rPr>
              <w:t>Create a REVIEWER account.</w:t>
            </w:r>
          </w:p>
        </w:tc>
        <w:tc>
          <w:tcPr>
            <w:tcW w:type="dxa" w:w="1650"/>
            <w:shd w:fill="F8FAFC"/>
            <w:tcMar>
              <w:top w:w="80" w:type="dxa"/>
              <w:bottom w:w="80" w:type="dxa"/>
              <w:start w:w="120" w:type="dxa"/>
              <w:end w:w="120" w:type="dxa"/>
            </w:tcMar>
            <w:vAlign w:val="center"/>
          </w:tcPr>
          <w:p>
            <w:pPr>
              <w:spacing w:after="0" w:line="259" w:lineRule="auto"/>
            </w:pPr>
            <w:r>
              <w:rPr>
                <w:rFonts w:ascii="Calibri" w:hAnsi="Calibri"/>
                <w:color w:val="243B53"/>
                <w:sz w:val="16"/>
              </w:rPr>
              <w:t>Public</w:t>
            </w:r>
          </w:p>
        </w:tc>
        <w:tc>
          <w:tcPr>
            <w:tcW w:type="dxa" w:w="2700"/>
            <w:shd w:fill="F8FAFC"/>
            <w:tcMar>
              <w:top w:w="80" w:type="dxa"/>
              <w:bottom w:w="80" w:type="dxa"/>
              <w:start w:w="120" w:type="dxa"/>
              <w:end w:w="120" w:type="dxa"/>
            </w:tcMar>
            <w:vAlign w:val="center"/>
          </w:tcPr>
          <w:p>
            <w:pPr>
              <w:spacing w:after="0" w:line="259" w:lineRule="auto"/>
            </w:pPr>
            <w:r>
              <w:rPr>
                <w:rFonts w:ascii="Calibri" w:hAnsi="Calibri"/>
                <w:color w:val="243B53"/>
                <w:sz w:val="16"/>
              </w:rPr>
              <w:t>register-page.component</w:t>
            </w:r>
          </w:p>
        </w:tc>
      </w:tr>
      <w:tr>
        <w:tc>
          <w:tcPr>
            <w:tcW w:type="dxa" w:w="1450"/>
            <w:tcMar>
              <w:top w:w="80" w:type="dxa"/>
              <w:bottom w:w="80" w:type="dxa"/>
              <w:start w:w="120" w:type="dxa"/>
              <w:end w:w="120" w:type="dxa"/>
            </w:tcMar>
            <w:vAlign w:val="center"/>
          </w:tcPr>
          <w:p>
            <w:pPr>
              <w:spacing w:after="0" w:line="259" w:lineRule="auto"/>
            </w:pPr>
            <w:r>
              <w:rPr>
                <w:rFonts w:ascii="Calibri" w:hAnsi="Calibri"/>
                <w:color w:val="243B53"/>
                <w:sz w:val="16"/>
              </w:rPr>
              <w:t>/uploads</w:t>
            </w:r>
          </w:p>
        </w:tc>
        <w:tc>
          <w:tcPr>
            <w:tcW w:type="dxa" w:w="3560"/>
            <w:tcMar>
              <w:top w:w="80" w:type="dxa"/>
              <w:bottom w:w="80" w:type="dxa"/>
              <w:start w:w="120" w:type="dxa"/>
              <w:end w:w="120" w:type="dxa"/>
            </w:tcMar>
            <w:vAlign w:val="center"/>
          </w:tcPr>
          <w:p>
            <w:pPr>
              <w:spacing w:after="0" w:line="259" w:lineRule="auto"/>
            </w:pPr>
            <w:r>
              <w:rPr>
                <w:rFonts w:ascii="Calibri" w:hAnsi="Calibri"/>
                <w:color w:val="243B53"/>
                <w:sz w:val="16"/>
              </w:rPr>
              <w:t>Upload CSV/Excel transactions; required label guidance changes with system mode.</w:t>
            </w:r>
          </w:p>
        </w:tc>
        <w:tc>
          <w:tcPr>
            <w:tcW w:type="dxa" w:w="1650"/>
            <w:tcMar>
              <w:top w:w="80" w:type="dxa"/>
              <w:bottom w:w="80" w:type="dxa"/>
              <w:start w:w="120" w:type="dxa"/>
              <w:end w:w="120" w:type="dxa"/>
            </w:tcMar>
            <w:vAlign w:val="center"/>
          </w:tcPr>
          <w:p>
            <w:pPr>
              <w:spacing w:after="0" w:line="259" w:lineRule="auto"/>
            </w:pPr>
            <w:r>
              <w:rPr>
                <w:rFonts w:ascii="Calibri" w:hAnsi="Calibri"/>
                <w:color w:val="243B53"/>
                <w:sz w:val="16"/>
              </w:rPr>
              <w:t>Authenticated; upload API admin</w:t>
            </w:r>
          </w:p>
        </w:tc>
        <w:tc>
          <w:tcPr>
            <w:tcW w:type="dxa" w:w="2700"/>
            <w:tcMar>
              <w:top w:w="80" w:type="dxa"/>
              <w:bottom w:w="80" w:type="dxa"/>
              <w:start w:w="120" w:type="dxa"/>
              <w:end w:w="120" w:type="dxa"/>
            </w:tcMar>
            <w:vAlign w:val="center"/>
          </w:tcPr>
          <w:p>
            <w:pPr>
              <w:spacing w:after="0" w:line="259" w:lineRule="auto"/>
            </w:pPr>
            <w:r>
              <w:rPr>
                <w:rFonts w:ascii="Calibri" w:hAnsi="Calibri"/>
                <w:color w:val="243B53"/>
                <w:sz w:val="16"/>
              </w:rPr>
              <w:t>upload-page.component</w:t>
            </w:r>
          </w:p>
        </w:tc>
      </w:tr>
      <w:tr>
        <w:tc>
          <w:tcPr>
            <w:tcW w:type="dxa" w:w="1450"/>
            <w:shd w:fill="F8FAFC"/>
            <w:tcMar>
              <w:top w:w="80" w:type="dxa"/>
              <w:bottom w:w="80" w:type="dxa"/>
              <w:start w:w="120" w:type="dxa"/>
              <w:end w:w="120" w:type="dxa"/>
            </w:tcMar>
            <w:vAlign w:val="center"/>
          </w:tcPr>
          <w:p>
            <w:pPr>
              <w:spacing w:after="0" w:line="259" w:lineRule="auto"/>
            </w:pPr>
            <w:r>
              <w:rPr>
                <w:rFonts w:ascii="Calibri" w:hAnsi="Calibri"/>
                <w:color w:val="243B53"/>
                <w:sz w:val="16"/>
              </w:rPr>
              <w:t>/datasets</w:t>
            </w:r>
          </w:p>
        </w:tc>
        <w:tc>
          <w:tcPr>
            <w:tcW w:type="dxa" w:w="3560"/>
            <w:shd w:fill="F8FAFC"/>
            <w:tcMar>
              <w:top w:w="80" w:type="dxa"/>
              <w:bottom w:w="80" w:type="dxa"/>
              <w:start w:w="120" w:type="dxa"/>
              <w:end w:w="120" w:type="dxa"/>
            </w:tcMar>
            <w:vAlign w:val="center"/>
          </w:tcPr>
          <w:p>
            <w:pPr>
              <w:spacing w:after="0" w:line="259" w:lineRule="auto"/>
            </w:pPr>
            <w:r>
              <w:rPr>
                <w:rFonts w:ascii="Calibri" w:hAnsi="Calibri"/>
                <w:color w:val="243B53"/>
                <w:sz w:val="16"/>
              </w:rPr>
              <w:t>Unsupervised comparison, agreement, and 10/25/50/100 growth analysis.</w:t>
            </w:r>
          </w:p>
        </w:tc>
        <w:tc>
          <w:tcPr>
            <w:tcW w:type="dxa" w:w="1650"/>
            <w:shd w:fill="F8FAFC"/>
            <w:tcMar>
              <w:top w:w="80" w:type="dxa"/>
              <w:bottom w:w="80" w:type="dxa"/>
              <w:start w:w="120" w:type="dxa"/>
              <w:end w:w="120" w:type="dxa"/>
            </w:tcMar>
            <w:vAlign w:val="center"/>
          </w:tcPr>
          <w:p>
            <w:pPr>
              <w:spacing w:after="0" w:line="259" w:lineRule="auto"/>
            </w:pPr>
            <w:r>
              <w:rPr>
                <w:rFonts w:ascii="Calibri" w:hAnsi="Calibri"/>
                <w:color w:val="243B53"/>
                <w:sz w:val="16"/>
              </w:rPr>
              <w:t>Authenticated</w:t>
            </w:r>
          </w:p>
        </w:tc>
        <w:tc>
          <w:tcPr>
            <w:tcW w:type="dxa" w:w="2700"/>
            <w:shd w:fill="F8FAFC"/>
            <w:tcMar>
              <w:top w:w="80" w:type="dxa"/>
              <w:bottom w:w="80" w:type="dxa"/>
              <w:start w:w="120" w:type="dxa"/>
              <w:end w:w="120" w:type="dxa"/>
            </w:tcMar>
            <w:vAlign w:val="center"/>
          </w:tcPr>
          <w:p>
            <w:pPr>
              <w:spacing w:after="0" w:line="259" w:lineRule="auto"/>
            </w:pPr>
            <w:r>
              <w:rPr>
                <w:rFonts w:ascii="Calibri" w:hAnsi="Calibri"/>
                <w:color w:val="243B53"/>
                <w:sz w:val="16"/>
              </w:rPr>
              <w:t>datasets-page.component</w:t>
            </w:r>
          </w:p>
        </w:tc>
      </w:tr>
      <w:tr>
        <w:tc>
          <w:tcPr>
            <w:tcW w:type="dxa" w:w="1450"/>
            <w:tcMar>
              <w:top w:w="80" w:type="dxa"/>
              <w:bottom w:w="80" w:type="dxa"/>
              <w:start w:w="120" w:type="dxa"/>
              <w:end w:w="120" w:type="dxa"/>
            </w:tcMar>
            <w:vAlign w:val="center"/>
          </w:tcPr>
          <w:p>
            <w:pPr>
              <w:spacing w:after="0" w:line="259" w:lineRule="auto"/>
            </w:pPr>
            <w:r>
              <w:rPr>
                <w:rFonts w:ascii="Calibri" w:hAnsi="Calibri"/>
                <w:color w:val="243B53"/>
                <w:sz w:val="16"/>
              </w:rPr>
              <w:t>/supervised-comparison</w:t>
            </w:r>
          </w:p>
        </w:tc>
        <w:tc>
          <w:tcPr>
            <w:tcW w:type="dxa" w:w="3560"/>
            <w:tcMar>
              <w:top w:w="80" w:type="dxa"/>
              <w:bottom w:w="80" w:type="dxa"/>
              <w:start w:w="120" w:type="dxa"/>
              <w:end w:w="120" w:type="dxa"/>
            </w:tcMar>
            <w:vAlign w:val="center"/>
          </w:tcPr>
          <w:p>
            <w:pPr>
              <w:spacing w:after="0" w:line="259" w:lineRule="auto"/>
            </w:pPr>
            <w:r>
              <w:rPr>
                <w:rFonts w:ascii="Calibri" w:hAnsi="Calibri"/>
                <w:color w:val="243B53"/>
                <w:sz w:val="16"/>
              </w:rPr>
              <w:t>Supervised model, fusion, confusion-matrix, and full risk-policy performance.</w:t>
            </w:r>
          </w:p>
        </w:tc>
        <w:tc>
          <w:tcPr>
            <w:tcW w:type="dxa" w:w="1650"/>
            <w:tcMar>
              <w:top w:w="80" w:type="dxa"/>
              <w:bottom w:w="80" w:type="dxa"/>
              <w:start w:w="120" w:type="dxa"/>
              <w:end w:w="120" w:type="dxa"/>
            </w:tcMar>
            <w:vAlign w:val="center"/>
          </w:tcPr>
          <w:p>
            <w:pPr>
              <w:spacing w:after="0" w:line="259" w:lineRule="auto"/>
            </w:pPr>
            <w:r>
              <w:rPr>
                <w:rFonts w:ascii="Calibri" w:hAnsi="Calibri"/>
                <w:color w:val="243B53"/>
                <w:sz w:val="16"/>
              </w:rPr>
              <w:t>Authenticated</w:t>
            </w:r>
          </w:p>
        </w:tc>
        <w:tc>
          <w:tcPr>
            <w:tcW w:type="dxa" w:w="2700"/>
            <w:tcMar>
              <w:top w:w="80" w:type="dxa"/>
              <w:bottom w:w="80" w:type="dxa"/>
              <w:start w:w="120" w:type="dxa"/>
              <w:end w:w="120" w:type="dxa"/>
            </w:tcMar>
            <w:vAlign w:val="center"/>
          </w:tcPr>
          <w:p>
            <w:pPr>
              <w:spacing w:after="0" w:line="259" w:lineRule="auto"/>
            </w:pPr>
            <w:r>
              <w:rPr>
                <w:rFonts w:ascii="Calibri" w:hAnsi="Calibri"/>
                <w:color w:val="243B53"/>
                <w:sz w:val="16"/>
              </w:rPr>
              <w:t>supervised-comparison-page.component</w:t>
            </w:r>
          </w:p>
        </w:tc>
      </w:tr>
      <w:tr>
        <w:tc>
          <w:tcPr>
            <w:tcW w:type="dxa" w:w="1450"/>
            <w:shd w:fill="F8FAFC"/>
            <w:tcMar>
              <w:top w:w="80" w:type="dxa"/>
              <w:bottom w:w="80" w:type="dxa"/>
              <w:start w:w="120" w:type="dxa"/>
              <w:end w:w="120" w:type="dxa"/>
            </w:tcMar>
            <w:vAlign w:val="center"/>
          </w:tcPr>
          <w:p>
            <w:pPr>
              <w:spacing w:after="0" w:line="259" w:lineRule="auto"/>
            </w:pPr>
            <w:r>
              <w:rPr>
                <w:rFonts w:ascii="Calibri" w:hAnsi="Calibri"/>
                <w:color w:val="243B53"/>
                <w:sz w:val="16"/>
              </w:rPr>
              <w:t>/training-operations</w:t>
            </w:r>
          </w:p>
        </w:tc>
        <w:tc>
          <w:tcPr>
            <w:tcW w:type="dxa" w:w="3560"/>
            <w:shd w:fill="F8FAFC"/>
            <w:tcMar>
              <w:top w:w="80" w:type="dxa"/>
              <w:bottom w:w="80" w:type="dxa"/>
              <w:start w:w="120" w:type="dxa"/>
              <w:end w:w="120" w:type="dxa"/>
            </w:tcMar>
            <w:vAlign w:val="center"/>
          </w:tcPr>
          <w:p>
            <w:pPr>
              <w:spacing w:after="0" w:line="259" w:lineRule="auto"/>
            </w:pPr>
            <w:r>
              <w:rPr>
                <w:rFonts w:ascii="Calibri" w:hAnsi="Calibri"/>
                <w:color w:val="243B53"/>
                <w:sz w:val="16"/>
              </w:rPr>
              <w:t>Close dates, create immutable runs, export data, choose configured models, and train candidates.</w:t>
            </w:r>
          </w:p>
        </w:tc>
        <w:tc>
          <w:tcPr>
            <w:tcW w:type="dxa" w:w="1650"/>
            <w:shd w:fill="F8FAFC"/>
            <w:tcMar>
              <w:top w:w="80" w:type="dxa"/>
              <w:bottom w:w="80" w:type="dxa"/>
              <w:start w:w="120" w:type="dxa"/>
              <w:end w:w="120" w:type="dxa"/>
            </w:tcMar>
            <w:vAlign w:val="center"/>
          </w:tcPr>
          <w:p>
            <w:pPr>
              <w:spacing w:after="0" w:line="259" w:lineRule="auto"/>
            </w:pPr>
            <w:r>
              <w:rPr>
                <w:rFonts w:ascii="Calibri" w:hAnsi="Calibri"/>
                <w:color w:val="243B53"/>
                <w:sz w:val="16"/>
              </w:rPr>
              <w:t>Admin</w:t>
            </w:r>
          </w:p>
        </w:tc>
        <w:tc>
          <w:tcPr>
            <w:tcW w:type="dxa" w:w="2700"/>
            <w:shd w:fill="F8FAFC"/>
            <w:tcMar>
              <w:top w:w="80" w:type="dxa"/>
              <w:bottom w:w="80" w:type="dxa"/>
              <w:start w:w="120" w:type="dxa"/>
              <w:end w:w="120" w:type="dxa"/>
            </w:tcMar>
            <w:vAlign w:val="center"/>
          </w:tcPr>
          <w:p>
            <w:pPr>
              <w:spacing w:after="0" w:line="259" w:lineRule="auto"/>
            </w:pPr>
            <w:r>
              <w:rPr>
                <w:rFonts w:ascii="Calibri" w:hAnsi="Calibri"/>
                <w:color w:val="243B53"/>
                <w:sz w:val="16"/>
              </w:rPr>
              <w:t>training-operations-page.component</w:t>
            </w:r>
          </w:p>
        </w:tc>
      </w:tr>
      <w:tr>
        <w:tc>
          <w:tcPr>
            <w:tcW w:type="dxa" w:w="1450"/>
            <w:tcMar>
              <w:top w:w="80" w:type="dxa"/>
              <w:bottom w:w="80" w:type="dxa"/>
              <w:start w:w="120" w:type="dxa"/>
              <w:end w:w="120" w:type="dxa"/>
            </w:tcMar>
            <w:vAlign w:val="center"/>
          </w:tcPr>
          <w:p>
            <w:pPr>
              <w:spacing w:after="0" w:line="259" w:lineRule="auto"/>
            </w:pPr>
            <w:r>
              <w:rPr>
                <w:rFonts w:ascii="Calibri" w:hAnsi="Calibri"/>
                <w:color w:val="243B53"/>
                <w:sz w:val="16"/>
              </w:rPr>
              <w:t>/model-tuning</w:t>
            </w:r>
          </w:p>
        </w:tc>
        <w:tc>
          <w:tcPr>
            <w:tcW w:type="dxa" w:w="3560"/>
            <w:tcMar>
              <w:top w:w="80" w:type="dxa"/>
              <w:bottom w:w="80" w:type="dxa"/>
              <w:start w:w="120" w:type="dxa"/>
              <w:end w:w="120" w:type="dxa"/>
            </w:tcMar>
            <w:vAlign w:val="center"/>
          </w:tcPr>
          <w:p>
            <w:pPr>
              <w:spacing w:after="0" w:line="259" w:lineRule="auto"/>
            </w:pPr>
            <w:r>
              <w:rPr>
                <w:rFonts w:ascii="Calibri" w:hAnsi="Calibri"/>
                <w:color w:val="243B53"/>
                <w:sz w:val="16"/>
              </w:rPr>
              <w:t>Edit controls for the active supervised or unsupervised model family.</w:t>
            </w:r>
          </w:p>
        </w:tc>
        <w:tc>
          <w:tcPr>
            <w:tcW w:type="dxa" w:w="1650"/>
            <w:tcMar>
              <w:top w:w="80" w:type="dxa"/>
              <w:bottom w:w="80" w:type="dxa"/>
              <w:start w:w="120" w:type="dxa"/>
              <w:end w:w="120" w:type="dxa"/>
            </w:tcMar>
            <w:vAlign w:val="center"/>
          </w:tcPr>
          <w:p>
            <w:pPr>
              <w:spacing w:after="0" w:line="259" w:lineRule="auto"/>
            </w:pPr>
            <w:r>
              <w:rPr>
                <w:rFonts w:ascii="Calibri" w:hAnsi="Calibri"/>
                <w:color w:val="243B53"/>
                <w:sz w:val="16"/>
              </w:rPr>
              <w:t>Admin</w:t>
            </w:r>
          </w:p>
        </w:tc>
        <w:tc>
          <w:tcPr>
            <w:tcW w:type="dxa" w:w="2700"/>
            <w:tcMar>
              <w:top w:w="80" w:type="dxa"/>
              <w:bottom w:w="80" w:type="dxa"/>
              <w:start w:w="120" w:type="dxa"/>
              <w:end w:w="120" w:type="dxa"/>
            </w:tcMar>
            <w:vAlign w:val="center"/>
          </w:tcPr>
          <w:p>
            <w:pPr>
              <w:spacing w:after="0" w:line="259" w:lineRule="auto"/>
            </w:pPr>
            <w:r>
              <w:rPr>
                <w:rFonts w:ascii="Calibri" w:hAnsi="Calibri"/>
                <w:color w:val="243B53"/>
                <w:sz w:val="16"/>
              </w:rPr>
              <w:t>model-tuning-page.component</w:t>
            </w:r>
          </w:p>
        </w:tc>
      </w:tr>
      <w:tr>
        <w:tc>
          <w:tcPr>
            <w:tcW w:type="dxa" w:w="1450"/>
            <w:shd w:fill="F8FAFC"/>
            <w:tcMar>
              <w:top w:w="80" w:type="dxa"/>
              <w:bottom w:w="80" w:type="dxa"/>
              <w:start w:w="120" w:type="dxa"/>
              <w:end w:w="120" w:type="dxa"/>
            </w:tcMar>
            <w:vAlign w:val="center"/>
          </w:tcPr>
          <w:p>
            <w:pPr>
              <w:spacing w:after="0" w:line="259" w:lineRule="auto"/>
            </w:pPr>
            <w:r>
              <w:rPr>
                <w:rFonts w:ascii="Calibri" w:hAnsi="Calibri"/>
                <w:color w:val="243B53"/>
                <w:sz w:val="16"/>
              </w:rPr>
              <w:t>/config</w:t>
            </w:r>
          </w:p>
        </w:tc>
        <w:tc>
          <w:tcPr>
            <w:tcW w:type="dxa" w:w="3560"/>
            <w:shd w:fill="F8FAFC"/>
            <w:tcMar>
              <w:top w:w="80" w:type="dxa"/>
              <w:bottom w:w="80" w:type="dxa"/>
              <w:start w:w="120" w:type="dxa"/>
              <w:end w:w="120" w:type="dxa"/>
            </w:tcMar>
            <w:vAlign w:val="center"/>
          </w:tcPr>
          <w:p>
            <w:pPr>
              <w:spacing w:after="0" w:line="259" w:lineRule="auto"/>
            </w:pPr>
            <w:r>
              <w:rPr>
                <w:rFonts w:ascii="Calibri" w:hAnsi="Calibri"/>
                <w:color w:val="243B53"/>
                <w:sz w:val="16"/>
              </w:rPr>
              <w:t>Edit four-layer risk weights, thresholds, and production ML composition.</w:t>
            </w:r>
          </w:p>
        </w:tc>
        <w:tc>
          <w:tcPr>
            <w:tcW w:type="dxa" w:w="1650"/>
            <w:shd w:fill="F8FAFC"/>
            <w:tcMar>
              <w:top w:w="80" w:type="dxa"/>
              <w:bottom w:w="80" w:type="dxa"/>
              <w:start w:w="120" w:type="dxa"/>
              <w:end w:w="120" w:type="dxa"/>
            </w:tcMar>
            <w:vAlign w:val="center"/>
          </w:tcPr>
          <w:p>
            <w:pPr>
              <w:spacing w:after="0" w:line="259" w:lineRule="auto"/>
            </w:pPr>
            <w:r>
              <w:rPr>
                <w:rFonts w:ascii="Calibri" w:hAnsi="Calibri"/>
                <w:color w:val="243B53"/>
                <w:sz w:val="16"/>
              </w:rPr>
              <w:t>Admin</w:t>
            </w:r>
          </w:p>
        </w:tc>
        <w:tc>
          <w:tcPr>
            <w:tcW w:type="dxa" w:w="2700"/>
            <w:shd w:fill="F8FAFC"/>
            <w:tcMar>
              <w:top w:w="80" w:type="dxa"/>
              <w:bottom w:w="80" w:type="dxa"/>
              <w:start w:w="120" w:type="dxa"/>
              <w:end w:w="120" w:type="dxa"/>
            </w:tcMar>
            <w:vAlign w:val="center"/>
          </w:tcPr>
          <w:p>
            <w:pPr>
              <w:spacing w:after="0" w:line="259" w:lineRule="auto"/>
            </w:pPr>
            <w:r>
              <w:rPr>
                <w:rFonts w:ascii="Calibri" w:hAnsi="Calibri"/>
                <w:color w:val="243B53"/>
                <w:sz w:val="16"/>
              </w:rPr>
              <w:t>anomaly-config-page.component</w:t>
            </w:r>
          </w:p>
        </w:tc>
      </w:tr>
      <w:tr>
        <w:tc>
          <w:tcPr>
            <w:tcW w:type="dxa" w:w="1450"/>
            <w:tcMar>
              <w:top w:w="80" w:type="dxa"/>
              <w:bottom w:w="80" w:type="dxa"/>
              <w:start w:w="120" w:type="dxa"/>
              <w:end w:w="120" w:type="dxa"/>
            </w:tcMar>
            <w:vAlign w:val="center"/>
          </w:tcPr>
          <w:p>
            <w:pPr>
              <w:spacing w:after="0" w:line="259" w:lineRule="auto"/>
            </w:pPr>
            <w:r>
              <w:rPr>
                <w:rFonts w:ascii="Calibri" w:hAnsi="Calibri"/>
                <w:color w:val="243B53"/>
                <w:sz w:val="16"/>
              </w:rPr>
              <w:t>/settings</w:t>
            </w:r>
          </w:p>
        </w:tc>
        <w:tc>
          <w:tcPr>
            <w:tcW w:type="dxa" w:w="3560"/>
            <w:tcMar>
              <w:top w:w="80" w:type="dxa"/>
              <w:bottom w:w="80" w:type="dxa"/>
              <w:start w:w="120" w:type="dxa"/>
              <w:end w:w="120" w:type="dxa"/>
            </w:tcMar>
            <w:vAlign w:val="center"/>
          </w:tcPr>
          <w:p>
            <w:pPr>
              <w:spacing w:after="0" w:line="259" w:lineRule="auto"/>
            </w:pPr>
            <w:r>
              <w:rPr>
                <w:rFonts w:ascii="Calibri" w:hAnsi="Calibri"/>
                <w:color w:val="243B53"/>
                <w:sz w:val="16"/>
              </w:rPr>
              <w:t>Select global learning mode and configure cold-start behavior.</w:t>
            </w:r>
          </w:p>
        </w:tc>
        <w:tc>
          <w:tcPr>
            <w:tcW w:type="dxa" w:w="1650"/>
            <w:tcMar>
              <w:top w:w="80" w:type="dxa"/>
              <w:bottom w:w="80" w:type="dxa"/>
              <w:start w:w="120" w:type="dxa"/>
              <w:end w:w="120" w:type="dxa"/>
            </w:tcMar>
            <w:vAlign w:val="center"/>
          </w:tcPr>
          <w:p>
            <w:pPr>
              <w:spacing w:after="0" w:line="259" w:lineRule="auto"/>
            </w:pPr>
            <w:r>
              <w:rPr>
                <w:rFonts w:ascii="Calibri" w:hAnsi="Calibri"/>
                <w:color w:val="243B53"/>
                <w:sz w:val="16"/>
              </w:rPr>
              <w:t>Admin</w:t>
            </w:r>
          </w:p>
        </w:tc>
        <w:tc>
          <w:tcPr>
            <w:tcW w:type="dxa" w:w="2700"/>
            <w:tcMar>
              <w:top w:w="80" w:type="dxa"/>
              <w:bottom w:w="80" w:type="dxa"/>
              <w:start w:w="120" w:type="dxa"/>
              <w:end w:w="120" w:type="dxa"/>
            </w:tcMar>
            <w:vAlign w:val="center"/>
          </w:tcPr>
          <w:p>
            <w:pPr>
              <w:spacing w:after="0" w:line="259" w:lineRule="auto"/>
            </w:pPr>
            <w:r>
              <w:rPr>
                <w:rFonts w:ascii="Calibri" w:hAnsi="Calibri"/>
                <w:color w:val="243B53"/>
                <w:sz w:val="16"/>
              </w:rPr>
              <w:t>cold-start-config-page.component</w:t>
            </w:r>
          </w:p>
        </w:tc>
      </w:tr>
      <w:tr>
        <w:tc>
          <w:tcPr>
            <w:tcW w:type="dxa" w:w="1450"/>
            <w:shd w:fill="F8FAFC"/>
            <w:tcMar>
              <w:top w:w="80" w:type="dxa"/>
              <w:bottom w:w="80" w:type="dxa"/>
              <w:start w:w="120" w:type="dxa"/>
              <w:end w:w="120" w:type="dxa"/>
            </w:tcMar>
            <w:vAlign w:val="center"/>
          </w:tcPr>
          <w:p>
            <w:pPr>
              <w:spacing w:after="0" w:line="259" w:lineRule="auto"/>
            </w:pPr>
            <w:r>
              <w:rPr>
                <w:rFonts w:ascii="Calibri" w:hAnsi="Calibri"/>
                <w:color w:val="243B53"/>
                <w:sz w:val="16"/>
              </w:rPr>
              <w:t>/transaction-check</w:t>
            </w:r>
          </w:p>
        </w:tc>
        <w:tc>
          <w:tcPr>
            <w:tcW w:type="dxa" w:w="3560"/>
            <w:shd w:fill="F8FAFC"/>
            <w:tcMar>
              <w:top w:w="80" w:type="dxa"/>
              <w:bottom w:w="80" w:type="dxa"/>
              <w:start w:w="120" w:type="dxa"/>
              <w:end w:w="120" w:type="dxa"/>
            </w:tcMar>
            <w:vAlign w:val="center"/>
          </w:tcPr>
          <w:p>
            <w:pPr>
              <w:spacing w:after="0" w:line="259" w:lineRule="auto"/>
            </w:pPr>
            <w:r>
              <w:rPr>
                <w:rFonts w:ascii="Calibri" w:hAnsi="Calibri"/>
                <w:color w:val="243B53"/>
                <w:sz w:val="16"/>
              </w:rPr>
              <w:t>Create/check a single API transaction and inspect explanation, models, and features.</w:t>
            </w:r>
          </w:p>
        </w:tc>
        <w:tc>
          <w:tcPr>
            <w:tcW w:type="dxa" w:w="1650"/>
            <w:shd w:fill="F8FAFC"/>
            <w:tcMar>
              <w:top w:w="80" w:type="dxa"/>
              <w:bottom w:w="80" w:type="dxa"/>
              <w:start w:w="120" w:type="dxa"/>
              <w:end w:w="120" w:type="dxa"/>
            </w:tcMar>
            <w:vAlign w:val="center"/>
          </w:tcPr>
          <w:p>
            <w:pPr>
              <w:spacing w:after="0" w:line="259" w:lineRule="auto"/>
            </w:pPr>
            <w:r>
              <w:rPr>
                <w:rFonts w:ascii="Calibri" w:hAnsi="Calibri"/>
                <w:color w:val="243B53"/>
                <w:sz w:val="16"/>
              </w:rPr>
              <w:t>Authenticated</w:t>
            </w:r>
          </w:p>
        </w:tc>
        <w:tc>
          <w:tcPr>
            <w:tcW w:type="dxa" w:w="2700"/>
            <w:shd w:fill="F8FAFC"/>
            <w:tcMar>
              <w:top w:w="80" w:type="dxa"/>
              <w:bottom w:w="80" w:type="dxa"/>
              <w:start w:w="120" w:type="dxa"/>
              <w:end w:w="120" w:type="dxa"/>
            </w:tcMar>
            <w:vAlign w:val="center"/>
          </w:tcPr>
          <w:p>
            <w:pPr>
              <w:spacing w:after="0" w:line="259" w:lineRule="auto"/>
            </w:pPr>
            <w:r>
              <w:rPr>
                <w:rFonts w:ascii="Calibri" w:hAnsi="Calibri"/>
                <w:color w:val="243B53"/>
                <w:sz w:val="16"/>
              </w:rPr>
              <w:t>transaction-check-page.component</w:t>
            </w:r>
          </w:p>
        </w:tc>
      </w:tr>
      <w:tr>
        <w:tc>
          <w:tcPr>
            <w:tcW w:type="dxa" w:w="1450"/>
            <w:tcMar>
              <w:top w:w="80" w:type="dxa"/>
              <w:bottom w:w="80" w:type="dxa"/>
              <w:start w:w="120" w:type="dxa"/>
              <w:end w:w="120" w:type="dxa"/>
            </w:tcMar>
            <w:vAlign w:val="center"/>
          </w:tcPr>
          <w:p>
            <w:pPr>
              <w:spacing w:after="0" w:line="259" w:lineRule="auto"/>
            </w:pPr>
            <w:r>
              <w:rPr>
                <w:rFonts w:ascii="Calibri" w:hAnsi="Calibri"/>
                <w:color w:val="243B53"/>
                <w:sz w:val="16"/>
              </w:rPr>
              <w:t>/cases</w:t>
            </w:r>
          </w:p>
        </w:tc>
        <w:tc>
          <w:tcPr>
            <w:tcW w:type="dxa" w:w="3560"/>
            <w:tcMar>
              <w:top w:w="80" w:type="dxa"/>
              <w:bottom w:w="80" w:type="dxa"/>
              <w:start w:w="120" w:type="dxa"/>
              <w:end w:w="120" w:type="dxa"/>
            </w:tcMar>
            <w:vAlign w:val="center"/>
          </w:tcPr>
          <w:p>
            <w:pPr>
              <w:spacing w:after="0" w:line="259" w:lineRule="auto"/>
            </w:pPr>
            <w:r>
              <w:rPr>
                <w:rFonts w:ascii="Calibri" w:hAnsi="Calibri"/>
                <w:color w:val="243B53"/>
                <w:sz w:val="16"/>
              </w:rPr>
              <w:t>Paginated investigation queue, evidence, notes, false positive, and STR actions.</w:t>
            </w:r>
          </w:p>
        </w:tc>
        <w:tc>
          <w:tcPr>
            <w:tcW w:type="dxa" w:w="1650"/>
            <w:tcMar>
              <w:top w:w="80" w:type="dxa"/>
              <w:bottom w:w="80" w:type="dxa"/>
              <w:start w:w="120" w:type="dxa"/>
              <w:end w:w="120" w:type="dxa"/>
            </w:tcMar>
            <w:vAlign w:val="center"/>
          </w:tcPr>
          <w:p>
            <w:pPr>
              <w:spacing w:after="0" w:line="259" w:lineRule="auto"/>
            </w:pPr>
            <w:r>
              <w:rPr>
                <w:rFonts w:ascii="Calibri" w:hAnsi="Calibri"/>
                <w:color w:val="243B53"/>
                <w:sz w:val="16"/>
              </w:rPr>
              <w:t>Authenticated</w:t>
            </w:r>
          </w:p>
        </w:tc>
        <w:tc>
          <w:tcPr>
            <w:tcW w:type="dxa" w:w="2700"/>
            <w:tcMar>
              <w:top w:w="80" w:type="dxa"/>
              <w:bottom w:w="80" w:type="dxa"/>
              <w:start w:w="120" w:type="dxa"/>
              <w:end w:w="120" w:type="dxa"/>
            </w:tcMar>
            <w:vAlign w:val="center"/>
          </w:tcPr>
          <w:p>
            <w:pPr>
              <w:spacing w:after="0" w:line="259" w:lineRule="auto"/>
            </w:pPr>
            <w:r>
              <w:rPr>
                <w:rFonts w:ascii="Calibri" w:hAnsi="Calibri"/>
                <w:color w:val="243B53"/>
                <w:sz w:val="16"/>
              </w:rPr>
              <w:t>cases-page.component</w:t>
            </w:r>
          </w:p>
        </w:tc>
      </w:tr>
      <w:tr>
        <w:tc>
          <w:tcPr>
            <w:tcW w:type="dxa" w:w="1450"/>
            <w:shd w:fill="F8FAFC"/>
            <w:tcMar>
              <w:top w:w="80" w:type="dxa"/>
              <w:bottom w:w="80" w:type="dxa"/>
              <w:start w:w="120" w:type="dxa"/>
              <w:end w:w="120" w:type="dxa"/>
            </w:tcMar>
            <w:vAlign w:val="center"/>
          </w:tcPr>
          <w:p>
            <w:pPr>
              <w:spacing w:after="0" w:line="259" w:lineRule="auto"/>
            </w:pPr>
            <w:r>
              <w:rPr>
                <w:rFonts w:ascii="Calibri" w:hAnsi="Calibri"/>
                <w:color w:val="243B53"/>
                <w:sz w:val="16"/>
              </w:rPr>
              <w:t>/cases/manual</w:t>
            </w:r>
          </w:p>
        </w:tc>
        <w:tc>
          <w:tcPr>
            <w:tcW w:type="dxa" w:w="3560"/>
            <w:shd w:fill="F8FAFC"/>
            <w:tcMar>
              <w:top w:w="80" w:type="dxa"/>
              <w:bottom w:w="80" w:type="dxa"/>
              <w:start w:w="120" w:type="dxa"/>
              <w:end w:w="120" w:type="dxa"/>
            </w:tcMar>
            <w:vAlign w:val="center"/>
          </w:tcPr>
          <w:p>
            <w:pPr>
              <w:spacing w:after="0" w:line="259" w:lineRule="auto"/>
            </w:pPr>
            <w:r>
              <w:rPr>
                <w:rFonts w:ascii="Calibri" w:hAnsi="Calibri"/>
                <w:color w:val="243B53"/>
                <w:sz w:val="16"/>
              </w:rPr>
              <w:t>Search stored transactions and create a manual investigation case.</w:t>
            </w:r>
          </w:p>
        </w:tc>
        <w:tc>
          <w:tcPr>
            <w:tcW w:type="dxa" w:w="1650"/>
            <w:shd w:fill="F8FAFC"/>
            <w:tcMar>
              <w:top w:w="80" w:type="dxa"/>
              <w:bottom w:w="80" w:type="dxa"/>
              <w:start w:w="120" w:type="dxa"/>
              <w:end w:w="120" w:type="dxa"/>
            </w:tcMar>
            <w:vAlign w:val="center"/>
          </w:tcPr>
          <w:p>
            <w:pPr>
              <w:spacing w:after="0" w:line="259" w:lineRule="auto"/>
            </w:pPr>
            <w:r>
              <w:rPr>
                <w:rFonts w:ascii="Calibri" w:hAnsi="Calibri"/>
                <w:color w:val="243B53"/>
                <w:sz w:val="16"/>
              </w:rPr>
              <w:t>Authenticated</w:t>
            </w:r>
          </w:p>
        </w:tc>
        <w:tc>
          <w:tcPr>
            <w:tcW w:type="dxa" w:w="2700"/>
            <w:shd w:fill="F8FAFC"/>
            <w:tcMar>
              <w:top w:w="80" w:type="dxa"/>
              <w:bottom w:w="80" w:type="dxa"/>
              <w:start w:w="120" w:type="dxa"/>
              <w:end w:w="120" w:type="dxa"/>
            </w:tcMar>
            <w:vAlign w:val="center"/>
          </w:tcPr>
          <w:p>
            <w:pPr>
              <w:spacing w:after="0" w:line="259" w:lineRule="auto"/>
            </w:pPr>
            <w:r>
              <w:rPr>
                <w:rFonts w:ascii="Calibri" w:hAnsi="Calibri"/>
                <w:color w:val="243B53"/>
                <w:sz w:val="16"/>
              </w:rPr>
              <w:t>manual-case-page.component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tcMar>
              <w:top w:w="80" w:type="dxa"/>
              <w:bottom w:w="80" w:type="dxa"/>
              <w:start w:w="120" w:type="dxa"/>
              <w:end w:w="120" w:type="dxa"/>
            </w:tcMar>
            <w:vAlign w:val="center"/>
          </w:tcPr>
          <w:p>
            <w:pPr>
              <w:spacing w:after="0"/>
            </w:pPr>
            <w:r>
              <w:rPr>
                <w:rFonts w:ascii="Calibri" w:hAnsi="Calibri"/>
                <w:b/>
                <w:color w:val="2E74B5"/>
              </w:rPr>
              <w:t xml:space="preserve">Inactive UI scope: </w:t>
            </w:r>
            <w:r>
              <w:rPr>
                <w:rFonts w:ascii="Calibri" w:hAnsi="Calibri"/>
                <w:color w:val="243B53"/>
              </w:rPr>
              <w:t>Scenario Library, Comparison Runs, and Simulator pages were removed from active Angular routes. Their older backend tables/controllers may remain for compatibility and should not be presented as current user journeys.</w:t>
            </w:r>
          </w:p>
        </w:tc>
      </w:tr>
    </w:tbl>
    <w:p>
      <w:pPr>
        <w:spacing w:after="0"/>
      </w:pPr>
    </w:p>
    <w:p>
      <w:pPr>
        <w:pStyle w:val="Heading1"/>
      </w:pPr>
      <w:r>
        <w:t>5. Transaction Ingestion, Features, and Prediction</w:t>
      </w:r>
    </w:p>
    <w:p>
      <w:pPr>
        <w:pStyle w:val="Heading2"/>
      </w:pPr>
      <w:r>
        <w:t>Bulk upload</w:t>
      </w:r>
    </w:p>
    <w:p>
      <w:pPr>
        <w:numPr>
          <w:ilvl w:val="0"/>
          <w:numId w:val="10"/>
        </w:numPr>
        <w:spacing w:after="80" w:line="300" w:lineRule="auto"/>
      </w:pPr>
      <w:r>
        <w:rPr>
          <w:rFonts w:ascii="Calibri" w:hAnsi="Calibri"/>
          <w:color w:val="243B53"/>
        </w:rPr>
        <w:t>Angular sends a CSV or Excel file to Spring.</w:t>
      </w:r>
    </w:p>
    <w:p>
      <w:pPr>
        <w:numPr>
          <w:ilvl w:val="0"/>
          <w:numId w:val="10"/>
        </w:numPr>
        <w:spacing w:after="80" w:line="300" w:lineRule="auto"/>
      </w:pPr>
      <w:r>
        <w:rPr>
          <w:rFonts w:ascii="Calibri" w:hAnsi="Calibri"/>
          <w:color w:val="243B53"/>
        </w:rPr>
        <w:t>ExcelBulkUploadService normalizes headers, parses rows, validates required fields, records the batch, and writes transactions.</w:t>
      </w:r>
    </w:p>
    <w:p>
      <w:pPr>
        <w:numPr>
          <w:ilvl w:val="0"/>
          <w:numId w:val="10"/>
        </w:numPr>
        <w:spacing w:after="80" w:line="300" w:lineRule="auto"/>
      </w:pPr>
      <w:r>
        <w:rPr>
          <w:rFonts w:ascii="Calibri" w:hAnsi="Calibri"/>
          <w:color w:val="243B53"/>
        </w:rPr>
        <w:t>Uploaded historical rows preserve FraudLabel when supplied. In supervised mode, null labels are excluded from supervised training.</w:t>
      </w:r>
    </w:p>
    <w:p>
      <w:pPr>
        <w:numPr>
          <w:ilvl w:val="0"/>
          <w:numId w:val="10"/>
        </w:numPr>
        <w:spacing w:after="80" w:line="300" w:lineRule="auto"/>
      </w:pPr>
      <w:r>
        <w:rPr>
          <w:rFonts w:ascii="Calibri" w:hAnsi="Calibri"/>
          <w:color w:val="243B53"/>
        </w:rPr>
        <w:t>Upload and training remain separate so data can arrive continuously and an administrator can train later.</w:t>
      </w:r>
    </w:p>
    <w:p>
      <w:pPr>
        <w:pStyle w:val="Heading2"/>
      </w:pPr>
      <w:r>
        <w:t>Single transaction</w:t>
      </w:r>
    </w:p>
    <w:p>
      <w:pPr>
        <w:numPr>
          <w:ilvl w:val="0"/>
          <w:numId w:val="11"/>
        </w:numPr>
        <w:spacing w:after="80" w:line="300" w:lineRule="auto"/>
      </w:pPr>
      <w:r>
        <w:rPr>
          <w:rFonts w:ascii="Calibri" w:hAnsi="Calibri"/>
          <w:color w:val="243B53"/>
        </w:rPr>
        <w:t>TransactionCreateService rejects a duplicate transaction ID and stores the API event.</w:t>
      </w:r>
    </w:p>
    <w:p>
      <w:pPr>
        <w:numPr>
          <w:ilvl w:val="0"/>
          <w:numId w:val="11"/>
        </w:numPr>
        <w:spacing w:after="80" w:line="300" w:lineRule="auto"/>
      </w:pPr>
      <w:r>
        <w:rPr>
          <w:rFonts w:ascii="Calibri" w:hAnsi="Calibri"/>
          <w:color w:val="243B53"/>
        </w:rPr>
        <w:t>FeatureEngineeringService loads only information available before the transaction timestamp.</w:t>
      </w:r>
    </w:p>
    <w:p>
      <w:pPr>
        <w:numPr>
          <w:ilvl w:val="0"/>
          <w:numId w:val="11"/>
        </w:numPr>
        <w:spacing w:after="80" w:line="300" w:lineRule="auto"/>
      </w:pPr>
      <w:r>
        <w:rPr>
          <w:rFonts w:ascii="Calibri" w:hAnsi="Calibri"/>
          <w:color w:val="243B53"/>
        </w:rPr>
        <w:t>The versioned feature vector is persisted in aml_transaction_features.</w:t>
      </w:r>
    </w:p>
    <w:p>
      <w:pPr>
        <w:numPr>
          <w:ilvl w:val="0"/>
          <w:numId w:val="11"/>
        </w:numPr>
        <w:spacing w:after="80" w:line="300" w:lineRule="auto"/>
      </w:pPr>
      <w:r>
        <w:rPr>
          <w:rFonts w:ascii="Calibri" w:hAnsi="Calibri"/>
          <w:color w:val="243B53"/>
        </w:rPr>
        <w:t>Observed/trusted profile services and learning eligibility are updated according to policy.</w:t>
      </w:r>
    </w:p>
    <w:p>
      <w:pPr>
        <w:numPr>
          <w:ilvl w:val="0"/>
          <w:numId w:val="11"/>
        </w:numPr>
        <w:spacing w:after="80" w:line="300" w:lineRule="auto"/>
      </w:pPr>
      <w:r>
        <w:rPr>
          <w:rFonts w:ascii="Calibri" w:hAnsi="Calibri"/>
          <w:color w:val="243B53"/>
        </w:rPr>
        <w:t>Cold-start settings may skip ML when trustworthy history is insufficient.</w:t>
      </w:r>
    </w:p>
    <w:p>
      <w:pPr>
        <w:numPr>
          <w:ilvl w:val="0"/>
          <w:numId w:val="11"/>
        </w:numPr>
        <w:spacing w:after="80" w:line="300" w:lineRule="auto"/>
      </w:pPr>
      <w:r>
        <w:rPr>
          <w:rFonts w:ascii="Calibri" w:hAnsi="Calibri"/>
          <w:color w:val="243B53"/>
        </w:rPr>
        <w:t>AmlPredictionOrchestrator obtains ML evidence and invokes layered scoring.</w:t>
      </w:r>
    </w:p>
    <w:p>
      <w:pPr>
        <w:numPr>
          <w:ilvl w:val="0"/>
          <w:numId w:val="11"/>
        </w:numPr>
        <w:spacing w:after="80" w:line="300" w:lineRule="auto"/>
      </w:pPr>
      <w:r>
        <w:rPr>
          <w:rFonts w:ascii="Calibri" w:hAnsi="Calibri"/>
          <w:color w:val="243B53"/>
        </w:rPr>
        <w:t>Spring persists fraud_prediction_logs, creates an alert/case when required, and returns risk, action, reasons, model diagnostics, and feature summary.</w:t>
      </w:r>
    </w:p>
    <w:p>
      <w:pPr>
        <w:pStyle w:val="Heading2"/>
      </w:pPr>
      <w:r>
        <w:t>Feature families</w:t>
      </w:r>
    </w:p>
    <w:tbl>
      <w:tblPr>
        <w:tblStyle w:val="TableGrid"/>
        <w:tblW w:type="dxa" w:w="9360"/>
        <w:jc w:val="left"/>
        <w:tblLayout w:type="fixed"/>
        <w:tblLook w:firstColumn="1" w:firstRow="1" w:lastColumn="0" w:lastRow="0" w:noHBand="0" w:noVBand="1" w:val="04A0"/>
        <w:tblInd w:w="120" w:type="dxa"/>
      </w:tblPr>
      <w:tblGrid>
        <w:gridCol w:w="1700"/>
        <w:gridCol w:w="4050"/>
        <w:gridCol w:w="3610"/>
      </w:tblGrid>
      <w:tr>
        <w:trPr>
          <w:tblHeader w:val="true"/>
        </w:trPr>
        <w:tc>
          <w:tcPr>
            <w:tcW w:type="dxa" w:w="1700"/>
            <w:shd w:fill="E8EEF5"/>
            <w:tcMar>
              <w:top w:w="80" w:type="dxa"/>
              <w:bottom w:w="80" w:type="dxa"/>
              <w:start w:w="120" w:type="dxa"/>
              <w:end w:w="120" w:type="dxa"/>
            </w:tcMar>
            <w:vAlign w:val="center"/>
          </w:tcPr>
          <w:p>
            <w:r>
              <w:rPr>
                <w:rFonts w:ascii="Calibri" w:hAnsi="Calibri"/>
                <w:b/>
                <w:color w:val="102A43"/>
                <w:sz w:val="18"/>
              </w:rPr>
              <w:t>Family</w:t>
            </w:r>
          </w:p>
        </w:tc>
        <w:tc>
          <w:tcPr>
            <w:tcW w:type="dxa" w:w="4050"/>
            <w:shd w:fill="E8EEF5"/>
            <w:tcMar>
              <w:top w:w="80" w:type="dxa"/>
              <w:bottom w:w="80" w:type="dxa"/>
              <w:start w:w="120" w:type="dxa"/>
              <w:end w:w="120" w:type="dxa"/>
            </w:tcMar>
            <w:vAlign w:val="center"/>
          </w:tcPr>
          <w:p>
            <w:r>
              <w:rPr>
                <w:rFonts w:ascii="Calibri" w:hAnsi="Calibri"/>
                <w:b/>
                <w:color w:val="102A43"/>
                <w:sz w:val="18"/>
              </w:rPr>
              <w:t>Examples</w:t>
            </w:r>
          </w:p>
        </w:tc>
        <w:tc>
          <w:tcPr>
            <w:tcW w:type="dxa" w:w="3610"/>
            <w:shd w:fill="E8EEF5"/>
            <w:tcMar>
              <w:top w:w="80" w:type="dxa"/>
              <w:bottom w:w="80" w:type="dxa"/>
              <w:start w:w="120" w:type="dxa"/>
              <w:end w:w="120" w:type="dxa"/>
            </w:tcMar>
            <w:vAlign w:val="center"/>
          </w:tcPr>
          <w:p>
            <w:r>
              <w:rPr>
                <w:rFonts w:ascii="Calibri" w:hAnsi="Calibri"/>
                <w:b/>
                <w:color w:val="102A43"/>
                <w:sz w:val="18"/>
              </w:rPr>
              <w:t>Reason</w:t>
            </w:r>
          </w:p>
        </w:tc>
      </w:tr>
      <w:tr>
        <w:tc>
          <w:tcPr>
            <w:tcW w:type="dxa" w:w="1700"/>
            <w:tcMar>
              <w:top w:w="80" w:type="dxa"/>
              <w:bottom w:w="80" w:type="dxa"/>
              <w:start w:w="120" w:type="dxa"/>
              <w:end w:w="120" w:type="dxa"/>
            </w:tcMar>
            <w:vAlign w:val="center"/>
          </w:tcPr>
          <w:p>
            <w:pPr>
              <w:spacing w:after="0" w:line="259" w:lineRule="auto"/>
            </w:pPr>
            <w:r>
              <w:rPr>
                <w:rFonts w:ascii="Calibri" w:hAnsi="Calibri"/>
                <w:color w:val="243B53"/>
                <w:sz w:val="17"/>
              </w:rPr>
              <w:t>Current event</w:t>
            </w:r>
          </w:p>
        </w:tc>
        <w:tc>
          <w:tcPr>
            <w:tcW w:type="dxa" w:w="4050"/>
            <w:tcMar>
              <w:top w:w="80" w:type="dxa"/>
              <w:bottom w:w="80" w:type="dxa"/>
              <w:start w:w="120" w:type="dxa"/>
              <w:end w:w="120" w:type="dxa"/>
            </w:tcMar>
            <w:vAlign w:val="center"/>
          </w:tcPr>
          <w:p>
            <w:pPr>
              <w:spacing w:after="0" w:line="259" w:lineRule="auto"/>
            </w:pPr>
            <w:r>
              <w:rPr>
                <w:rFonts w:ascii="Calibri" w:hAnsi="Calibri"/>
                <w:color w:val="243B53"/>
                <w:sz w:val="17"/>
              </w:rPr>
              <w:t>amount, balance, channel, location, type, hour, weekday</w:t>
            </w:r>
          </w:p>
        </w:tc>
        <w:tc>
          <w:tcPr>
            <w:tcW w:type="dxa" w:w="3610"/>
            <w:tcMar>
              <w:top w:w="80" w:type="dxa"/>
              <w:bottom w:w="80" w:type="dxa"/>
              <w:start w:w="120" w:type="dxa"/>
              <w:end w:w="120" w:type="dxa"/>
            </w:tcMar>
            <w:vAlign w:val="center"/>
          </w:tcPr>
          <w:p>
            <w:pPr>
              <w:spacing w:after="0" w:line="259" w:lineRule="auto"/>
            </w:pPr>
            <w:r>
              <w:rPr>
                <w:rFonts w:ascii="Calibri" w:hAnsi="Calibri"/>
                <w:color w:val="243B53"/>
                <w:sz w:val="17"/>
              </w:rPr>
              <w:t>Describes the transaction itself.</w:t>
            </w:r>
          </w:p>
        </w:tc>
      </w:tr>
      <w:tr>
        <w:tc>
          <w:tcPr>
            <w:tcW w:type="dxa" w:w="1700"/>
            <w:shd w:fill="F8FAFC"/>
            <w:tcMar>
              <w:top w:w="80" w:type="dxa"/>
              <w:bottom w:w="80" w:type="dxa"/>
              <w:start w:w="120" w:type="dxa"/>
              <w:end w:w="120" w:type="dxa"/>
            </w:tcMar>
            <w:vAlign w:val="center"/>
          </w:tcPr>
          <w:p>
            <w:pPr>
              <w:spacing w:after="0" w:line="259" w:lineRule="auto"/>
            </w:pPr>
            <w:r>
              <w:rPr>
                <w:rFonts w:ascii="Calibri" w:hAnsi="Calibri"/>
                <w:color w:val="243B53"/>
                <w:sz w:val="17"/>
              </w:rPr>
              <w:t>Customer history</w:t>
            </w:r>
          </w:p>
        </w:tc>
        <w:tc>
          <w:tcPr>
            <w:tcW w:type="dxa" w:w="4050"/>
            <w:shd w:fill="F8FAFC"/>
            <w:tcMar>
              <w:top w:w="80" w:type="dxa"/>
              <w:bottom w:w="80" w:type="dxa"/>
              <w:start w:w="120" w:type="dxa"/>
              <w:end w:w="120" w:type="dxa"/>
            </w:tcMar>
            <w:vAlign w:val="center"/>
          </w:tcPr>
          <w:p>
            <w:pPr>
              <w:spacing w:after="0" w:line="259" w:lineRule="auto"/>
            </w:pPr>
            <w:r>
              <w:rPr>
                <w:rFonts w:ascii="Calibri" w:hAnsi="Calibri"/>
                <w:color w:val="243B53"/>
                <w:sz w:val="17"/>
              </w:rPr>
              <w:t>last-5/30 averages, median, std, max/min, debit/credit/cash ratios</w:t>
            </w:r>
          </w:p>
        </w:tc>
        <w:tc>
          <w:tcPr>
            <w:tcW w:type="dxa" w:w="3610"/>
            <w:shd w:fill="F8FAFC"/>
            <w:tcMar>
              <w:top w:w="80" w:type="dxa"/>
              <w:bottom w:w="80" w:type="dxa"/>
              <w:start w:w="120" w:type="dxa"/>
              <w:end w:w="120" w:type="dxa"/>
            </w:tcMar>
            <w:vAlign w:val="center"/>
          </w:tcPr>
          <w:p>
            <w:pPr>
              <w:spacing w:after="0" w:line="259" w:lineRule="auto"/>
            </w:pPr>
            <w:r>
              <w:rPr>
                <w:rFonts w:ascii="Calibri" w:hAnsi="Calibri"/>
                <w:color w:val="243B53"/>
                <w:sz w:val="17"/>
              </w:rPr>
              <w:t>Measures deviation from personal behavior.</w:t>
            </w:r>
          </w:p>
        </w:tc>
      </w:tr>
      <w:tr>
        <w:tc>
          <w:tcPr>
            <w:tcW w:type="dxa" w:w="1700"/>
            <w:tcMar>
              <w:top w:w="80" w:type="dxa"/>
              <w:bottom w:w="80" w:type="dxa"/>
              <w:start w:w="120" w:type="dxa"/>
              <w:end w:w="120" w:type="dxa"/>
            </w:tcMar>
            <w:vAlign w:val="center"/>
          </w:tcPr>
          <w:p>
            <w:pPr>
              <w:spacing w:after="0" w:line="259" w:lineRule="auto"/>
            </w:pPr>
            <w:r>
              <w:rPr>
                <w:rFonts w:ascii="Calibri" w:hAnsi="Calibri"/>
                <w:color w:val="243B53"/>
                <w:sz w:val="17"/>
              </w:rPr>
              <w:t>Velocity</w:t>
            </w:r>
          </w:p>
        </w:tc>
        <w:tc>
          <w:tcPr>
            <w:tcW w:type="dxa" w:w="4050"/>
            <w:tcMar>
              <w:top w:w="80" w:type="dxa"/>
              <w:bottom w:w="80" w:type="dxa"/>
              <w:start w:w="120" w:type="dxa"/>
              <w:end w:w="120" w:type="dxa"/>
            </w:tcMar>
            <w:vAlign w:val="center"/>
          </w:tcPr>
          <w:p>
            <w:pPr>
              <w:spacing w:after="0" w:line="259" w:lineRule="auto"/>
            </w:pPr>
            <w:r>
              <w:rPr>
                <w:rFonts w:ascii="Calibri" w:hAnsi="Calibri"/>
                <w:color w:val="243B53"/>
                <w:sz w:val="17"/>
              </w:rPr>
              <w:t>counts and amount sums over 10m, 1h, 24h, 7d, 30d</w:t>
            </w:r>
          </w:p>
        </w:tc>
        <w:tc>
          <w:tcPr>
            <w:tcW w:type="dxa" w:w="3610"/>
            <w:tcMar>
              <w:top w:w="80" w:type="dxa"/>
              <w:bottom w:w="80" w:type="dxa"/>
              <w:start w:w="120" w:type="dxa"/>
              <w:end w:w="120" w:type="dxa"/>
            </w:tcMar>
            <w:vAlign w:val="center"/>
          </w:tcPr>
          <w:p>
            <w:pPr>
              <w:spacing w:after="0" w:line="259" w:lineRule="auto"/>
            </w:pPr>
            <w:r>
              <w:rPr>
                <w:rFonts w:ascii="Calibri" w:hAnsi="Calibri"/>
                <w:color w:val="243B53"/>
                <w:sz w:val="17"/>
              </w:rPr>
              <w:t>Detects bursts, rapid movement, and layering.</w:t>
            </w:r>
          </w:p>
        </w:tc>
      </w:tr>
      <w:tr>
        <w:tc>
          <w:tcPr>
            <w:tcW w:type="dxa" w:w="1700"/>
            <w:shd w:fill="F8FAFC"/>
            <w:tcMar>
              <w:top w:w="80" w:type="dxa"/>
              <w:bottom w:w="80" w:type="dxa"/>
              <w:start w:w="120" w:type="dxa"/>
              <w:end w:w="120" w:type="dxa"/>
            </w:tcMar>
            <w:vAlign w:val="center"/>
          </w:tcPr>
          <w:p>
            <w:pPr>
              <w:spacing w:after="0" w:line="259" w:lineRule="auto"/>
            </w:pPr>
            <w:r>
              <w:rPr>
                <w:rFonts w:ascii="Calibri" w:hAnsi="Calibri"/>
                <w:color w:val="243B53"/>
                <w:sz w:val="17"/>
              </w:rPr>
              <w:t>Novelty</w:t>
            </w:r>
          </w:p>
        </w:tc>
        <w:tc>
          <w:tcPr>
            <w:tcW w:type="dxa" w:w="4050"/>
            <w:shd w:fill="F8FAFC"/>
            <w:tcMar>
              <w:top w:w="80" w:type="dxa"/>
              <w:bottom w:w="80" w:type="dxa"/>
              <w:start w:w="120" w:type="dxa"/>
              <w:end w:w="120" w:type="dxa"/>
            </w:tcMar>
            <w:vAlign w:val="center"/>
          </w:tcPr>
          <w:p>
            <w:pPr>
              <w:spacing w:after="0" w:line="259" w:lineRule="auto"/>
            </w:pPr>
            <w:r>
              <w:rPr>
                <w:rFonts w:ascii="Calibri" w:hAnsi="Calibri"/>
                <w:color w:val="243B53"/>
                <w:sz w:val="17"/>
              </w:rPr>
              <w:t>new beneficiary, location, channel, device</w:t>
            </w:r>
          </w:p>
        </w:tc>
        <w:tc>
          <w:tcPr>
            <w:tcW w:type="dxa" w:w="3610"/>
            <w:shd w:fill="F8FAFC"/>
            <w:tcMar>
              <w:top w:w="80" w:type="dxa"/>
              <w:bottom w:w="80" w:type="dxa"/>
              <w:start w:w="120" w:type="dxa"/>
              <w:end w:w="120" w:type="dxa"/>
            </w:tcMar>
            <w:vAlign w:val="center"/>
          </w:tcPr>
          <w:p>
            <w:pPr>
              <w:spacing w:after="0" w:line="259" w:lineRule="auto"/>
            </w:pPr>
            <w:r>
              <w:rPr>
                <w:rFonts w:ascii="Calibri" w:hAnsi="Calibri"/>
                <w:color w:val="243B53"/>
                <w:sz w:val="17"/>
              </w:rPr>
              <w:t>Detects first-seen contextual changes.</w:t>
            </w:r>
          </w:p>
        </w:tc>
      </w:tr>
      <w:tr>
        <w:tc>
          <w:tcPr>
            <w:tcW w:type="dxa" w:w="1700"/>
            <w:tcMar>
              <w:top w:w="80" w:type="dxa"/>
              <w:bottom w:w="80" w:type="dxa"/>
              <w:start w:w="120" w:type="dxa"/>
              <w:end w:w="120" w:type="dxa"/>
            </w:tcMar>
            <w:vAlign w:val="center"/>
          </w:tcPr>
          <w:p>
            <w:pPr>
              <w:spacing w:after="0" w:line="259" w:lineRule="auto"/>
            </w:pPr>
            <w:r>
              <w:rPr>
                <w:rFonts w:ascii="Calibri" w:hAnsi="Calibri"/>
                <w:color w:val="243B53"/>
                <w:sz w:val="17"/>
              </w:rPr>
              <w:t>Peer</w:t>
            </w:r>
          </w:p>
        </w:tc>
        <w:tc>
          <w:tcPr>
            <w:tcW w:type="dxa" w:w="4050"/>
            <w:tcMar>
              <w:top w:w="80" w:type="dxa"/>
              <w:bottom w:w="80" w:type="dxa"/>
              <w:start w:w="120" w:type="dxa"/>
              <w:end w:w="120" w:type="dxa"/>
            </w:tcMar>
            <w:vAlign w:val="center"/>
          </w:tcPr>
          <w:p>
            <w:pPr>
              <w:spacing w:after="0" w:line="259" w:lineRule="auto"/>
            </w:pPr>
            <w:r>
              <w:rPr>
                <w:rFonts w:ascii="Calibri" w:hAnsi="Calibri"/>
                <w:color w:val="243B53"/>
                <w:sz w:val="17"/>
              </w:rPr>
              <w:t>peer average, median, std, z-score, frequency percentile</w:t>
            </w:r>
          </w:p>
        </w:tc>
        <w:tc>
          <w:tcPr>
            <w:tcW w:type="dxa" w:w="3610"/>
            <w:tcMar>
              <w:top w:w="80" w:type="dxa"/>
              <w:bottom w:w="80" w:type="dxa"/>
              <w:start w:w="120" w:type="dxa"/>
              <w:end w:w="120" w:type="dxa"/>
            </w:tcMar>
            <w:vAlign w:val="center"/>
          </w:tcPr>
          <w:p>
            <w:pPr>
              <w:spacing w:after="0" w:line="259" w:lineRule="auto"/>
            </w:pPr>
            <w:r>
              <w:rPr>
                <w:rFonts w:ascii="Calibri" w:hAnsi="Calibri"/>
                <w:color w:val="243B53"/>
                <w:sz w:val="17"/>
              </w:rPr>
              <w:t>Compares similar customers, including occupation/age-derived groups when available.</w:t>
            </w:r>
          </w:p>
        </w:tc>
      </w:tr>
      <w:tr>
        <w:tc>
          <w:tcPr>
            <w:tcW w:type="dxa" w:w="1700"/>
            <w:shd w:fill="F8FAFC"/>
            <w:tcMar>
              <w:top w:w="80" w:type="dxa"/>
              <w:bottom w:w="80" w:type="dxa"/>
              <w:start w:w="120" w:type="dxa"/>
              <w:end w:w="120" w:type="dxa"/>
            </w:tcMar>
            <w:vAlign w:val="center"/>
          </w:tcPr>
          <w:p>
            <w:pPr>
              <w:spacing w:after="0" w:line="259" w:lineRule="auto"/>
            </w:pPr>
            <w:r>
              <w:rPr>
                <w:rFonts w:ascii="Calibri" w:hAnsi="Calibri"/>
                <w:color w:val="243B53"/>
                <w:sz w:val="17"/>
              </w:rPr>
              <w:t>Customer profile</w:t>
            </w:r>
          </w:p>
        </w:tc>
        <w:tc>
          <w:tcPr>
            <w:tcW w:type="dxa" w:w="4050"/>
            <w:shd w:fill="F8FAFC"/>
            <w:tcMar>
              <w:top w:w="80" w:type="dxa"/>
              <w:bottom w:w="80" w:type="dxa"/>
              <w:start w:w="120" w:type="dxa"/>
              <w:end w:w="120" w:type="dxa"/>
            </w:tcMar>
            <w:vAlign w:val="center"/>
          </w:tcPr>
          <w:p>
            <w:pPr>
              <w:spacing w:after="0" w:line="259" w:lineRule="auto"/>
            </w:pPr>
            <w:r>
              <w:rPr>
                <w:rFonts w:ascii="Calibri" w:hAnsi="Calibri"/>
                <w:color w:val="243B53"/>
                <w:sz w:val="17"/>
              </w:rPr>
              <w:t>risk rating, expected turnover, profile confidence</w:t>
            </w:r>
          </w:p>
        </w:tc>
        <w:tc>
          <w:tcPr>
            <w:tcW w:type="dxa" w:w="3610"/>
            <w:shd w:fill="F8FAFC"/>
            <w:tcMar>
              <w:top w:w="80" w:type="dxa"/>
              <w:bottom w:w="80" w:type="dxa"/>
              <w:start w:w="120" w:type="dxa"/>
              <w:end w:w="120" w:type="dxa"/>
            </w:tcMar>
            <w:vAlign w:val="center"/>
          </w:tcPr>
          <w:p>
            <w:pPr>
              <w:spacing w:after="0" w:line="259" w:lineRule="auto"/>
            </w:pPr>
            <w:r>
              <w:rPr>
                <w:rFonts w:ascii="Calibri" w:hAnsi="Calibri"/>
                <w:color w:val="243B53"/>
                <w:sz w:val="17"/>
              </w:rPr>
              <w:t>Controls how strongly behavior evidence should be trusted.</w:t>
            </w:r>
          </w:p>
        </w:tc>
      </w:tr>
      <w:tr>
        <w:tc>
          <w:tcPr>
            <w:tcW w:type="dxa" w:w="1700"/>
            <w:tcMar>
              <w:top w:w="80" w:type="dxa"/>
              <w:bottom w:w="80" w:type="dxa"/>
              <w:start w:w="120" w:type="dxa"/>
              <w:end w:w="120" w:type="dxa"/>
            </w:tcMar>
            <w:vAlign w:val="center"/>
          </w:tcPr>
          <w:p>
            <w:pPr>
              <w:spacing w:after="0" w:line="259" w:lineRule="auto"/>
            </w:pPr>
            <w:r>
              <w:rPr>
                <w:rFonts w:ascii="Calibri" w:hAnsi="Calibri"/>
                <w:color w:val="243B53"/>
                <w:sz w:val="17"/>
              </w:rPr>
              <w:t>Terminal/context</w:t>
            </w:r>
          </w:p>
        </w:tc>
        <w:tc>
          <w:tcPr>
            <w:tcW w:type="dxa" w:w="4050"/>
            <w:tcMar>
              <w:top w:w="80" w:type="dxa"/>
              <w:bottom w:w="80" w:type="dxa"/>
              <w:start w:w="120" w:type="dxa"/>
              <w:end w:w="120" w:type="dxa"/>
            </w:tcMar>
            <w:vAlign w:val="center"/>
          </w:tcPr>
          <w:p>
            <w:pPr>
              <w:spacing w:after="0" w:line="259" w:lineRule="auto"/>
            </w:pPr>
            <w:r>
              <w:rPr>
                <w:rFonts w:ascii="Calibri" w:hAnsi="Calibri"/>
                <w:color w:val="243B53"/>
                <w:sz w:val="17"/>
              </w:rPr>
              <w:t>bounded terminal/location risk representation</w:t>
            </w:r>
          </w:p>
        </w:tc>
        <w:tc>
          <w:tcPr>
            <w:tcW w:type="dxa" w:w="3610"/>
            <w:tcMar>
              <w:top w:w="80" w:type="dxa"/>
              <w:bottom w:w="80" w:type="dxa"/>
              <w:start w:w="120" w:type="dxa"/>
              <w:end w:w="120" w:type="dxa"/>
            </w:tcMar>
            <w:vAlign w:val="center"/>
          </w:tcPr>
          <w:p>
            <w:pPr>
              <w:spacing w:after="0" w:line="259" w:lineRule="auto"/>
            </w:pPr>
            <w:r>
              <w:rPr>
                <w:rFonts w:ascii="Calibri" w:hAnsi="Calibri"/>
                <w:color w:val="243B53"/>
                <w:sz w:val="17"/>
              </w:rPr>
              <w:t>Adds operational risk without unbounded one-hot memory growth.</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9F7EF"/>
            <w:tcMar>
              <w:top w:w="80" w:type="dxa"/>
              <w:bottom w:w="80" w:type="dxa"/>
              <w:start w:w="120" w:type="dxa"/>
              <w:end w:w="120" w:type="dxa"/>
            </w:tcMar>
            <w:vAlign w:val="center"/>
          </w:tcPr>
          <w:p>
            <w:pPr>
              <w:spacing w:after="0"/>
            </w:pPr>
            <w:r>
              <w:rPr>
                <w:rFonts w:ascii="Calibri" w:hAnsi="Calibri"/>
                <w:b/>
                <w:color w:val="1B7F5A"/>
              </w:rPr>
              <w:t xml:space="preserve">Leakage protection: </w:t>
            </w:r>
            <w:r>
              <w:rPr>
                <w:rFonts w:ascii="Calibri" w:hAnsi="Calibri"/>
                <w:color w:val="243B53"/>
              </w:rPr>
              <w:t>Historical aggregates must use transaction_date &lt; current transaction date. Training and evaluation use chronological boundaries rather than a random future-aware feature calculation.</w:t>
            </w:r>
          </w:p>
        </w:tc>
      </w:tr>
    </w:tbl>
    <w:p>
      <w:pPr>
        <w:spacing w:after="0"/>
      </w:pPr>
    </w:p>
    <w:p>
      <w:pPr>
        <w:pStyle w:val="Heading2"/>
      </w:pPr>
      <w:r>
        <w:t>Key code</w:t>
      </w:r>
    </w:p>
    <w:p>
      <w:pPr>
        <w:pStyle w:val="CodePath"/>
      </w:pPr>
      <w:r>
        <w:rPr>
          <w:rFonts w:ascii="Consolas" w:hAnsi="Consolas"/>
          <w:color w:val="1F4D78"/>
          <w:sz w:val="17"/>
        </w:rPr>
        <w:t>fraud-transaction-detector/src/main/java/com/ftd/fraud_transaction_detector/uploads/service/ExcelBulkUploadService.java</w:t>
      </w:r>
    </w:p>
    <w:p>
      <w:pPr>
        <w:pStyle w:val="CodePath"/>
      </w:pPr>
      <w:r>
        <w:rPr>
          <w:rFonts w:ascii="Consolas" w:hAnsi="Consolas"/>
          <w:color w:val="1F4D78"/>
          <w:sz w:val="17"/>
        </w:rPr>
        <w:t>fraud-transaction-detector/src/main/java/com/ftd/fraud_transaction_detector/transactions/service/TransactionCreateService.java</w:t>
      </w:r>
    </w:p>
    <w:p>
      <w:pPr>
        <w:pStyle w:val="CodePath"/>
      </w:pPr>
      <w:r>
        <w:rPr>
          <w:rFonts w:ascii="Consolas" w:hAnsi="Consolas"/>
          <w:color w:val="1F4D78"/>
          <w:sz w:val="17"/>
        </w:rPr>
        <w:t>fraud-transaction-detector/src/main/java/com/ftd/fraud_transaction_detector/aml/feature/application/FeatureEngineeringService.java</w:t>
      </w:r>
    </w:p>
    <w:p>
      <w:pPr>
        <w:pStyle w:val="CodePath"/>
      </w:pPr>
      <w:r>
        <w:rPr>
          <w:rFonts w:ascii="Consolas" w:hAnsi="Consolas"/>
          <w:color w:val="1F4D78"/>
          <w:sz w:val="17"/>
        </w:rPr>
        <w:t>fraud-transaction-detector/src/main/java/com/ftd/fraud_transaction_detector/aml/feature/infrastructure/FeaturePersistenceService.java</w:t>
      </w:r>
    </w:p>
    <w:p>
      <w:pPr>
        <w:pStyle w:val="CodePath"/>
      </w:pPr>
      <w:r>
        <w:rPr>
          <w:rFonts w:ascii="Consolas" w:hAnsi="Consolas"/>
          <w:color w:val="1F4D78"/>
          <w:sz w:val="17"/>
        </w:rPr>
        <w:t>fraud-transaction-detector/src/main/java/com/ftd/fraud_transaction_detector/aml/profile/application/CustomerProfileService.java</w:t>
      </w:r>
    </w:p>
    <w:p>
      <w:pPr>
        <w:pStyle w:val="CodePath"/>
      </w:pPr>
      <w:r>
        <w:rPr>
          <w:rFonts w:ascii="Consolas" w:hAnsi="Consolas"/>
          <w:color w:val="1F4D78"/>
          <w:sz w:val="17"/>
        </w:rPr>
        <w:t>fraud-transaction-detector/src/main/java/com/ftd/fraud_transaction_detector/aml/learning/application/LearningEligibilityService.java</w:t>
      </w:r>
    </w:p>
    <w:p>
      <w:pPr>
        <w:pStyle w:val="CodePath"/>
      </w:pPr>
      <w:r>
        <w:rPr>
          <w:rFonts w:ascii="Consolas" w:hAnsi="Consolas"/>
          <w:color w:val="1F4D78"/>
          <w:sz w:val="17"/>
        </w:rPr>
        <w:t>fraud-transaction-detector/src/main/java/com/ftd/fraud_transaction_detector/aml/prediction/AmlPredictionOrchestrator.java</w:t>
      </w:r>
    </w:p>
    <w:p>
      <w:pPr>
        <w:pStyle w:val="Heading1"/>
      </w:pPr>
      <w:r>
        <w:t>6. Layered Risk Scoring and Decisions</w:t>
      </w:r>
    </w:p>
    <w:tbl>
      <w:tblPr>
        <w:tblStyle w:val="TableGrid"/>
        <w:tblW w:type="dxa" w:w="9360"/>
        <w:jc w:val="left"/>
        <w:tblLayout w:type="fixed"/>
        <w:tblLook w:firstColumn="1" w:firstRow="1" w:lastColumn="0" w:lastRow="0" w:noHBand="0" w:noVBand="1" w:val="04A0"/>
        <w:tblInd w:w="120" w:type="dxa"/>
      </w:tblPr>
      <w:tblGrid>
        <w:gridCol w:w="1900"/>
        <w:gridCol w:w="4550"/>
        <w:gridCol w:w="2910"/>
      </w:tblGrid>
      <w:tr>
        <w:trPr>
          <w:tblHeader w:val="true"/>
        </w:trPr>
        <w:tc>
          <w:tcPr>
            <w:tcW w:type="dxa" w:w="1900"/>
            <w:shd w:fill="E8EEF5"/>
            <w:tcMar>
              <w:top w:w="80" w:type="dxa"/>
              <w:bottom w:w="80" w:type="dxa"/>
              <w:start w:w="120" w:type="dxa"/>
              <w:end w:w="120" w:type="dxa"/>
            </w:tcMar>
            <w:vAlign w:val="center"/>
          </w:tcPr>
          <w:p>
            <w:r>
              <w:rPr>
                <w:rFonts w:ascii="Calibri" w:hAnsi="Calibri"/>
                <w:b/>
                <w:color w:val="102A43"/>
                <w:sz w:val="18"/>
              </w:rPr>
              <w:t>Layer</w:t>
            </w:r>
          </w:p>
        </w:tc>
        <w:tc>
          <w:tcPr>
            <w:tcW w:type="dxa" w:w="4550"/>
            <w:shd w:fill="E8EEF5"/>
            <w:tcMar>
              <w:top w:w="80" w:type="dxa"/>
              <w:bottom w:w="80" w:type="dxa"/>
              <w:start w:w="120" w:type="dxa"/>
              <w:end w:w="120" w:type="dxa"/>
            </w:tcMar>
            <w:vAlign w:val="center"/>
          </w:tcPr>
          <w:p>
            <w:r>
              <w:rPr>
                <w:rFonts w:ascii="Calibri" w:hAnsi="Calibri"/>
                <w:b/>
                <w:color w:val="102A43"/>
                <w:sz w:val="18"/>
              </w:rPr>
              <w:t>Input</w:t>
            </w:r>
          </w:p>
        </w:tc>
        <w:tc>
          <w:tcPr>
            <w:tcW w:type="dxa" w:w="2910"/>
            <w:shd w:fill="E8EEF5"/>
            <w:tcMar>
              <w:top w:w="80" w:type="dxa"/>
              <w:bottom w:w="80" w:type="dxa"/>
              <w:start w:w="120" w:type="dxa"/>
              <w:end w:w="120" w:type="dxa"/>
            </w:tcMar>
            <w:vAlign w:val="center"/>
          </w:tcPr>
          <w:p>
            <w:r>
              <w:rPr>
                <w:rFonts w:ascii="Calibri" w:hAnsi="Calibri"/>
                <w:b/>
                <w:color w:val="102A43"/>
                <w:sz w:val="18"/>
              </w:rPr>
              <w:t>Output meaning</w:t>
            </w:r>
          </w:p>
        </w:tc>
      </w:tr>
      <w:tr>
        <w:tc>
          <w:tcPr>
            <w:tcW w:type="dxa" w:w="1900"/>
            <w:tcMar>
              <w:top w:w="80" w:type="dxa"/>
              <w:bottom w:w="80" w:type="dxa"/>
              <w:start w:w="120" w:type="dxa"/>
              <w:end w:w="120" w:type="dxa"/>
            </w:tcMar>
            <w:vAlign w:val="center"/>
          </w:tcPr>
          <w:p>
            <w:pPr>
              <w:spacing w:after="0" w:line="259" w:lineRule="auto"/>
            </w:pPr>
            <w:r>
              <w:rPr>
                <w:rFonts w:ascii="Calibri" w:hAnsi="Calibri"/>
                <w:color w:val="243B53"/>
                <w:sz w:val="17"/>
              </w:rPr>
              <w:t>Customer behavior</w:t>
            </w:r>
          </w:p>
        </w:tc>
        <w:tc>
          <w:tcPr>
            <w:tcW w:type="dxa" w:w="4550"/>
            <w:tcMar>
              <w:top w:w="80" w:type="dxa"/>
              <w:bottom w:w="80" w:type="dxa"/>
              <w:start w:w="120" w:type="dxa"/>
              <w:end w:w="120" w:type="dxa"/>
            </w:tcMar>
            <w:vAlign w:val="center"/>
          </w:tcPr>
          <w:p>
            <w:pPr>
              <w:spacing w:after="0" w:line="259" w:lineRule="auto"/>
            </w:pPr>
            <w:r>
              <w:rPr>
                <w:rFonts w:ascii="Calibri" w:hAnsi="Calibri"/>
                <w:color w:val="243B53"/>
                <w:sz w:val="17"/>
              </w:rPr>
              <w:t>Personal amount, frequency, novelty, time gap, unusual hour, and profile confidence.</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7"/>
              </w:rPr>
              <w:t>How abnormal this event is for the customer.</w:t>
            </w:r>
          </w:p>
        </w:tc>
      </w:tr>
      <w:tr>
        <w:tc>
          <w:tcPr>
            <w:tcW w:type="dxa" w:w="1900"/>
            <w:shd w:fill="F8FAFC"/>
            <w:tcMar>
              <w:top w:w="80" w:type="dxa"/>
              <w:bottom w:w="80" w:type="dxa"/>
              <w:start w:w="120" w:type="dxa"/>
              <w:end w:w="120" w:type="dxa"/>
            </w:tcMar>
            <w:vAlign w:val="center"/>
          </w:tcPr>
          <w:p>
            <w:pPr>
              <w:spacing w:after="0" w:line="259" w:lineRule="auto"/>
            </w:pPr>
            <w:r>
              <w:rPr>
                <w:rFonts w:ascii="Calibri" w:hAnsi="Calibri"/>
                <w:color w:val="243B53"/>
                <w:sz w:val="17"/>
              </w:rPr>
              <w:t>Peer behavior</w:t>
            </w:r>
          </w:p>
        </w:tc>
        <w:tc>
          <w:tcPr>
            <w:tcW w:type="dxa" w:w="4550"/>
            <w:shd w:fill="F8FAFC"/>
            <w:tcMar>
              <w:top w:w="80" w:type="dxa"/>
              <w:bottom w:w="80" w:type="dxa"/>
              <w:start w:w="120" w:type="dxa"/>
              <w:end w:w="120" w:type="dxa"/>
            </w:tcMar>
            <w:vAlign w:val="center"/>
          </w:tcPr>
          <w:p>
            <w:pPr>
              <w:spacing w:after="0" w:line="259" w:lineRule="auto"/>
            </w:pPr>
            <w:r>
              <w:rPr>
                <w:rFonts w:ascii="Calibri" w:hAnsi="Calibri"/>
                <w:color w:val="243B53"/>
                <w:sz w:val="17"/>
              </w:rPr>
              <w:t>Peer amount deviation, frequency percentile, and expected-turnover context.</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7"/>
              </w:rPr>
              <w:t>How abnormal it is for comparable customers.</w:t>
            </w:r>
          </w:p>
        </w:tc>
      </w:tr>
      <w:tr>
        <w:tc>
          <w:tcPr>
            <w:tcW w:type="dxa" w:w="1900"/>
            <w:tcMar>
              <w:top w:w="80" w:type="dxa"/>
              <w:bottom w:w="80" w:type="dxa"/>
              <w:start w:w="120" w:type="dxa"/>
              <w:end w:w="120" w:type="dxa"/>
            </w:tcMar>
            <w:vAlign w:val="center"/>
          </w:tcPr>
          <w:p>
            <w:pPr>
              <w:spacing w:after="0" w:line="259" w:lineRule="auto"/>
            </w:pPr>
            <w:r>
              <w:rPr>
                <w:rFonts w:ascii="Calibri" w:hAnsi="Calibri"/>
                <w:color w:val="243B53"/>
                <w:sz w:val="17"/>
              </w:rPr>
              <w:t>ML ensemble</w:t>
            </w:r>
          </w:p>
        </w:tc>
        <w:tc>
          <w:tcPr>
            <w:tcW w:type="dxa" w:w="4550"/>
            <w:tcMar>
              <w:top w:w="80" w:type="dxa"/>
              <w:bottom w:w="80" w:type="dxa"/>
              <w:start w:w="120" w:type="dxa"/>
              <w:end w:w="120" w:type="dxa"/>
            </w:tcMar>
            <w:vAlign w:val="center"/>
          </w:tcPr>
          <w:p>
            <w:pPr>
              <w:spacing w:after="0" w:line="259" w:lineRule="auto"/>
            </w:pPr>
            <w:r>
              <w:rPr>
                <w:rFonts w:ascii="Calibri" w:hAnsi="Calibri"/>
                <w:color w:val="243B53"/>
                <w:sz w:val="17"/>
              </w:rPr>
              <w:t>Enabled production model scores/decisions and normalized internal weights.</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7"/>
              </w:rPr>
              <w:t>Combined nonlinear evidence from the selected learning mode.</w:t>
            </w:r>
          </w:p>
        </w:tc>
      </w:tr>
      <w:tr>
        <w:tc>
          <w:tcPr>
            <w:tcW w:type="dxa" w:w="1900"/>
            <w:shd w:fill="F8FAFC"/>
            <w:tcMar>
              <w:top w:w="80" w:type="dxa"/>
              <w:bottom w:w="80" w:type="dxa"/>
              <w:start w:w="120" w:type="dxa"/>
              <w:end w:w="120" w:type="dxa"/>
            </w:tcMar>
            <w:vAlign w:val="center"/>
          </w:tcPr>
          <w:p>
            <w:pPr>
              <w:spacing w:after="0" w:line="259" w:lineRule="auto"/>
            </w:pPr>
            <w:r>
              <w:rPr>
                <w:rFonts w:ascii="Calibri" w:hAnsi="Calibri"/>
                <w:color w:val="243B53"/>
                <w:sz w:val="17"/>
              </w:rPr>
              <w:t>AML rules</w:t>
            </w:r>
          </w:p>
        </w:tc>
        <w:tc>
          <w:tcPr>
            <w:tcW w:type="dxa" w:w="4550"/>
            <w:shd w:fill="F8FAFC"/>
            <w:tcMar>
              <w:top w:w="80" w:type="dxa"/>
              <w:bottom w:w="80" w:type="dxa"/>
              <w:start w:w="120" w:type="dxa"/>
              <w:end w:w="120" w:type="dxa"/>
            </w:tcMar>
            <w:vAlign w:val="center"/>
          </w:tcPr>
          <w:p>
            <w:pPr>
              <w:spacing w:after="0" w:line="259" w:lineRule="auto"/>
            </w:pPr>
            <w:r>
              <w:rPr>
                <w:rFonts w:ascii="Calibri" w:hAnsi="Calibri"/>
                <w:color w:val="243B53"/>
                <w:sz w:val="17"/>
              </w:rPr>
              <w:t>Structuring, velocity, amount, turnover, sanctions/location, and other deterministic controls.</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7"/>
              </w:rPr>
              <w:t>Explicit policy evidence; severe rules can override weighted scoring.</w:t>
            </w:r>
          </w:p>
        </w:tc>
      </w:tr>
    </w:tbl>
    <w:p>
      <w:pPr>
        <w:spacing w:after="0"/>
      </w:pPr>
    </w:p>
    <w:p>
      <w:pPr>
        <w:pStyle w:val="Heading2"/>
      </w:pPr>
      <w:r>
        <w:t>Calculation</w:t>
      </w:r>
    </w:p>
    <w:p>
      <w:r>
        <w:rPr>
          <w:rFonts w:ascii="Calibri" w:hAnsi="Calibri"/>
          <w:color w:val="243B53"/>
        </w:rPr>
        <w:t>Each layer produces a normalized score from 0 to 1. The active policy assigns four weights that must total 1.0. The aggregation engine calculates: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tcMar>
              <w:top w:w="80" w:type="dxa"/>
              <w:bottom w:w="80" w:type="dxa"/>
              <w:start w:w="120" w:type="dxa"/>
              <w:end w:w="120" w:type="dxa"/>
            </w:tcMar>
            <w:vAlign w:val="center"/>
          </w:tcPr>
          <w:p>
            <w:pPr>
              <w:spacing w:after="0"/>
            </w:pPr>
            <w:r>
              <w:rPr>
                <w:rFonts w:ascii="Calibri" w:hAnsi="Calibri"/>
                <w:b/>
                <w:color w:val="2E74B5"/>
              </w:rPr>
              <w:t xml:space="preserve">Formula: </w:t>
            </w:r>
            <w:r>
              <w:rPr>
                <w:rFonts w:ascii="Calibri" w:hAnsi="Calibri"/>
                <w:color w:val="243B53"/>
              </w:rPr>
              <w:t>Final risk = customer score × customer weight + peer score × peer weight + ML score × ML weight + rule score × rule weight. A configured hard rule can raise the result to at least the HIGH threshold.</w:t>
            </w:r>
          </w:p>
        </w:tc>
      </w:tr>
    </w:tbl>
    <w:p>
      <w:pPr>
        <w:spacing w:after="0"/>
      </w:pPr>
    </w:p>
    <w:p>
      <w:r>
        <w:rPr>
          <w:rFonts w:ascii="Calibri" w:hAnsi="Calibri"/>
          <w:color w:val="243B53"/>
        </w:rPr>
        <w:t>Inside the ML layer, enabled model allocations are normalized to 100%. An anomalous model decision can consume its allocated share, which makes unanimous selected models produce an ML component score of 1.0. The top-level ML weight still limits its contribution to the final score.</w:t>
      </w:r>
    </w:p>
    <w:tbl>
      <w:tblPr>
        <w:tblStyle w:val="TableGrid"/>
        <w:tblW w:type="dxa" w:w="9360"/>
        <w:jc w:val="left"/>
        <w:tblLayout w:type="fixed"/>
        <w:tblLook w:firstColumn="1" w:firstRow="1" w:lastColumn="0" w:lastRow="0" w:noHBand="0" w:noVBand="1" w:val="04A0"/>
        <w:tblInd w:w="120" w:type="dxa"/>
      </w:tblPr>
      <w:tblGrid>
        <w:gridCol w:w="1500"/>
        <w:gridCol w:w="3700"/>
        <w:gridCol w:w="4160"/>
      </w:tblGrid>
      <w:tr>
        <w:trPr>
          <w:tblHeader w:val="true"/>
        </w:trPr>
        <w:tc>
          <w:tcPr>
            <w:tcW w:type="dxa" w:w="1500"/>
            <w:shd w:fill="E8EEF5"/>
            <w:tcMar>
              <w:top w:w="80" w:type="dxa"/>
              <w:bottom w:w="80" w:type="dxa"/>
              <w:start w:w="120" w:type="dxa"/>
              <w:end w:w="120" w:type="dxa"/>
            </w:tcMar>
            <w:vAlign w:val="center"/>
          </w:tcPr>
          <w:p>
            <w:r>
              <w:rPr>
                <w:rFonts w:ascii="Calibri" w:hAnsi="Calibri"/>
                <w:b/>
                <w:color w:val="102A43"/>
                <w:sz w:val="18"/>
              </w:rPr>
              <w:t>Band</w:t>
            </w:r>
          </w:p>
        </w:tc>
        <w:tc>
          <w:tcPr>
            <w:tcW w:type="dxa" w:w="3700"/>
            <w:shd w:fill="E8EEF5"/>
            <w:tcMar>
              <w:top w:w="80" w:type="dxa"/>
              <w:bottom w:w="80" w:type="dxa"/>
              <w:start w:w="120" w:type="dxa"/>
              <w:end w:w="120" w:type="dxa"/>
            </w:tcMar>
            <w:vAlign w:val="center"/>
          </w:tcPr>
          <w:p>
            <w:r>
              <w:rPr>
                <w:rFonts w:ascii="Calibri" w:hAnsi="Calibri"/>
                <w:b/>
                <w:color w:val="102A43"/>
                <w:sz w:val="18"/>
              </w:rPr>
              <w:t>Meaning</w:t>
            </w:r>
          </w:p>
        </w:tc>
        <w:tc>
          <w:tcPr>
            <w:tcW w:type="dxa" w:w="4160"/>
            <w:shd w:fill="E8EEF5"/>
            <w:tcMar>
              <w:top w:w="80" w:type="dxa"/>
              <w:bottom w:w="80" w:type="dxa"/>
              <w:start w:w="120" w:type="dxa"/>
              <w:end w:w="120" w:type="dxa"/>
            </w:tcMar>
            <w:vAlign w:val="center"/>
          </w:tcPr>
          <w:p>
            <w:r>
              <w:rPr>
                <w:rFonts w:ascii="Calibri" w:hAnsi="Calibri"/>
                <w:b/>
                <w:color w:val="102A43"/>
                <w:sz w:val="18"/>
              </w:rPr>
              <w:t>Typical action</w:t>
            </w:r>
          </w:p>
        </w:tc>
      </w:tr>
      <w:tr>
        <w:tc>
          <w:tcPr>
            <w:tcW w:type="dxa" w:w="1500"/>
            <w:tcMar>
              <w:top w:w="80" w:type="dxa"/>
              <w:bottom w:w="80" w:type="dxa"/>
              <w:start w:w="120" w:type="dxa"/>
              <w:end w:w="120" w:type="dxa"/>
            </w:tcMar>
            <w:vAlign w:val="center"/>
          </w:tcPr>
          <w:p>
            <w:pPr>
              <w:spacing w:after="0" w:line="259" w:lineRule="auto"/>
            </w:pPr>
            <w:r>
              <w:rPr>
                <w:rFonts w:ascii="Calibri" w:hAnsi="Calibri"/>
                <w:color w:val="243B53"/>
                <w:sz w:val="17"/>
              </w:rPr>
              <w:t>NORMAL</w:t>
            </w:r>
          </w:p>
        </w:tc>
        <w:tc>
          <w:tcPr>
            <w:tcW w:type="dxa" w:w="3700"/>
            <w:tcMar>
              <w:top w:w="80" w:type="dxa"/>
              <w:bottom w:w="80" w:type="dxa"/>
              <w:start w:w="120" w:type="dxa"/>
              <w:end w:w="120" w:type="dxa"/>
            </w:tcMar>
            <w:vAlign w:val="center"/>
          </w:tcPr>
          <w:p>
            <w:pPr>
              <w:spacing w:after="0" w:line="259" w:lineRule="auto"/>
            </w:pPr>
            <w:r>
              <w:rPr>
                <w:rFonts w:ascii="Calibri" w:hAnsi="Calibri"/>
                <w:color w:val="243B53"/>
                <w:sz w:val="17"/>
              </w:rPr>
              <w:t>Below LOW threshold</w:t>
            </w:r>
          </w:p>
        </w:tc>
        <w:tc>
          <w:tcPr>
            <w:tcW w:type="dxa" w:w="4160"/>
            <w:tcMar>
              <w:top w:w="80" w:type="dxa"/>
              <w:bottom w:w="80" w:type="dxa"/>
              <w:start w:w="120" w:type="dxa"/>
              <w:end w:w="120" w:type="dxa"/>
            </w:tcMar>
            <w:vAlign w:val="center"/>
          </w:tcPr>
          <w:p>
            <w:pPr>
              <w:spacing w:after="0" w:line="259" w:lineRule="auto"/>
            </w:pPr>
            <w:r>
              <w:rPr>
                <w:rFonts w:ascii="Calibri" w:hAnsi="Calibri"/>
                <w:color w:val="243B53"/>
                <w:sz w:val="17"/>
              </w:rPr>
              <w:t>ALLOW</w:t>
            </w:r>
          </w:p>
        </w:tc>
      </w:tr>
      <w:tr>
        <w:tc>
          <w:tcPr>
            <w:tcW w:type="dxa" w:w="1500"/>
            <w:shd w:fill="F8FAFC"/>
            <w:tcMar>
              <w:top w:w="80" w:type="dxa"/>
              <w:bottom w:w="80" w:type="dxa"/>
              <w:start w:w="120" w:type="dxa"/>
              <w:end w:w="120" w:type="dxa"/>
            </w:tcMar>
            <w:vAlign w:val="center"/>
          </w:tcPr>
          <w:p>
            <w:pPr>
              <w:spacing w:after="0" w:line="259" w:lineRule="auto"/>
            </w:pPr>
            <w:r>
              <w:rPr>
                <w:rFonts w:ascii="Calibri" w:hAnsi="Calibri"/>
                <w:color w:val="243B53"/>
                <w:sz w:val="17"/>
              </w:rPr>
              <w:t>LOW</w:t>
            </w:r>
          </w:p>
        </w:tc>
        <w:tc>
          <w:tcPr>
            <w:tcW w:type="dxa" w:w="3700"/>
            <w:shd w:fill="F8FAFC"/>
            <w:tcMar>
              <w:top w:w="80" w:type="dxa"/>
              <w:bottom w:w="80" w:type="dxa"/>
              <w:start w:w="120" w:type="dxa"/>
              <w:end w:w="120" w:type="dxa"/>
            </w:tcMar>
            <w:vAlign w:val="center"/>
          </w:tcPr>
          <w:p>
            <w:pPr>
              <w:spacing w:after="0" w:line="259" w:lineRule="auto"/>
            </w:pPr>
            <w:r>
              <w:rPr>
                <w:rFonts w:ascii="Calibri" w:hAnsi="Calibri"/>
                <w:color w:val="243B53"/>
                <w:sz w:val="17"/>
              </w:rPr>
              <w:t>At or above LOW but below MEDIUM</w:t>
            </w:r>
          </w:p>
        </w:tc>
        <w:tc>
          <w:tcPr>
            <w:tcW w:type="dxa" w:w="4160"/>
            <w:shd w:fill="F8FAFC"/>
            <w:tcMar>
              <w:top w:w="80" w:type="dxa"/>
              <w:bottom w:w="80" w:type="dxa"/>
              <w:start w:w="120" w:type="dxa"/>
              <w:end w:w="120" w:type="dxa"/>
            </w:tcMar>
            <w:vAlign w:val="center"/>
          </w:tcPr>
          <w:p>
            <w:pPr>
              <w:spacing w:after="0" w:line="259" w:lineRule="auto"/>
            </w:pPr>
            <w:r>
              <w:rPr>
                <w:rFonts w:ascii="Calibri" w:hAnsi="Calibri"/>
                <w:color w:val="243B53"/>
                <w:sz w:val="17"/>
              </w:rPr>
              <w:t>ALLOW_AND_LOG</w:t>
            </w:r>
          </w:p>
        </w:tc>
      </w:tr>
      <w:tr>
        <w:tc>
          <w:tcPr>
            <w:tcW w:type="dxa" w:w="1500"/>
            <w:tcMar>
              <w:top w:w="80" w:type="dxa"/>
              <w:bottom w:w="80" w:type="dxa"/>
              <w:start w:w="120" w:type="dxa"/>
              <w:end w:w="120" w:type="dxa"/>
            </w:tcMar>
            <w:vAlign w:val="center"/>
          </w:tcPr>
          <w:p>
            <w:pPr>
              <w:spacing w:after="0" w:line="259" w:lineRule="auto"/>
            </w:pPr>
            <w:r>
              <w:rPr>
                <w:rFonts w:ascii="Calibri" w:hAnsi="Calibri"/>
                <w:color w:val="243B53"/>
                <w:sz w:val="17"/>
              </w:rPr>
              <w:t>MEDIUM</w:t>
            </w:r>
          </w:p>
        </w:tc>
        <w:tc>
          <w:tcPr>
            <w:tcW w:type="dxa" w:w="3700"/>
            <w:tcMar>
              <w:top w:w="80" w:type="dxa"/>
              <w:bottom w:w="80" w:type="dxa"/>
              <w:start w:w="120" w:type="dxa"/>
              <w:end w:w="120" w:type="dxa"/>
            </w:tcMar>
            <w:vAlign w:val="center"/>
          </w:tcPr>
          <w:p>
            <w:pPr>
              <w:spacing w:after="0" w:line="259" w:lineRule="auto"/>
            </w:pPr>
            <w:r>
              <w:rPr>
                <w:rFonts w:ascii="Calibri" w:hAnsi="Calibri"/>
                <w:color w:val="243B53"/>
                <w:sz w:val="17"/>
              </w:rPr>
              <w:t>At or above MEDIUM but below HIGH</w:t>
            </w:r>
          </w:p>
        </w:tc>
        <w:tc>
          <w:tcPr>
            <w:tcW w:type="dxa" w:w="4160"/>
            <w:tcMar>
              <w:top w:w="80" w:type="dxa"/>
              <w:bottom w:w="80" w:type="dxa"/>
              <w:start w:w="120" w:type="dxa"/>
              <w:end w:w="120" w:type="dxa"/>
            </w:tcMar>
            <w:vAlign w:val="center"/>
          </w:tcPr>
          <w:p>
            <w:pPr>
              <w:spacing w:after="0" w:line="259" w:lineRule="auto"/>
            </w:pPr>
            <w:r>
              <w:rPr>
                <w:rFonts w:ascii="Calibri" w:hAnsi="Calibri"/>
                <w:color w:val="243B53"/>
                <w:sz w:val="17"/>
              </w:rPr>
              <w:t>ALLOW_AND_ALERT; create review case</w:t>
            </w:r>
          </w:p>
        </w:tc>
      </w:tr>
      <w:tr>
        <w:tc>
          <w:tcPr>
            <w:tcW w:type="dxa" w:w="1500"/>
            <w:shd w:fill="F8FAFC"/>
            <w:tcMar>
              <w:top w:w="80" w:type="dxa"/>
              <w:bottom w:w="80" w:type="dxa"/>
              <w:start w:w="120" w:type="dxa"/>
              <w:end w:w="120" w:type="dxa"/>
            </w:tcMar>
            <w:vAlign w:val="center"/>
          </w:tcPr>
          <w:p>
            <w:pPr>
              <w:spacing w:after="0" w:line="259" w:lineRule="auto"/>
            </w:pPr>
            <w:r>
              <w:rPr>
                <w:rFonts w:ascii="Calibri" w:hAnsi="Calibri"/>
                <w:color w:val="243B53"/>
                <w:sz w:val="17"/>
              </w:rPr>
              <w:t>HIGH</w:t>
            </w:r>
          </w:p>
        </w:tc>
        <w:tc>
          <w:tcPr>
            <w:tcW w:type="dxa" w:w="3700"/>
            <w:shd w:fill="F8FAFC"/>
            <w:tcMar>
              <w:top w:w="80" w:type="dxa"/>
              <w:bottom w:w="80" w:type="dxa"/>
              <w:start w:w="120" w:type="dxa"/>
              <w:end w:w="120" w:type="dxa"/>
            </w:tcMar>
            <w:vAlign w:val="center"/>
          </w:tcPr>
          <w:p>
            <w:pPr>
              <w:spacing w:after="0" w:line="259" w:lineRule="auto"/>
            </w:pPr>
            <w:r>
              <w:rPr>
                <w:rFonts w:ascii="Calibri" w:hAnsi="Calibri"/>
                <w:color w:val="243B53"/>
                <w:sz w:val="17"/>
              </w:rPr>
              <w:t>At or above HIGH or hard-rule override</w:t>
            </w:r>
          </w:p>
        </w:tc>
        <w:tc>
          <w:tcPr>
            <w:tcW w:type="dxa" w:w="4160"/>
            <w:shd w:fill="F8FAFC"/>
            <w:tcMar>
              <w:top w:w="80" w:type="dxa"/>
              <w:bottom w:w="80" w:type="dxa"/>
              <w:start w:w="120" w:type="dxa"/>
              <w:end w:w="120" w:type="dxa"/>
            </w:tcMar>
            <w:vAlign w:val="center"/>
          </w:tcPr>
          <w:p>
            <w:pPr>
              <w:spacing w:after="0" w:line="259" w:lineRule="auto"/>
            </w:pPr>
            <w:r>
              <w:rPr>
                <w:rFonts w:ascii="Calibri" w:hAnsi="Calibri"/>
                <w:color w:val="243B53"/>
                <w:sz w:val="17"/>
              </w:rPr>
              <w:t>HOLD_FOR_REVIEW; STR workflow may be generated</w:t>
            </w:r>
          </w:p>
        </w:tc>
      </w:tr>
    </w:tbl>
    <w:p>
      <w:pPr>
        <w:spacing w:after="0"/>
      </w:pPr>
    </w:p>
    <w:p>
      <w:pPr>
        <w:pStyle w:val="Heading2"/>
      </w:pPr>
      <w:r>
        <w:t>Why three anomalous ML models may not automatically mean HIGH</w:t>
      </w:r>
    </w:p>
    <w:p>
      <w:r>
        <w:rPr>
          <w:rFonts w:ascii="Calibri" w:hAnsi="Calibri"/>
          <w:color w:val="243B53"/>
        </w:rPr>
        <w:t>Unanimous ML evidence makes the ML component high, not necessarily the final score high. The final score also depends on the ML top-level weight, the other three layers, and the MEDIUM/HIGH thresholds. This is intentional: model agreement is strong evidence, but the business policy controls its operational effect.</w:t>
      </w:r>
    </w:p>
    <w:p>
      <w:pPr>
        <w:pStyle w:val="Heading2"/>
      </w:pPr>
      <w:r>
        <w:t>Key code</w:t>
      </w:r>
    </w:p>
    <w:p>
      <w:pPr>
        <w:pStyle w:val="CodePath"/>
      </w:pPr>
      <w:r>
        <w:rPr>
          <w:rFonts w:ascii="Consolas" w:hAnsi="Consolas"/>
          <w:color w:val="1F4D78"/>
          <w:sz w:val="17"/>
        </w:rPr>
        <w:t>fraud-transaction-detector/src/main/java/com/ftd/fraud_transaction_detector/aml/prediction/LayeredShadowScoringService.java</w:t>
      </w:r>
    </w:p>
    <w:p>
      <w:pPr>
        <w:pStyle w:val="CodePath"/>
      </w:pPr>
      <w:r>
        <w:rPr>
          <w:rFonts w:ascii="Consolas" w:hAnsi="Consolas"/>
          <w:color w:val="1F4D78"/>
          <w:sz w:val="17"/>
        </w:rPr>
        <w:t>fraud-transaction-detector/src/main/java/com/ftd/fraud_transaction_detector/aml/risk/application/WeightedRiskAggregationEngine.java</w:t>
      </w:r>
    </w:p>
    <w:p>
      <w:pPr>
        <w:pStyle w:val="CodePath"/>
      </w:pPr>
      <w:r>
        <w:rPr>
          <w:rFonts w:ascii="Consolas" w:hAnsi="Consolas"/>
          <w:color w:val="1F4D78"/>
          <w:sz w:val="17"/>
        </w:rPr>
        <w:t>fraud-transaction-detector/src/main/java/com/ftd/fraud_transaction_detector/aml/behaviour/customer/CustomerBehaviourScorer.java</w:t>
      </w:r>
    </w:p>
    <w:p>
      <w:pPr>
        <w:pStyle w:val="CodePath"/>
      </w:pPr>
      <w:r>
        <w:rPr>
          <w:rFonts w:ascii="Consolas" w:hAnsi="Consolas"/>
          <w:color w:val="1F4D78"/>
          <w:sz w:val="17"/>
        </w:rPr>
        <w:t>fraud-transaction-detector/src/main/java/com/ftd/fraud_transaction_detector/aml/behaviour/peer/PeerBehaviourScorer.java</w:t>
      </w:r>
    </w:p>
    <w:p>
      <w:pPr>
        <w:pStyle w:val="CodePath"/>
      </w:pPr>
      <w:r>
        <w:rPr>
          <w:rFonts w:ascii="Consolas" w:hAnsi="Consolas"/>
          <w:color w:val="1F4D78"/>
          <w:sz w:val="17"/>
        </w:rPr>
        <w:t>fraud-transaction-detector/src/main/java/com/ftd/fraud_transaction_detector/aml/rules/engine/DeterministicAmlRuleEngine.java</w:t>
      </w:r>
    </w:p>
    <w:p>
      <w:pPr>
        <w:pStyle w:val="CodePath"/>
      </w:pPr>
      <w:r>
        <w:rPr>
          <w:rFonts w:ascii="Consolas" w:hAnsi="Consolas"/>
          <w:color w:val="1F4D78"/>
          <w:sz w:val="17"/>
        </w:rPr>
        <w:t>fraud-transaction-detector/src/main/java/com/ftd/fraud_transaction_detector/aml/risk/infrastructure/AppConfigRiskPolicyRepository.java</w:t>
      </w:r>
    </w:p>
    <w:p>
      <w:pPr>
        <w:pStyle w:val="Heading1"/>
      </w:pPr>
      <w:r>
        <w:t>7. Unsupervised and Supervised Learning Modes</w:t>
      </w:r>
    </w:p>
    <w:p>
      <w:r>
        <w:rPr>
          <w:rFonts w:ascii="Calibri" w:hAnsi="Calibri"/>
          <w:color w:val="243B53"/>
        </w:rPr>
        <w:t>The global system.learning_mode setting controls upload guidance, model-tuning controls, training selections, production ML catalog, and the appropriate comparison page.</w:t>
      </w:r>
    </w:p>
    <w:tbl>
      <w:tblPr>
        <w:tblStyle w:val="TableGrid"/>
        <w:tblW w:type="dxa" w:w="9360"/>
        <w:jc w:val="left"/>
        <w:tblLayout w:type="fixed"/>
        <w:tblLook w:firstColumn="1" w:firstRow="1" w:lastColumn="0" w:lastRow="0" w:noHBand="0" w:noVBand="1" w:val="04A0"/>
        <w:tblInd w:w="120" w:type="dxa"/>
      </w:tblPr>
      <w:tblGrid>
        <w:gridCol w:w="1450"/>
        <w:gridCol w:w="2200"/>
        <w:gridCol w:w="3000"/>
        <w:gridCol w:w="2710"/>
      </w:tblGrid>
      <w:tr>
        <w:trPr>
          <w:tblHeader w:val="true"/>
        </w:trPr>
        <w:tc>
          <w:tcPr>
            <w:tcW w:type="dxa" w:w="1450"/>
            <w:shd w:fill="E8EEF5"/>
            <w:tcMar>
              <w:top w:w="80" w:type="dxa"/>
              <w:bottom w:w="80" w:type="dxa"/>
              <w:start w:w="120" w:type="dxa"/>
              <w:end w:w="120" w:type="dxa"/>
            </w:tcMar>
            <w:vAlign w:val="center"/>
          </w:tcPr>
          <w:p>
            <w:r>
              <w:rPr>
                <w:rFonts w:ascii="Calibri" w:hAnsi="Calibri"/>
                <w:b/>
                <w:color w:val="102A43"/>
                <w:sz w:val="18"/>
              </w:rPr>
              <w:t>Mode</w:t>
            </w:r>
          </w:p>
        </w:tc>
        <w:tc>
          <w:tcPr>
            <w:tcW w:type="dxa" w:w="2200"/>
            <w:shd w:fill="E8EEF5"/>
            <w:tcMar>
              <w:top w:w="80" w:type="dxa"/>
              <w:bottom w:w="80" w:type="dxa"/>
              <w:start w:w="120" w:type="dxa"/>
              <w:end w:w="120" w:type="dxa"/>
            </w:tcMar>
            <w:vAlign w:val="center"/>
          </w:tcPr>
          <w:p>
            <w:r>
              <w:rPr>
                <w:rFonts w:ascii="Calibri" w:hAnsi="Calibri"/>
                <w:b/>
                <w:color w:val="102A43"/>
                <w:sz w:val="18"/>
              </w:rPr>
              <w:t>When to use</w:t>
            </w:r>
          </w:p>
        </w:tc>
        <w:tc>
          <w:tcPr>
            <w:tcW w:type="dxa" w:w="3000"/>
            <w:shd w:fill="E8EEF5"/>
            <w:tcMar>
              <w:top w:w="80" w:type="dxa"/>
              <w:bottom w:w="80" w:type="dxa"/>
              <w:start w:w="120" w:type="dxa"/>
              <w:end w:w="120" w:type="dxa"/>
            </w:tcMar>
            <w:vAlign w:val="center"/>
          </w:tcPr>
          <w:p>
            <w:r>
              <w:rPr>
                <w:rFonts w:ascii="Calibri" w:hAnsi="Calibri"/>
                <w:b/>
                <w:color w:val="102A43"/>
                <w:sz w:val="18"/>
              </w:rPr>
              <w:t>Current models</w:t>
            </w:r>
          </w:p>
        </w:tc>
        <w:tc>
          <w:tcPr>
            <w:tcW w:type="dxa" w:w="2710"/>
            <w:shd w:fill="E8EEF5"/>
            <w:tcMar>
              <w:top w:w="80" w:type="dxa"/>
              <w:bottom w:w="80" w:type="dxa"/>
              <w:start w:w="120" w:type="dxa"/>
              <w:end w:w="120" w:type="dxa"/>
            </w:tcMar>
            <w:vAlign w:val="center"/>
          </w:tcPr>
          <w:p>
            <w:r>
              <w:rPr>
                <w:rFonts w:ascii="Calibri" w:hAnsi="Calibri"/>
                <w:b/>
                <w:color w:val="102A43"/>
                <w:sz w:val="18"/>
              </w:rPr>
              <w:t>Valid evaluation claim</w:t>
            </w:r>
          </w:p>
        </w:tc>
      </w:tr>
      <w:tr>
        <w:tc>
          <w:tcPr>
            <w:tcW w:type="dxa" w:w="1450"/>
            <w:tcMar>
              <w:top w:w="80" w:type="dxa"/>
              <w:bottom w:w="80" w:type="dxa"/>
              <w:start w:w="120" w:type="dxa"/>
              <w:end w:w="120" w:type="dxa"/>
            </w:tcMar>
            <w:vAlign w:val="center"/>
          </w:tcPr>
          <w:p>
            <w:pPr>
              <w:spacing w:after="0" w:line="259" w:lineRule="auto"/>
            </w:pPr>
            <w:r>
              <w:rPr>
                <w:rFonts w:ascii="Calibri" w:hAnsi="Calibri"/>
                <w:color w:val="243B53"/>
                <w:sz w:val="16"/>
              </w:rPr>
              <w:t>UNSUPERVISED</w:t>
            </w:r>
          </w:p>
        </w:tc>
        <w:tc>
          <w:tcPr>
            <w:tcW w:type="dxa" w:w="2200"/>
            <w:tcMar>
              <w:top w:w="80" w:type="dxa"/>
              <w:bottom w:w="80" w:type="dxa"/>
              <w:start w:w="120" w:type="dxa"/>
              <w:end w:w="120" w:type="dxa"/>
            </w:tcMar>
            <w:vAlign w:val="center"/>
          </w:tcPr>
          <w:p>
            <w:pPr>
              <w:spacing w:after="0" w:line="259" w:lineRule="auto"/>
            </w:pPr>
            <w:r>
              <w:rPr>
                <w:rFonts w:ascii="Calibri" w:hAnsi="Calibri"/>
                <w:color w:val="243B53"/>
                <w:sz w:val="16"/>
              </w:rPr>
              <w:t>No reliable FraudLabel exists.</w:t>
            </w:r>
          </w:p>
        </w:tc>
        <w:tc>
          <w:tcPr>
            <w:tcW w:type="dxa" w:w="3000"/>
            <w:tcMar>
              <w:top w:w="80" w:type="dxa"/>
              <w:bottom w:w="80" w:type="dxa"/>
              <w:start w:w="120" w:type="dxa"/>
              <w:end w:w="120" w:type="dxa"/>
            </w:tcMar>
            <w:vAlign w:val="center"/>
          </w:tcPr>
          <w:p>
            <w:pPr>
              <w:spacing w:after="0" w:line="259" w:lineRule="auto"/>
            </w:pPr>
            <w:r>
              <w:rPr>
                <w:rFonts w:ascii="Calibri" w:hAnsi="Calibri"/>
                <w:color w:val="243B53"/>
                <w:sz w:val="16"/>
              </w:rPr>
              <w:t>Isolation Forest, Autoencoder, Behavioral Cluster Outlier</w:t>
            </w:r>
          </w:p>
        </w:tc>
        <w:tc>
          <w:tcPr>
            <w:tcW w:type="dxa" w:w="2710"/>
            <w:tcMar>
              <w:top w:w="80" w:type="dxa"/>
              <w:bottom w:w="80" w:type="dxa"/>
              <w:start w:w="120" w:type="dxa"/>
              <w:end w:w="120" w:type="dxa"/>
            </w:tcMar>
            <w:vAlign w:val="center"/>
          </w:tcPr>
          <w:p>
            <w:pPr>
              <w:spacing w:after="0" w:line="259" w:lineRule="auto"/>
            </w:pPr>
            <w:r>
              <w:rPr>
                <w:rFonts w:ascii="Calibri" w:hAnsi="Calibri"/>
                <w:color w:val="243B53"/>
                <w:sz w:val="16"/>
              </w:rPr>
              <w:t>Label-free separation, anomaly-rate control, agreement, stability, growth, latency; not fraud accuracy.</w:t>
            </w:r>
          </w:p>
        </w:tc>
      </w:tr>
      <w:tr>
        <w:tc>
          <w:tcPr>
            <w:tcW w:type="dxa" w:w="1450"/>
            <w:shd w:fill="F8FAFC"/>
            <w:tcMar>
              <w:top w:w="80" w:type="dxa"/>
              <w:bottom w:w="80" w:type="dxa"/>
              <w:start w:w="120" w:type="dxa"/>
              <w:end w:w="120" w:type="dxa"/>
            </w:tcMar>
            <w:vAlign w:val="center"/>
          </w:tcPr>
          <w:p>
            <w:pPr>
              <w:spacing w:after="0" w:line="259" w:lineRule="auto"/>
            </w:pPr>
            <w:r>
              <w:rPr>
                <w:rFonts w:ascii="Calibri" w:hAnsi="Calibri"/>
                <w:color w:val="243B53"/>
                <w:sz w:val="16"/>
              </w:rPr>
              <w:t>SUPERVISED</w:t>
            </w:r>
          </w:p>
        </w:tc>
        <w:tc>
          <w:tcPr>
            <w:tcW w:type="dxa" w:w="2200"/>
            <w:shd w:fill="F8FAFC"/>
            <w:tcMar>
              <w:top w:w="80" w:type="dxa"/>
              <w:bottom w:w="80" w:type="dxa"/>
              <w:start w:w="120" w:type="dxa"/>
              <w:end w:w="120" w:type="dxa"/>
            </w:tcMar>
            <w:vAlign w:val="center"/>
          </w:tcPr>
          <w:p>
            <w:pPr>
              <w:spacing w:after="0" w:line="259" w:lineRule="auto"/>
            </w:pPr>
            <w:r>
              <w:rPr>
                <w:rFonts w:ascii="Calibri" w:hAnsi="Calibri"/>
                <w:color w:val="243B53"/>
                <w:sz w:val="16"/>
              </w:rPr>
              <w:t>Reliable 0/1 labels exist from source data or reviewed outcomes.</w:t>
            </w:r>
          </w:p>
        </w:tc>
        <w:tc>
          <w:tcPr>
            <w:tcW w:type="dxa" w:w="3000"/>
            <w:shd w:fill="F8FAFC"/>
            <w:tcMar>
              <w:top w:w="80" w:type="dxa"/>
              <w:bottom w:w="80" w:type="dxa"/>
              <w:start w:w="120" w:type="dxa"/>
              <w:end w:w="120" w:type="dxa"/>
            </w:tcMar>
            <w:vAlign w:val="center"/>
          </w:tcPr>
          <w:p>
            <w:pPr>
              <w:spacing w:after="0" w:line="259" w:lineRule="auto"/>
            </w:pPr>
            <w:r>
              <w:rPr>
                <w:rFonts w:ascii="Calibri" w:hAnsi="Calibri"/>
                <w:color w:val="243B53"/>
                <w:sz w:val="16"/>
              </w:rPr>
              <w:t>XGBoost, Class-Balanced Random Forest, Extra Trees; optional Temporal Stacked Ensemble</w:t>
            </w:r>
          </w:p>
        </w:tc>
        <w:tc>
          <w:tcPr>
            <w:tcW w:type="dxa" w:w="2710"/>
            <w:shd w:fill="F8FAFC"/>
            <w:tcMar>
              <w:top w:w="80" w:type="dxa"/>
              <w:bottom w:w="80" w:type="dxa"/>
              <w:start w:w="120" w:type="dxa"/>
              <w:end w:w="120" w:type="dxa"/>
            </w:tcMar>
            <w:vAlign w:val="center"/>
          </w:tcPr>
          <w:p>
            <w:pPr>
              <w:spacing w:after="0" w:line="259" w:lineRule="auto"/>
            </w:pPr>
            <w:r>
              <w:rPr>
                <w:rFonts w:ascii="Calibri" w:hAnsi="Calibri"/>
                <w:color w:val="243B53"/>
                <w:sz w:val="16"/>
              </w:rPr>
              <w:t>PR-AUC, precision, recall, F1, balanced accuracy, Brier score, confusion matrices, and risk-policy backtest.</w:t>
            </w:r>
          </w:p>
        </w:tc>
      </w:tr>
    </w:tbl>
    <w:p>
      <w:pPr>
        <w:spacing w:after="0"/>
      </w:pPr>
    </w:p>
    <w:p>
      <w:pPr>
        <w:pStyle w:val="Heading2"/>
      </w:pPr>
      <w:r>
        <w:t>Why two modes are necessary</w:t>
      </w:r>
    </w:p>
    <w:p>
      <w:pPr>
        <w:pStyle w:val="ListBullet"/>
      </w:pPr>
      <w:r>
        <w:rPr>
          <w:rFonts w:ascii="Calibri" w:hAnsi="Calibri"/>
          <w:color w:val="243B53"/>
        </w:rPr>
        <w:t>A new client may have transactions but no confirmed fraud labels, so unsupervised learning provides an honest starting point.</w:t>
      </w:r>
    </w:p>
    <w:p>
      <w:pPr>
        <w:pStyle w:val="ListBullet"/>
      </w:pPr>
      <w:r>
        <w:rPr>
          <w:rFonts w:ascii="Calibri" w:hAnsi="Calibri"/>
          <w:color w:val="243B53"/>
        </w:rPr>
        <w:t>After investigators mark false positives or suspicious/STR outcomes, reviewed evidence can create supervised labels.</w:t>
      </w:r>
    </w:p>
    <w:p>
      <w:pPr>
        <w:pStyle w:val="ListBullet"/>
      </w:pPr>
      <w:r>
        <w:rPr>
          <w:rFonts w:ascii="Calibri" w:hAnsi="Calibri"/>
          <w:color w:val="243B53"/>
        </w:rPr>
        <w:t>Rows with FraudLabel = NULL are excluded from supervised training; they are not silently assumed legitimate.</w:t>
      </w:r>
    </w:p>
    <w:p>
      <w:pPr>
        <w:pStyle w:val="ListBullet"/>
      </w:pPr>
      <w:r>
        <w:rPr>
          <w:rFonts w:ascii="Calibri" w:hAnsi="Calibri"/>
          <w:color w:val="243B53"/>
        </w:rPr>
        <w:t>A new API transaction that creates no case may become label 0 under the accepted business rule; uploaded unlabeled history remains NULL unless the file supplies a label.</w:t>
      </w:r>
    </w:p>
    <w:p>
      <w:pPr>
        <w:pStyle w:val="ListBullet"/>
      </w:pPr>
      <w:r>
        <w:rPr>
          <w:rFonts w:ascii="Calibri" w:hAnsi="Calibri"/>
          <w:color w:val="243B53"/>
        </w:rPr>
        <w:t>The modes share feature governance and risk layers, but their ML training and evaluation logic differ.</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DECEC"/>
            <w:tcMar>
              <w:top w:w="80" w:type="dxa"/>
              <w:bottom w:w="80" w:type="dxa"/>
              <w:start w:w="120" w:type="dxa"/>
              <w:end w:w="120" w:type="dxa"/>
            </w:tcMar>
            <w:vAlign w:val="center"/>
          </w:tcPr>
          <w:p>
            <w:pPr>
              <w:spacing w:after="0"/>
            </w:pPr>
            <w:r>
              <w:rPr>
                <w:rFonts w:ascii="Calibri" w:hAnsi="Calibri"/>
                <w:b/>
                <w:color w:val="B42318"/>
              </w:rPr>
              <w:t xml:space="preserve">Avoid confirmation bias: </w:t>
            </w:r>
            <w:r>
              <w:rPr>
                <w:rFonts w:ascii="Calibri" w:hAnsi="Calibri"/>
                <w:color w:val="243B53"/>
              </w:rPr>
              <w:t>Do not convert every model alert into label 1. The label must come from reviewed evidence or an accepted business outcome, otherwise the supervised model only learns the previous model's mistakes.</w:t>
            </w:r>
          </w:p>
        </w:tc>
      </w:tr>
    </w:tbl>
    <w:p>
      <w:pPr>
        <w:spacing w:after="0"/>
      </w:pPr>
    </w:p>
    <w:p>
      <w:r>
        <w:br w:type="page"/>
      </w:r>
    </w:p>
    <w:p>
      <w:pPr>
        <w:pStyle w:val="Heading1"/>
      </w:pPr>
      <w:r>
        <w:t>8. Training, Comparison, Artifacts, and Governance</w:t>
      </w:r>
    </w:p>
    <w:p>
      <w:pPr>
        <w:pStyle w:val="Heading2"/>
      </w:pPr>
      <w:r>
        <w:t>Training Operations</w:t>
      </w:r>
    </w:p>
    <w:p>
      <w:pPr>
        <w:numPr>
          <w:ilvl w:val="0"/>
          <w:numId w:val="12"/>
        </w:numPr>
        <w:spacing w:after="80" w:line="300" w:lineRule="auto"/>
      </w:pPr>
      <w:r>
        <w:rPr>
          <w:rFonts w:ascii="Calibri" w:hAnsi="Calibri"/>
          <w:color w:val="243B53"/>
        </w:rPr>
        <w:t>Close business dates so the historical window cannot change during export.</w:t>
      </w:r>
    </w:p>
    <w:p>
      <w:pPr>
        <w:numPr>
          <w:ilvl w:val="0"/>
          <w:numId w:val="12"/>
        </w:numPr>
        <w:spacing w:after="80" w:line="300" w:lineRule="auto"/>
      </w:pPr>
      <w:r>
        <w:rPr>
          <w:rFonts w:ascii="Calibri" w:hAnsi="Calibri"/>
          <w:color w:val="243B53"/>
        </w:rPr>
        <w:t>Create a training run with feature version, date range, cutoff, and selected models from the active learning mode.</w:t>
      </w:r>
    </w:p>
    <w:p>
      <w:pPr>
        <w:numPr>
          <w:ilvl w:val="0"/>
          <w:numId w:val="12"/>
        </w:numPr>
        <w:spacing w:after="80" w:line="300" w:lineRule="auto"/>
      </w:pPr>
      <w:r>
        <w:rPr>
          <w:rFonts w:ascii="Calibri" w:hAnsi="Calibri"/>
          <w:color w:val="243B53"/>
        </w:rPr>
        <w:t>Export eligible rows in keyset-paginated chunks to immutable Parquet parts with checksums.</w:t>
      </w:r>
    </w:p>
    <w:p>
      <w:pPr>
        <w:numPr>
          <w:ilvl w:val="0"/>
          <w:numId w:val="12"/>
        </w:numPr>
        <w:spacing w:after="80" w:line="300" w:lineRule="auto"/>
      </w:pPr>
      <w:r>
        <w:rPr>
          <w:rFonts w:ascii="Calibri" w:hAnsi="Calibri"/>
          <w:color w:val="243B53"/>
        </w:rPr>
        <w:t>Train each selected model independently on the same snapshot.</w:t>
      </w:r>
    </w:p>
    <w:p>
      <w:pPr>
        <w:numPr>
          <w:ilvl w:val="0"/>
          <w:numId w:val="12"/>
        </w:numPr>
        <w:spacing w:after="80" w:line="300" w:lineRule="auto"/>
      </w:pPr>
      <w:r>
        <w:rPr>
          <w:rFonts w:ascii="Calibri" w:hAnsi="Calibri"/>
          <w:color w:val="243B53"/>
        </w:rPr>
        <w:t>Write immutable artifact bundles, metrics, thresholds, feature columns/schema, and checksums.</w:t>
      </w:r>
    </w:p>
    <w:p>
      <w:pPr>
        <w:numPr>
          <w:ilvl w:val="0"/>
          <w:numId w:val="12"/>
        </w:numPr>
        <w:spacing w:after="80" w:line="300" w:lineRule="auto"/>
      </w:pPr>
      <w:r>
        <w:rPr>
          <w:rFonts w:ascii="Calibri" w:hAnsi="Calibri"/>
          <w:color w:val="243B53"/>
        </w:rPr>
        <w:t>Register candidate versions. A candidate is not production simply because training completed.</w:t>
      </w:r>
    </w:p>
    <w:p>
      <w:pPr>
        <w:pStyle w:val="Heading2"/>
      </w:pPr>
      <w:r>
        <w:t>Supervised split</w:t>
      </w:r>
    </w:p>
    <w:p>
      <w:r>
        <w:rPr>
          <w:rFonts w:ascii="Calibri" w:hAnsi="Calibri"/>
          <w:color w:val="243B53"/>
        </w:rPr>
        <w:t>The supervised pipeline uses chronological data: approximately 60% fit, 10% tuning, 10% threshold calibration, and 20% untouched evaluation. This keeps threshold selection and final reporting separate from model fitting.</w:t>
      </w:r>
    </w:p>
    <w:p>
      <w:pPr>
        <w:pStyle w:val="Heading2"/>
      </w:pPr>
      <w:r>
        <w:t>Unsupervised growth comparison</w:t>
      </w:r>
    </w:p>
    <w:p>
      <w:r>
        <w:rPr>
          <w:rFonts w:ascii="Calibri" w:hAnsi="Calibri"/>
          <w:color w:val="243B53"/>
        </w:rPr>
        <w:t>The oldest 10%, 25%, 50%, and 100% of history are compared. Partitions under the minimum row requirement are skipped. The report shows how detector behavior changes as data grows, including separation/EM-AUC-style diagnostics, anomaly rate, score distribution, training time, throughput, agreement, and stability.</w:t>
      </w:r>
    </w:p>
    <w:p>
      <w:pPr>
        <w:pStyle w:val="Heading2"/>
      </w:pPr>
      <w:r>
        <w:t>Supervised growth comparison</w:t>
      </w:r>
    </w:p>
    <w:p>
      <w:r>
        <w:rPr>
          <w:rFonts w:ascii="Calibri" w:hAnsi="Calibri"/>
          <w:color w:val="243B53"/>
        </w:rPr>
        <w:t>The same chronological growth idea is applied to labeled rows. Individual models, fusion strategies, confusion matrices, and the complete four-layer risk policy are evaluated on held-out rows. Results are cached in aml_supervised_growth_studies so page reloads do not recompute a completed study.</w:t>
      </w:r>
    </w:p>
    <w:p>
      <w:pPr>
        <w:pStyle w:val="Heading2"/>
      </w:pPr>
      <w:r>
        <w:t>Model tuning versus risk policy</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shd w:fill="E8EEF5"/>
            <w:tcMar>
              <w:top w:w="80" w:type="dxa"/>
              <w:bottom w:w="80" w:type="dxa"/>
              <w:start w:w="120" w:type="dxa"/>
              <w:end w:w="120" w:type="dxa"/>
            </w:tcMar>
            <w:vAlign w:val="center"/>
          </w:tcPr>
          <w:p>
            <w:r>
              <w:rPr>
                <w:rFonts w:ascii="Calibri" w:hAnsi="Calibri"/>
                <w:b/>
                <w:color w:val="102A43"/>
                <w:sz w:val="18"/>
              </w:rPr>
              <w:t>Control</w:t>
            </w:r>
          </w:p>
        </w:tc>
        <w:tc>
          <w:tcPr>
            <w:tcW w:type="dxa" w:w="3900"/>
            <w:shd w:fill="E8EEF5"/>
            <w:tcMar>
              <w:top w:w="80" w:type="dxa"/>
              <w:bottom w:w="80" w:type="dxa"/>
              <w:start w:w="120" w:type="dxa"/>
              <w:end w:w="120" w:type="dxa"/>
            </w:tcMar>
            <w:vAlign w:val="center"/>
          </w:tcPr>
          <w:p>
            <w:r>
              <w:rPr>
                <w:rFonts w:ascii="Calibri" w:hAnsi="Calibri"/>
                <w:b/>
                <w:color w:val="102A43"/>
                <w:sz w:val="18"/>
              </w:rPr>
              <w:t>What it changes</w:t>
            </w:r>
          </w:p>
        </w:tc>
        <w:tc>
          <w:tcPr>
            <w:tcW w:type="dxa" w:w="3660"/>
            <w:shd w:fill="E8EEF5"/>
            <w:tcMar>
              <w:top w:w="80" w:type="dxa"/>
              <w:bottom w:w="80" w:type="dxa"/>
              <w:start w:w="120" w:type="dxa"/>
              <w:end w:w="120" w:type="dxa"/>
            </w:tcMar>
            <w:vAlign w:val="center"/>
          </w:tcPr>
          <w:p>
            <w:r>
              <w:rPr>
                <w:rFonts w:ascii="Calibri" w:hAnsi="Calibri"/>
                <w:b/>
                <w:color w:val="102A43"/>
                <w:sz w:val="18"/>
              </w:rPr>
              <w:t>What it does not change</w:t>
            </w:r>
          </w:p>
        </w:tc>
      </w:tr>
      <w:tr>
        <w:tc>
          <w:tcPr>
            <w:tcW w:type="dxa" w:w="1800"/>
            <w:tcMar>
              <w:top w:w="80" w:type="dxa"/>
              <w:bottom w:w="80" w:type="dxa"/>
              <w:start w:w="120" w:type="dxa"/>
              <w:end w:w="120" w:type="dxa"/>
            </w:tcMar>
            <w:vAlign w:val="center"/>
          </w:tcPr>
          <w:p>
            <w:pPr>
              <w:spacing w:after="0" w:line="259" w:lineRule="auto"/>
            </w:pPr>
            <w:r>
              <w:rPr>
                <w:rFonts w:ascii="Calibri" w:hAnsi="Calibri"/>
                <w:color w:val="243B53"/>
                <w:sz w:val="17"/>
              </w:rPr>
              <w:t>Model Tuning</w:t>
            </w:r>
          </w:p>
        </w:tc>
        <w:tc>
          <w:tcPr>
            <w:tcW w:type="dxa" w:w="3900"/>
            <w:tcMar>
              <w:top w:w="80" w:type="dxa"/>
              <w:bottom w:w="80" w:type="dxa"/>
              <w:start w:w="120" w:type="dxa"/>
              <w:end w:w="120" w:type="dxa"/>
            </w:tcMar>
            <w:vAlign w:val="center"/>
          </w:tcPr>
          <w:p>
            <w:pPr>
              <w:spacing w:after="0" w:line="259" w:lineRule="auto"/>
            </w:pPr>
            <w:r>
              <w:rPr>
                <w:rFonts w:ascii="Calibri" w:hAnsi="Calibri"/>
                <w:color w:val="243B53"/>
                <w:sz w:val="17"/>
              </w:rPr>
              <w:t>Training hyperparameters, evaluation protocol, enabled candidate generation.</w:t>
            </w:r>
          </w:p>
        </w:tc>
        <w:tc>
          <w:tcPr>
            <w:tcW w:type="dxa" w:w="3660"/>
            <w:tcMar>
              <w:top w:w="80" w:type="dxa"/>
              <w:bottom w:w="80" w:type="dxa"/>
              <w:start w:w="120" w:type="dxa"/>
              <w:end w:w="120" w:type="dxa"/>
            </w:tcMar>
            <w:vAlign w:val="center"/>
          </w:tcPr>
          <w:p>
            <w:pPr>
              <w:spacing w:after="0" w:line="259" w:lineRule="auto"/>
            </w:pPr>
            <w:r>
              <w:rPr>
                <w:rFonts w:ascii="Calibri" w:hAnsi="Calibri"/>
                <w:color w:val="243B53"/>
                <w:sz w:val="17"/>
              </w:rPr>
              <w:t>It does not automatically select a model for production.</w:t>
            </w:r>
          </w:p>
        </w:tc>
      </w:tr>
      <w:tr>
        <w:tc>
          <w:tcPr>
            <w:tcW w:type="dxa" w:w="1800"/>
            <w:shd w:fill="F8FAFC"/>
            <w:tcMar>
              <w:top w:w="80" w:type="dxa"/>
              <w:bottom w:w="80" w:type="dxa"/>
              <w:start w:w="120" w:type="dxa"/>
              <w:end w:w="120" w:type="dxa"/>
            </w:tcMar>
            <w:vAlign w:val="center"/>
          </w:tcPr>
          <w:p>
            <w:pPr>
              <w:spacing w:after="0" w:line="259" w:lineRule="auto"/>
            </w:pPr>
            <w:r>
              <w:rPr>
                <w:rFonts w:ascii="Calibri" w:hAnsi="Calibri"/>
                <w:color w:val="243B53"/>
                <w:sz w:val="17"/>
              </w:rPr>
              <w:t>Risk Policy</w:t>
            </w:r>
          </w:p>
        </w:tc>
        <w:tc>
          <w:tcPr>
            <w:tcW w:type="dxa" w:w="3900"/>
            <w:shd w:fill="F8FAFC"/>
            <w:tcMar>
              <w:top w:w="80" w:type="dxa"/>
              <w:bottom w:w="80" w:type="dxa"/>
              <w:start w:w="120" w:type="dxa"/>
              <w:end w:w="120" w:type="dxa"/>
            </w:tcMar>
            <w:vAlign w:val="center"/>
          </w:tcPr>
          <w:p>
            <w:pPr>
              <w:spacing w:after="0" w:line="259" w:lineRule="auto"/>
            </w:pPr>
            <w:r>
              <w:rPr>
                <w:rFonts w:ascii="Calibri" w:hAnsi="Calibri"/>
                <w:color w:val="243B53"/>
                <w:sz w:val="17"/>
              </w:rPr>
              <w:t>Four layer weights, internal ML allocations, LOW/MEDIUM/HIGH thresholds, rule thresholds.</w:t>
            </w:r>
          </w:p>
        </w:tc>
        <w:tc>
          <w:tcPr>
            <w:tcW w:type="dxa" w:w="3660"/>
            <w:shd w:fill="F8FAFC"/>
            <w:tcMar>
              <w:top w:w="80" w:type="dxa"/>
              <w:bottom w:w="80" w:type="dxa"/>
              <w:start w:w="120" w:type="dxa"/>
              <w:end w:w="120" w:type="dxa"/>
            </w:tcMar>
            <w:vAlign w:val="center"/>
          </w:tcPr>
          <w:p>
            <w:pPr>
              <w:spacing w:after="0" w:line="259" w:lineRule="auto"/>
            </w:pPr>
            <w:r>
              <w:rPr>
                <w:rFonts w:ascii="Calibri" w:hAnsi="Calibri"/>
                <w:color w:val="243B53"/>
                <w:sz w:val="17"/>
              </w:rPr>
              <w:t>It does not retrain model parameters.</w:t>
            </w:r>
          </w:p>
        </w:tc>
      </w:tr>
      <w:tr>
        <w:tc>
          <w:tcPr>
            <w:tcW w:type="dxa" w:w="1800"/>
            <w:tcMar>
              <w:top w:w="80" w:type="dxa"/>
              <w:bottom w:w="80" w:type="dxa"/>
              <w:start w:w="120" w:type="dxa"/>
              <w:end w:w="120" w:type="dxa"/>
            </w:tcMar>
            <w:vAlign w:val="center"/>
          </w:tcPr>
          <w:p>
            <w:pPr>
              <w:spacing w:after="0" w:line="259" w:lineRule="auto"/>
            </w:pPr>
            <w:r>
              <w:rPr>
                <w:rFonts w:ascii="Calibri" w:hAnsi="Calibri"/>
                <w:color w:val="243B53"/>
                <w:sz w:val="17"/>
              </w:rPr>
              <w:t>Training Operations</w:t>
            </w:r>
          </w:p>
        </w:tc>
        <w:tc>
          <w:tcPr>
            <w:tcW w:type="dxa" w:w="3900"/>
            <w:tcMar>
              <w:top w:w="80" w:type="dxa"/>
              <w:bottom w:w="80" w:type="dxa"/>
              <w:start w:w="120" w:type="dxa"/>
              <w:end w:w="120" w:type="dxa"/>
            </w:tcMar>
            <w:vAlign w:val="center"/>
          </w:tcPr>
          <w:p>
            <w:pPr>
              <w:spacing w:after="0" w:line="259" w:lineRule="auto"/>
            </w:pPr>
            <w:r>
              <w:rPr>
                <w:rFonts w:ascii="Calibri" w:hAnsi="Calibri"/>
                <w:color w:val="243B53"/>
                <w:sz w:val="17"/>
              </w:rPr>
              <w:t>Which configured models are trained against a selected immutable window.</w:t>
            </w:r>
          </w:p>
        </w:tc>
        <w:tc>
          <w:tcPr>
            <w:tcW w:type="dxa" w:w="3660"/>
            <w:tcMar>
              <w:top w:w="80" w:type="dxa"/>
              <w:bottom w:w="80" w:type="dxa"/>
              <w:start w:w="120" w:type="dxa"/>
              <w:end w:w="120" w:type="dxa"/>
            </w:tcMar>
            <w:vAlign w:val="center"/>
          </w:tcPr>
          <w:p>
            <w:pPr>
              <w:spacing w:after="0" w:line="259" w:lineRule="auto"/>
            </w:pPr>
            <w:r>
              <w:rPr>
                <w:rFonts w:ascii="Calibri" w:hAnsi="Calibri"/>
                <w:color w:val="243B53"/>
                <w:sz w:val="17"/>
              </w:rPr>
              <w:t>It does not activate a candidate.</w:t>
            </w:r>
          </w:p>
        </w:tc>
      </w:tr>
      <w:tr>
        <w:tc>
          <w:tcPr>
            <w:tcW w:type="dxa" w:w="1800"/>
            <w:shd w:fill="F8FAFC"/>
            <w:tcMar>
              <w:top w:w="80" w:type="dxa"/>
              <w:bottom w:w="80" w:type="dxa"/>
              <w:start w:w="120" w:type="dxa"/>
              <w:end w:w="120" w:type="dxa"/>
            </w:tcMar>
            <w:vAlign w:val="center"/>
          </w:tcPr>
          <w:p>
            <w:pPr>
              <w:spacing w:after="0" w:line="259" w:lineRule="auto"/>
            </w:pPr>
            <w:r>
              <w:rPr>
                <w:rFonts w:ascii="Calibri" w:hAnsi="Calibri"/>
                <w:color w:val="243B53"/>
                <w:sz w:val="17"/>
              </w:rPr>
              <w:t>Model registry/deployment</w:t>
            </w:r>
          </w:p>
        </w:tc>
        <w:tc>
          <w:tcPr>
            <w:tcW w:type="dxa" w:w="3900"/>
            <w:shd w:fill="F8FAFC"/>
            <w:tcMar>
              <w:top w:w="80" w:type="dxa"/>
              <w:bottom w:w="80" w:type="dxa"/>
              <w:start w:w="120" w:type="dxa"/>
              <w:end w:w="120" w:type="dxa"/>
            </w:tcMar>
            <w:vAlign w:val="center"/>
          </w:tcPr>
          <w:p>
            <w:pPr>
              <w:spacing w:after="0" w:line="259" w:lineRule="auto"/>
            </w:pPr>
            <w:r>
              <w:rPr>
                <w:rFonts w:ascii="Calibri" w:hAnsi="Calibri"/>
                <w:color w:val="243B53"/>
                <w:sz w:val="17"/>
              </w:rPr>
              <w:t>Which validated immutable model version is active and rollback history.</w:t>
            </w:r>
          </w:p>
        </w:tc>
        <w:tc>
          <w:tcPr>
            <w:tcW w:type="dxa" w:w="3660"/>
            <w:shd w:fill="F8FAFC"/>
            <w:tcMar>
              <w:top w:w="80" w:type="dxa"/>
              <w:bottom w:w="80" w:type="dxa"/>
              <w:start w:w="120" w:type="dxa"/>
              <w:end w:w="120" w:type="dxa"/>
            </w:tcMar>
            <w:vAlign w:val="center"/>
          </w:tcPr>
          <w:p>
            <w:pPr>
              <w:spacing w:after="0" w:line="259" w:lineRule="auto"/>
            </w:pPr>
            <w:r>
              <w:rPr>
                <w:rFonts w:ascii="Calibri" w:hAnsi="Calibri"/>
                <w:color w:val="243B53"/>
                <w:sz w:val="17"/>
              </w:rPr>
              <w:t>It does not rewrite historical metrics or artifacts.</w:t>
            </w:r>
          </w:p>
        </w:tc>
      </w:tr>
    </w:tbl>
    <w:p>
      <w:pPr>
        <w:spacing w:after="0"/>
      </w:pPr>
    </w:p>
    <w:p>
      <w:pPr>
        <w:pStyle w:val="Heading2"/>
      </w:pPr>
      <w:r>
        <w:t>Large-data protections</w:t>
      </w:r>
    </w:p>
    <w:p>
      <w:pPr>
        <w:pStyle w:val="ListBullet"/>
      </w:pPr>
      <w:r>
        <w:rPr>
          <w:rFonts w:ascii="Calibri" w:hAnsi="Calibri"/>
          <w:color w:val="243B53"/>
        </w:rPr>
        <w:t>SQL keyset pagination and Parquet record batches avoid loading all eligible rows in Java memory.</w:t>
      </w:r>
    </w:p>
    <w:p>
      <w:pPr>
        <w:pStyle w:val="ListBullet"/>
      </w:pPr>
      <w:r>
        <w:rPr>
          <w:rFonts w:ascii="Calibri" w:hAnsi="Calibri"/>
          <w:color w:val="243B53"/>
        </w:rPr>
        <w:t>High-cardinality terminal/location data is compacted into bounded deterministic buckets instead of producing more than ten thousand object columns.</w:t>
      </w:r>
    </w:p>
    <w:p>
      <w:pPr>
        <w:pStyle w:val="ListBullet"/>
      </w:pPr>
      <w:r>
        <w:rPr>
          <w:rFonts w:ascii="Calibri" w:hAnsi="Calibri"/>
          <w:color w:val="243B53"/>
        </w:rPr>
        <w:t>Tuning uses a bounded representative sample and bounded tree counts; the final selected fit can use the approved full snapshot.</w:t>
      </w:r>
    </w:p>
    <w:p>
      <w:pPr>
        <w:pStyle w:val="ListBullet"/>
      </w:pPr>
      <w:r>
        <w:rPr>
          <w:rFonts w:ascii="Calibri" w:hAnsi="Calibri"/>
          <w:color w:val="243B53"/>
        </w:rPr>
        <w:t>Comparison result caching prevents repeated expensive recomputation after page refresh.</w:t>
      </w:r>
    </w:p>
    <w:p>
      <w:pPr>
        <w:pStyle w:val="ListBullet"/>
      </w:pPr>
      <w:r>
        <w:rPr>
          <w:rFonts w:ascii="Calibri" w:hAnsi="Calibri"/>
          <w:color w:val="243B53"/>
        </w:rPr>
        <w:t>Training and comparisons are asynchronous; status is persisted and polled by the UI.</w:t>
      </w:r>
    </w:p>
    <w:p>
      <w:pPr>
        <w:pStyle w:val="Heading2"/>
      </w:pPr>
      <w:r>
        <w:t>Key code</w:t>
      </w:r>
    </w:p>
    <w:p>
      <w:pPr>
        <w:pStyle w:val="CodePath"/>
      </w:pPr>
      <w:r>
        <w:rPr>
          <w:rFonts w:ascii="Consolas" w:hAnsi="Consolas"/>
          <w:color w:val="1F4D78"/>
          <w:sz w:val="17"/>
        </w:rPr>
        <w:t>fraud-transaction-detector/src/main/java/com/ftd/fraud_transaction_detector/aml/training/application/TrainingPipelineJobLauncher.java</w:t>
      </w:r>
    </w:p>
    <w:p>
      <w:pPr>
        <w:pStyle w:val="CodePath"/>
      </w:pPr>
      <w:r>
        <w:rPr>
          <w:rFonts w:ascii="Consolas" w:hAnsi="Consolas"/>
          <w:color w:val="1F4D78"/>
          <w:sz w:val="17"/>
        </w:rPr>
        <w:t>fraud-transaction-detector/src/main/java/com/ftd/fraud_transaction_detector/aml/training/application/TrainingDatasetExportService.java</w:t>
      </w:r>
    </w:p>
    <w:p>
      <w:pPr>
        <w:pStyle w:val="CodePath"/>
      </w:pPr>
      <w:r>
        <w:rPr>
          <w:rFonts w:ascii="Consolas" w:hAnsi="Consolas"/>
          <w:color w:val="1F4D78"/>
          <w:sz w:val="17"/>
        </w:rPr>
        <w:t>fraud-transaction-detector/src/main/java/com/ftd/fraud_transaction_detector/aml/training/application/ProductionCandidateTrainingService.java</w:t>
      </w:r>
    </w:p>
    <w:p>
      <w:pPr>
        <w:pStyle w:val="CodePath"/>
      </w:pPr>
      <w:r>
        <w:rPr>
          <w:rFonts w:ascii="Consolas" w:hAnsi="Consolas"/>
          <w:color w:val="1F4D78"/>
          <w:sz w:val="17"/>
        </w:rPr>
        <w:t>fraud-transaction-detector/src/main/java/com/ftd/fraud_transaction_detector/aml/training/application/AmlModelRegistryService.java</w:t>
      </w:r>
    </w:p>
    <w:p>
      <w:pPr>
        <w:pStyle w:val="CodePath"/>
      </w:pPr>
      <w:r>
        <w:rPr>
          <w:rFonts w:ascii="Consolas" w:hAnsi="Consolas"/>
          <w:color w:val="1F4D78"/>
          <w:sz w:val="17"/>
        </w:rPr>
        <w:t>fraud-transaction-detector/src/main/java/com/ftd/fraud_transaction_detector/aml/research/application/GrowthAnalysisService.java</w:t>
      </w:r>
    </w:p>
    <w:p>
      <w:pPr>
        <w:pStyle w:val="CodePath"/>
      </w:pPr>
      <w:r>
        <w:rPr>
          <w:rFonts w:ascii="Consolas" w:hAnsi="Consolas"/>
          <w:color w:val="1F4D78"/>
          <w:sz w:val="17"/>
        </w:rPr>
        <w:t>fraud-transaction-detector/src/main/java/com/ftd/fraud_transaction_detector/aml/research/application/SupervisedGrowthStudyService.java</w:t>
      </w:r>
    </w:p>
    <w:p>
      <w:pPr>
        <w:pStyle w:val="CodePath"/>
      </w:pPr>
      <w:r>
        <w:rPr>
          <w:rFonts w:ascii="Consolas" w:hAnsi="Consolas"/>
          <w:color w:val="1F4D78"/>
          <w:sz w:val="17"/>
        </w:rPr>
        <w:t>fraud-ml-service/app/training.py</w:t>
      </w:r>
    </w:p>
    <w:p>
      <w:pPr>
        <w:pStyle w:val="CodePath"/>
      </w:pPr>
      <w:r>
        <w:rPr>
          <w:rFonts w:ascii="Consolas" w:hAnsi="Consolas"/>
          <w:color w:val="1F4D78"/>
          <w:sz w:val="17"/>
        </w:rPr>
        <w:t>fraud-ml-service/app/supervised_training.py</w:t>
      </w:r>
    </w:p>
    <w:p>
      <w:pPr>
        <w:pStyle w:val="CodePath"/>
      </w:pPr>
      <w:r>
        <w:rPr>
          <w:rFonts w:ascii="Consolas" w:hAnsi="Consolas"/>
          <w:color w:val="1F4D78"/>
          <w:sz w:val="17"/>
        </w:rPr>
        <w:t>fraud-ml-service/app/research/growth_analysis.py</w:t>
      </w:r>
    </w:p>
    <w:p>
      <w:pPr>
        <w:pStyle w:val="CodePath"/>
      </w:pPr>
      <w:r>
        <w:rPr>
          <w:rFonts w:ascii="Consolas" w:hAnsi="Consolas"/>
          <w:color w:val="1F4D78"/>
          <w:sz w:val="17"/>
        </w:rPr>
        <w:t>fraud-ml-service/app/research/supervised_growth_analysis.py</w:t>
      </w:r>
    </w:p>
    <w:p>
      <w:pPr>
        <w:pStyle w:val="CodePath"/>
      </w:pPr>
      <w:r>
        <w:rPr>
          <w:rFonts w:ascii="Consolas" w:hAnsi="Consolas"/>
          <w:color w:val="1F4D78"/>
          <w:sz w:val="17"/>
        </w:rPr>
        <w:t>fraud-ml-service/app/research/risk_policy_backtest.py</w:t>
      </w:r>
    </w:p>
    <w:p>
      <w:pPr>
        <w:pStyle w:val="CodePath"/>
      </w:pPr>
      <w:r>
        <w:rPr>
          <w:rFonts w:ascii="Consolas" w:hAnsi="Consolas"/>
          <w:color w:val="1F4D78"/>
          <w:sz w:val="17"/>
        </w:rPr>
        <w:t>fraud-ml-service/app/feature_compaction.py</w:t>
      </w:r>
    </w:p>
    <w:p>
      <w:pPr>
        <w:pStyle w:val="Heading1"/>
      </w:pPr>
      <w:r>
        <w:t>9. Labels, Cases, False Positives, and STR</w:t>
      </w:r>
    </w:p>
    <w:p>
      <w:pPr>
        <w:pStyle w:val="Heading2"/>
      </w:pPr>
      <w:r>
        <w:t>Label lifecycle</w:t>
      </w:r>
    </w:p>
    <w:tbl>
      <w:tblPr>
        <w:tblStyle w:val="TableGrid"/>
        <w:tblW w:type="dxa" w:w="9360"/>
        <w:jc w:val="left"/>
        <w:tblLayout w:type="fixed"/>
        <w:tblLook w:firstColumn="1" w:firstRow="1" w:lastColumn="0" w:lastRow="0" w:noHBand="0" w:noVBand="1" w:val="04A0"/>
        <w:tblInd w:w="120" w:type="dxa"/>
      </w:tblPr>
      <w:tblGrid>
        <w:gridCol w:w="2450"/>
        <w:gridCol w:w="2550"/>
        <w:gridCol w:w="4360"/>
      </w:tblGrid>
      <w:tr>
        <w:trPr>
          <w:tblHeader w:val="true"/>
        </w:trPr>
        <w:tc>
          <w:tcPr>
            <w:tcW w:type="dxa" w:w="2450"/>
            <w:shd w:fill="E8EEF5"/>
            <w:tcMar>
              <w:top w:w="80" w:type="dxa"/>
              <w:bottom w:w="80" w:type="dxa"/>
              <w:start w:w="120" w:type="dxa"/>
              <w:end w:w="120" w:type="dxa"/>
            </w:tcMar>
            <w:vAlign w:val="center"/>
          </w:tcPr>
          <w:p>
            <w:r>
              <w:rPr>
                <w:rFonts w:ascii="Calibri" w:hAnsi="Calibri"/>
                <w:b/>
                <w:color w:val="102A43"/>
                <w:sz w:val="18"/>
              </w:rPr>
              <w:t>Situation</w:t>
            </w:r>
          </w:p>
        </w:tc>
        <w:tc>
          <w:tcPr>
            <w:tcW w:type="dxa" w:w="2550"/>
            <w:shd w:fill="E8EEF5"/>
            <w:tcMar>
              <w:top w:w="80" w:type="dxa"/>
              <w:bottom w:w="80" w:type="dxa"/>
              <w:start w:w="120" w:type="dxa"/>
              <w:end w:w="120" w:type="dxa"/>
            </w:tcMar>
            <w:vAlign w:val="center"/>
          </w:tcPr>
          <w:p>
            <w:r>
              <w:rPr>
                <w:rFonts w:ascii="Calibri" w:hAnsi="Calibri"/>
                <w:b/>
                <w:color w:val="102A43"/>
                <w:sz w:val="18"/>
              </w:rPr>
              <w:t>FraudLabel</w:t>
            </w:r>
          </w:p>
        </w:tc>
        <w:tc>
          <w:tcPr>
            <w:tcW w:type="dxa" w:w="4360"/>
            <w:shd w:fill="E8EEF5"/>
            <w:tcMar>
              <w:top w:w="80" w:type="dxa"/>
              <w:bottom w:w="80" w:type="dxa"/>
              <w:start w:w="120" w:type="dxa"/>
              <w:end w:w="120" w:type="dxa"/>
            </w:tcMar>
            <w:vAlign w:val="center"/>
          </w:tcPr>
          <w:p>
            <w:r>
              <w:rPr>
                <w:rFonts w:ascii="Calibri" w:hAnsi="Calibri"/>
                <w:b/>
                <w:color w:val="102A43"/>
                <w:sz w:val="18"/>
              </w:rPr>
              <w:t>Training effect</w:t>
            </w:r>
          </w:p>
        </w:tc>
      </w:tr>
      <w:tr>
        <w:tc>
          <w:tcPr>
            <w:tcW w:type="dxa" w:w="2450"/>
            <w:tcMar>
              <w:top w:w="80" w:type="dxa"/>
              <w:bottom w:w="80" w:type="dxa"/>
              <w:start w:w="120" w:type="dxa"/>
              <w:end w:w="120" w:type="dxa"/>
            </w:tcMar>
            <w:vAlign w:val="center"/>
          </w:tcPr>
          <w:p>
            <w:pPr>
              <w:spacing w:after="0" w:line="259" w:lineRule="auto"/>
            </w:pPr>
            <w:r>
              <w:rPr>
                <w:rFonts w:ascii="Calibri" w:hAnsi="Calibri"/>
                <w:color w:val="243B53"/>
                <w:sz w:val="17"/>
              </w:rPr>
              <w:t>Historical upload without label</w:t>
            </w:r>
          </w:p>
        </w:tc>
        <w:tc>
          <w:tcPr>
            <w:tcW w:type="dxa" w:w="2550"/>
            <w:tcMar>
              <w:top w:w="80" w:type="dxa"/>
              <w:bottom w:w="80" w:type="dxa"/>
              <w:start w:w="120" w:type="dxa"/>
              <w:end w:w="120" w:type="dxa"/>
            </w:tcMar>
            <w:vAlign w:val="center"/>
          </w:tcPr>
          <w:p>
            <w:pPr>
              <w:spacing w:after="0" w:line="259" w:lineRule="auto"/>
            </w:pPr>
            <w:r>
              <w:rPr>
                <w:rFonts w:ascii="Calibri" w:hAnsi="Calibri"/>
                <w:color w:val="243B53"/>
                <w:sz w:val="17"/>
              </w:rPr>
              <w:t>NULL</w:t>
            </w:r>
          </w:p>
        </w:tc>
        <w:tc>
          <w:tcPr>
            <w:tcW w:type="dxa" w:w="4360"/>
            <w:tcMar>
              <w:top w:w="80" w:type="dxa"/>
              <w:bottom w:w="80" w:type="dxa"/>
              <w:start w:w="120" w:type="dxa"/>
              <w:end w:w="120" w:type="dxa"/>
            </w:tcMar>
            <w:vAlign w:val="center"/>
          </w:tcPr>
          <w:p>
            <w:pPr>
              <w:spacing w:after="0" w:line="259" w:lineRule="auto"/>
            </w:pPr>
            <w:r>
              <w:rPr>
                <w:rFonts w:ascii="Calibri" w:hAnsi="Calibri"/>
                <w:color w:val="243B53"/>
                <w:sz w:val="17"/>
              </w:rPr>
              <w:t>Excluded from supervised training; still usable for unsupervised learning.</w:t>
            </w:r>
          </w:p>
        </w:tc>
      </w:tr>
      <w:tr>
        <w:tc>
          <w:tcPr>
            <w:tcW w:type="dxa" w:w="2450"/>
            <w:shd w:fill="F8FAFC"/>
            <w:tcMar>
              <w:top w:w="80" w:type="dxa"/>
              <w:bottom w:w="80" w:type="dxa"/>
              <w:start w:w="120" w:type="dxa"/>
              <w:end w:w="120" w:type="dxa"/>
            </w:tcMar>
            <w:vAlign w:val="center"/>
          </w:tcPr>
          <w:p>
            <w:pPr>
              <w:spacing w:after="0" w:line="259" w:lineRule="auto"/>
            </w:pPr>
            <w:r>
              <w:rPr>
                <w:rFonts w:ascii="Calibri" w:hAnsi="Calibri"/>
                <w:color w:val="243B53"/>
                <w:sz w:val="17"/>
              </w:rPr>
              <w:t>Historical upload with source label</w:t>
            </w:r>
          </w:p>
        </w:tc>
        <w:tc>
          <w:tcPr>
            <w:tcW w:type="dxa" w:w="2550"/>
            <w:shd w:fill="F8FAFC"/>
            <w:tcMar>
              <w:top w:w="80" w:type="dxa"/>
              <w:bottom w:w="80" w:type="dxa"/>
              <w:start w:w="120" w:type="dxa"/>
              <w:end w:w="120" w:type="dxa"/>
            </w:tcMar>
            <w:vAlign w:val="center"/>
          </w:tcPr>
          <w:p>
            <w:pPr>
              <w:spacing w:after="0" w:line="259" w:lineRule="auto"/>
            </w:pPr>
            <w:r>
              <w:rPr>
                <w:rFonts w:ascii="Calibri" w:hAnsi="Calibri"/>
                <w:color w:val="243B53"/>
                <w:sz w:val="17"/>
              </w:rPr>
              <w:t>0 or 1</w:t>
            </w:r>
          </w:p>
        </w:tc>
        <w:tc>
          <w:tcPr>
            <w:tcW w:type="dxa" w:w="4360"/>
            <w:shd w:fill="F8FAFC"/>
            <w:tcMar>
              <w:top w:w="80" w:type="dxa"/>
              <w:bottom w:w="80" w:type="dxa"/>
              <w:start w:w="120" w:type="dxa"/>
              <w:end w:w="120" w:type="dxa"/>
            </w:tcMar>
            <w:vAlign w:val="center"/>
          </w:tcPr>
          <w:p>
            <w:pPr>
              <w:spacing w:after="0" w:line="259" w:lineRule="auto"/>
            </w:pPr>
            <w:r>
              <w:rPr>
                <w:rFonts w:ascii="Calibri" w:hAnsi="Calibri"/>
                <w:color w:val="243B53"/>
                <w:sz w:val="17"/>
              </w:rPr>
              <w:t>Eligible if it passes all other learning controls.</w:t>
            </w:r>
          </w:p>
        </w:tc>
      </w:tr>
      <w:tr>
        <w:tc>
          <w:tcPr>
            <w:tcW w:type="dxa" w:w="2450"/>
            <w:tcMar>
              <w:top w:w="80" w:type="dxa"/>
              <w:bottom w:w="80" w:type="dxa"/>
              <w:start w:w="120" w:type="dxa"/>
              <w:end w:w="120" w:type="dxa"/>
            </w:tcMar>
            <w:vAlign w:val="center"/>
          </w:tcPr>
          <w:p>
            <w:pPr>
              <w:spacing w:after="0" w:line="259" w:lineRule="auto"/>
            </w:pPr>
            <w:r>
              <w:rPr>
                <w:rFonts w:ascii="Calibri" w:hAnsi="Calibri"/>
                <w:color w:val="243B53"/>
                <w:sz w:val="17"/>
              </w:rPr>
              <w:t>New API transaction with no case</w:t>
            </w:r>
          </w:p>
        </w:tc>
        <w:tc>
          <w:tcPr>
            <w:tcW w:type="dxa" w:w="2550"/>
            <w:tcMar>
              <w:top w:w="80" w:type="dxa"/>
              <w:bottom w:w="80" w:type="dxa"/>
              <w:start w:w="120" w:type="dxa"/>
              <w:end w:w="120" w:type="dxa"/>
            </w:tcMar>
            <w:vAlign w:val="center"/>
          </w:tcPr>
          <w:p>
            <w:pPr>
              <w:spacing w:after="0" w:line="259" w:lineRule="auto"/>
            </w:pPr>
            <w:r>
              <w:rPr>
                <w:rFonts w:ascii="Calibri" w:hAnsi="Calibri"/>
                <w:color w:val="243B53"/>
                <w:sz w:val="17"/>
              </w:rPr>
              <w:t>0 under the accepted business rule</w:t>
            </w:r>
          </w:p>
        </w:tc>
        <w:tc>
          <w:tcPr>
            <w:tcW w:type="dxa" w:w="4360"/>
            <w:tcMar>
              <w:top w:w="80" w:type="dxa"/>
              <w:bottom w:w="80" w:type="dxa"/>
              <w:start w:w="120" w:type="dxa"/>
              <w:end w:w="120" w:type="dxa"/>
            </w:tcMar>
            <w:vAlign w:val="center"/>
          </w:tcPr>
          <w:p>
            <w:pPr>
              <w:spacing w:after="0" w:line="259" w:lineRule="auto"/>
            </w:pPr>
            <w:r>
              <w:rPr>
                <w:rFonts w:ascii="Calibri" w:hAnsi="Calibri"/>
                <w:color w:val="243B53"/>
                <w:sz w:val="17"/>
              </w:rPr>
              <w:t>Can become legitimate supervised evidence after persistence and eligibility checks.</w:t>
            </w:r>
          </w:p>
        </w:tc>
      </w:tr>
      <w:tr>
        <w:tc>
          <w:tcPr>
            <w:tcW w:type="dxa" w:w="2450"/>
            <w:shd w:fill="F8FAFC"/>
            <w:tcMar>
              <w:top w:w="80" w:type="dxa"/>
              <w:bottom w:w="80" w:type="dxa"/>
              <w:start w:w="120" w:type="dxa"/>
              <w:end w:w="120" w:type="dxa"/>
            </w:tcMar>
            <w:vAlign w:val="center"/>
          </w:tcPr>
          <w:p>
            <w:pPr>
              <w:spacing w:after="0" w:line="259" w:lineRule="auto"/>
            </w:pPr>
            <w:r>
              <w:rPr>
                <w:rFonts w:ascii="Calibri" w:hAnsi="Calibri"/>
                <w:color w:val="243B53"/>
                <w:sz w:val="17"/>
              </w:rPr>
              <w:t>Case open/unreviewed</w:t>
            </w:r>
          </w:p>
        </w:tc>
        <w:tc>
          <w:tcPr>
            <w:tcW w:type="dxa" w:w="2550"/>
            <w:shd w:fill="F8FAFC"/>
            <w:tcMar>
              <w:top w:w="80" w:type="dxa"/>
              <w:bottom w:w="80" w:type="dxa"/>
              <w:start w:w="120" w:type="dxa"/>
              <w:end w:w="120" w:type="dxa"/>
            </w:tcMar>
            <w:vAlign w:val="center"/>
          </w:tcPr>
          <w:p>
            <w:pPr>
              <w:spacing w:after="0" w:line="259" w:lineRule="auto"/>
            </w:pPr>
            <w:r>
              <w:rPr>
                <w:rFonts w:ascii="Calibri" w:hAnsi="Calibri"/>
                <w:color w:val="243B53"/>
                <w:sz w:val="17"/>
              </w:rPr>
              <w:t>Pending or unchanged</w:t>
            </w:r>
          </w:p>
        </w:tc>
        <w:tc>
          <w:tcPr>
            <w:tcW w:type="dxa" w:w="4360"/>
            <w:shd w:fill="F8FAFC"/>
            <w:tcMar>
              <w:top w:w="80" w:type="dxa"/>
              <w:bottom w:w="80" w:type="dxa"/>
              <w:start w:w="120" w:type="dxa"/>
              <w:end w:w="120" w:type="dxa"/>
            </w:tcMar>
            <w:vAlign w:val="center"/>
          </w:tcPr>
          <w:p>
            <w:pPr>
              <w:spacing w:after="0" w:line="259" w:lineRule="auto"/>
            </w:pPr>
            <w:r>
              <w:rPr>
                <w:rFonts w:ascii="Calibri" w:hAnsi="Calibri"/>
                <w:color w:val="243B53"/>
                <w:sz w:val="17"/>
              </w:rPr>
              <w:t>Do not treat a generated alert as confirmed fraud.</w:t>
            </w:r>
          </w:p>
        </w:tc>
      </w:tr>
      <w:tr>
        <w:tc>
          <w:tcPr>
            <w:tcW w:type="dxa" w:w="2450"/>
            <w:tcMar>
              <w:top w:w="80" w:type="dxa"/>
              <w:bottom w:w="80" w:type="dxa"/>
              <w:start w:w="120" w:type="dxa"/>
              <w:end w:w="120" w:type="dxa"/>
            </w:tcMar>
            <w:vAlign w:val="center"/>
          </w:tcPr>
          <w:p>
            <w:pPr>
              <w:spacing w:after="0" w:line="259" w:lineRule="auto"/>
            </w:pPr>
            <w:r>
              <w:rPr>
                <w:rFonts w:ascii="Calibri" w:hAnsi="Calibri"/>
                <w:color w:val="243B53"/>
                <w:sz w:val="17"/>
              </w:rPr>
              <w:t>Marked false positive</w:t>
            </w:r>
          </w:p>
        </w:tc>
        <w:tc>
          <w:tcPr>
            <w:tcW w:type="dxa" w:w="2550"/>
            <w:tcMar>
              <w:top w:w="80" w:type="dxa"/>
              <w:bottom w:w="80" w:type="dxa"/>
              <w:start w:w="120" w:type="dxa"/>
              <w:end w:w="120" w:type="dxa"/>
            </w:tcMar>
            <w:vAlign w:val="center"/>
          </w:tcPr>
          <w:p>
            <w:pPr>
              <w:spacing w:after="0" w:line="259" w:lineRule="auto"/>
            </w:pPr>
            <w:r>
              <w:rPr>
                <w:rFonts w:ascii="Calibri" w:hAnsi="Calibri"/>
                <w:color w:val="243B53"/>
                <w:sz w:val="17"/>
              </w:rPr>
              <w:t>0</w:t>
            </w:r>
          </w:p>
        </w:tc>
        <w:tc>
          <w:tcPr>
            <w:tcW w:type="dxa" w:w="4360"/>
            <w:tcMar>
              <w:top w:w="80" w:type="dxa"/>
              <w:bottom w:w="80" w:type="dxa"/>
              <w:start w:w="120" w:type="dxa"/>
              <w:end w:w="120" w:type="dxa"/>
            </w:tcMar>
            <w:vAlign w:val="center"/>
          </w:tcPr>
          <w:p>
            <w:pPr>
              <w:spacing w:after="0" w:line="259" w:lineRule="auto"/>
            </w:pPr>
            <w:r>
              <w:rPr>
                <w:rFonts w:ascii="Calibri" w:hAnsi="Calibri"/>
                <w:color w:val="243B53"/>
                <w:sz w:val="17"/>
              </w:rPr>
              <w:t>Adds reviewed legitimate evidence and updates linked alert/case state.</w:t>
            </w:r>
          </w:p>
        </w:tc>
      </w:tr>
      <w:tr>
        <w:tc>
          <w:tcPr>
            <w:tcW w:type="dxa" w:w="2450"/>
            <w:shd w:fill="F8FAFC"/>
            <w:tcMar>
              <w:top w:w="80" w:type="dxa"/>
              <w:bottom w:w="80" w:type="dxa"/>
              <w:start w:w="120" w:type="dxa"/>
              <w:end w:w="120" w:type="dxa"/>
            </w:tcMar>
            <w:vAlign w:val="center"/>
          </w:tcPr>
          <w:p>
            <w:pPr>
              <w:spacing w:after="0" w:line="259" w:lineRule="auto"/>
            </w:pPr>
            <w:r>
              <w:rPr>
                <w:rFonts w:ascii="Calibri" w:hAnsi="Calibri"/>
                <w:color w:val="243B53"/>
                <w:sz w:val="17"/>
              </w:rPr>
              <w:t>Suspicious outcome / STR generated</w:t>
            </w:r>
          </w:p>
        </w:tc>
        <w:tc>
          <w:tcPr>
            <w:tcW w:type="dxa" w:w="2550"/>
            <w:shd w:fill="F8FAFC"/>
            <w:tcMar>
              <w:top w:w="80" w:type="dxa"/>
              <w:bottom w:w="80" w:type="dxa"/>
              <w:start w:w="120" w:type="dxa"/>
              <w:end w:w="120" w:type="dxa"/>
            </w:tcMar>
            <w:vAlign w:val="center"/>
          </w:tcPr>
          <w:p>
            <w:pPr>
              <w:spacing w:after="0" w:line="259" w:lineRule="auto"/>
            </w:pPr>
            <w:r>
              <w:rPr>
                <w:rFonts w:ascii="Calibri" w:hAnsi="Calibri"/>
                <w:color w:val="243B53"/>
                <w:sz w:val="17"/>
              </w:rPr>
              <w:t>1 under the accepted project rule</w:t>
            </w:r>
          </w:p>
        </w:tc>
        <w:tc>
          <w:tcPr>
            <w:tcW w:type="dxa" w:w="4360"/>
            <w:shd w:fill="F8FAFC"/>
            <w:tcMar>
              <w:top w:w="80" w:type="dxa"/>
              <w:bottom w:w="80" w:type="dxa"/>
              <w:start w:w="120" w:type="dxa"/>
              <w:end w:w="120" w:type="dxa"/>
            </w:tcMar>
            <w:vAlign w:val="center"/>
          </w:tcPr>
          <w:p>
            <w:pPr>
              <w:spacing w:after="0" w:line="259" w:lineRule="auto"/>
            </w:pPr>
            <w:r>
              <w:rPr>
                <w:rFonts w:ascii="Calibri" w:hAnsi="Calibri"/>
                <w:color w:val="243B53"/>
                <w:sz w:val="17"/>
              </w:rPr>
              <w:t>Adds positive evidence; production institutions should align this with formal investigation policy.</w:t>
            </w:r>
          </w:p>
        </w:tc>
      </w:tr>
    </w:tbl>
    <w:p>
      <w:pPr>
        <w:spacing w:after="0"/>
      </w:pPr>
    </w:p>
    <w:p>
      <w:pPr>
        <w:pStyle w:val="Heading2"/>
      </w:pPr>
      <w:r>
        <w:t>Automatic case flow</w:t>
      </w:r>
    </w:p>
    <w:p>
      <w:pPr>
        <w:numPr>
          <w:ilvl w:val="0"/>
          <w:numId w:val="13"/>
        </w:numPr>
        <w:spacing w:after="80" w:line="300" w:lineRule="auto"/>
      </w:pPr>
      <w:r>
        <w:rPr>
          <w:rFonts w:ascii="Calibri" w:hAnsi="Calibri"/>
          <w:color w:val="243B53"/>
        </w:rPr>
        <w:t>A MEDIUM or HIGH final production risk creates or reuses a case linked to the transaction and alert.</w:t>
      </w:r>
    </w:p>
    <w:p>
      <w:pPr>
        <w:numPr>
          <w:ilvl w:val="0"/>
          <w:numId w:val="13"/>
        </w:numPr>
        <w:spacing w:after="80" w:line="300" w:lineRule="auto"/>
      </w:pPr>
      <w:r>
        <w:rPr>
          <w:rFonts w:ascii="Calibri" w:hAnsi="Calibri"/>
          <w:color w:val="243B53"/>
        </w:rPr>
        <w:t>The case stores status, priority, assignment, creation source, and the latest decision evidence.</w:t>
      </w:r>
    </w:p>
    <w:p>
      <w:pPr>
        <w:numPr>
          <w:ilvl w:val="0"/>
          <w:numId w:val="13"/>
        </w:numPr>
        <w:spacing w:after="80" w:line="300" w:lineRule="auto"/>
      </w:pPr>
      <w:r>
        <w:rPr>
          <w:rFonts w:ascii="Calibri" w:hAnsi="Calibri"/>
          <w:color w:val="243B53"/>
        </w:rPr>
        <w:t>The analyst reads user-friendly reasons, component scores, model diagnostics, feature summary, and policy/model versions.</w:t>
      </w:r>
    </w:p>
    <w:p>
      <w:pPr>
        <w:numPr>
          <w:ilvl w:val="0"/>
          <w:numId w:val="13"/>
        </w:numPr>
        <w:spacing w:after="80" w:line="300" w:lineRule="auto"/>
      </w:pPr>
      <w:r>
        <w:rPr>
          <w:rFonts w:ascii="Calibri" w:hAnsi="Calibri"/>
          <w:color w:val="243B53"/>
        </w:rPr>
        <w:t>The analyst adds notes and either marks false positive or generates STR XML; mutually invalid transitions are blocked.</w:t>
      </w:r>
    </w:p>
    <w:p>
      <w:pPr>
        <w:pStyle w:val="Heading2"/>
      </w:pPr>
      <w:r>
        <w:t>Case performance controls</w:t>
      </w:r>
    </w:p>
    <w:p>
      <w:pPr>
        <w:pStyle w:val="ListBullet"/>
      </w:pPr>
      <w:r>
        <w:rPr>
          <w:rFonts w:ascii="Calibri" w:hAnsi="Calibri"/>
          <w:color w:val="243B53"/>
        </w:rPr>
        <w:t>Paginated queries bound the number of cases returned.</w:t>
      </w:r>
    </w:p>
    <w:p>
      <w:pPr>
        <w:pStyle w:val="ListBullet"/>
      </w:pPr>
      <w:r>
        <w:rPr>
          <w:rFonts w:ascii="Calibri" w:hAnsi="Calibri"/>
          <w:color w:val="243B53"/>
        </w:rPr>
        <w:t>Search and status filters are applied by the API instead of requiring a manual refresh-only client workaround.</w:t>
      </w:r>
    </w:p>
    <w:p>
      <w:pPr>
        <w:pStyle w:val="ListBullet"/>
      </w:pPr>
      <w:r>
        <w:rPr>
          <w:rFonts w:ascii="Calibri" w:hAnsi="Calibri"/>
          <w:color w:val="243B53"/>
        </w:rPr>
        <w:t>Summary/evidence loading avoids per-row N+1 queries in the queue.</w:t>
      </w:r>
    </w:p>
    <w:p>
      <w:pPr>
        <w:pStyle w:val="ListBullet"/>
      </w:pPr>
      <w:r>
        <w:rPr>
          <w:rFonts w:ascii="Calibri" w:hAnsi="Calibri"/>
          <w:color w:val="243B53"/>
        </w:rPr>
        <w:t>Duplicate manual or automatic cases for the same event are handled idempotently where applicable.</w:t>
      </w:r>
    </w:p>
    <w:p>
      <w:pPr>
        <w:pStyle w:val="Heading2"/>
      </w:pPr>
      <w:r>
        <w:t>Key code</w:t>
      </w:r>
    </w:p>
    <w:p>
      <w:pPr>
        <w:pStyle w:val="CodePath"/>
      </w:pPr>
      <w:r>
        <w:rPr>
          <w:rFonts w:ascii="Consolas" w:hAnsi="Consolas"/>
          <w:color w:val="1F4D78"/>
          <w:sz w:val="17"/>
        </w:rPr>
        <w:t>fraud-transaction-detector/src/main/java/com/ftd/fraud_transaction_detector/cases/service/CaseManagementService.java</w:t>
      </w:r>
    </w:p>
    <w:p>
      <w:pPr>
        <w:pStyle w:val="CodePath"/>
      </w:pPr>
      <w:r>
        <w:rPr>
          <w:rFonts w:ascii="Consolas" w:hAnsi="Consolas"/>
          <w:color w:val="1F4D78"/>
          <w:sz w:val="17"/>
        </w:rPr>
        <w:t>fraud-transaction-detector/src/main/java/com/ftd/fraud_transaction_detector/cases/service/StrXmlService.java</w:t>
      </w:r>
    </w:p>
    <w:p>
      <w:pPr>
        <w:pStyle w:val="CodePath"/>
      </w:pPr>
      <w:r>
        <w:rPr>
          <w:rFonts w:ascii="Consolas" w:hAnsi="Consolas"/>
          <w:color w:val="1F4D78"/>
          <w:sz w:val="17"/>
        </w:rPr>
        <w:t>fraud-transaction-detector/src/main/java/com/ftd/fraud_transaction_detector/transactions/service/TransactionFraudLabelService.java</w:t>
      </w:r>
    </w:p>
    <w:p>
      <w:pPr>
        <w:pStyle w:val="CodePath"/>
      </w:pPr>
      <w:r>
        <w:rPr>
          <w:rFonts w:ascii="Consolas" w:hAnsi="Consolas"/>
          <w:color w:val="1F4D78"/>
          <w:sz w:val="17"/>
        </w:rPr>
        <w:t>fraud-transaction-ui/src/app/pages/cases-page.component.ts</w:t>
      </w:r>
    </w:p>
    <w:p>
      <w:pPr>
        <w:pStyle w:val="CodePath"/>
      </w:pPr>
      <w:r>
        <w:rPr>
          <w:rFonts w:ascii="Consolas" w:hAnsi="Consolas"/>
          <w:color w:val="1F4D78"/>
          <w:sz w:val="17"/>
        </w:rPr>
        <w:t>fraud-transaction-ui/src/app/pages/manual-case-page.component.ts</w:t>
      </w:r>
    </w:p>
    <w:p>
      <w:pPr>
        <w:pStyle w:val="Heading1"/>
      </w:pPr>
      <w:r>
        <w:t>10. Scalability, Performance, Reliability, and Auditability</w:t>
      </w:r>
    </w:p>
    <w:tbl>
      <w:tblPr>
        <w:tblStyle w:val="TableGrid"/>
        <w:tblW w:type="dxa" w:w="9360"/>
        <w:jc w:val="left"/>
        <w:tblLayout w:type="fixed"/>
        <w:tblLook w:firstColumn="1" w:firstRow="1" w:lastColumn="0" w:lastRow="0" w:noHBand="0" w:noVBand="1" w:val="04A0"/>
        <w:tblInd w:w="120" w:type="dxa"/>
      </w:tblPr>
      <w:tblGrid>
        <w:gridCol w:w="1800"/>
        <w:gridCol w:w="4200"/>
        <w:gridCol w:w="3360"/>
      </w:tblGrid>
      <w:tr>
        <w:trPr>
          <w:tblHeader w:val="true"/>
        </w:trPr>
        <w:tc>
          <w:tcPr>
            <w:tcW w:type="dxa" w:w="1800"/>
            <w:shd w:fill="E8EEF5"/>
            <w:tcMar>
              <w:top w:w="80" w:type="dxa"/>
              <w:bottom w:w="80" w:type="dxa"/>
              <w:start w:w="120" w:type="dxa"/>
              <w:end w:w="120" w:type="dxa"/>
            </w:tcMar>
            <w:vAlign w:val="center"/>
          </w:tcPr>
          <w:p>
            <w:r>
              <w:rPr>
                <w:rFonts w:ascii="Calibri" w:hAnsi="Calibri"/>
                <w:b/>
                <w:color w:val="102A43"/>
                <w:sz w:val="18"/>
              </w:rPr>
              <w:t>Problem</w:t>
            </w:r>
          </w:p>
        </w:tc>
        <w:tc>
          <w:tcPr>
            <w:tcW w:type="dxa" w:w="4200"/>
            <w:shd w:fill="E8EEF5"/>
            <w:tcMar>
              <w:top w:w="80" w:type="dxa"/>
              <w:bottom w:w="80" w:type="dxa"/>
              <w:start w:w="120" w:type="dxa"/>
              <w:end w:w="120" w:type="dxa"/>
            </w:tcMar>
            <w:vAlign w:val="center"/>
          </w:tcPr>
          <w:p>
            <w:r>
              <w:rPr>
                <w:rFonts w:ascii="Calibri" w:hAnsi="Calibri"/>
                <w:b/>
                <w:color w:val="102A43"/>
                <w:sz w:val="18"/>
              </w:rPr>
              <w:t>Implemented response</w:t>
            </w:r>
          </w:p>
        </w:tc>
        <w:tc>
          <w:tcPr>
            <w:tcW w:type="dxa" w:w="3360"/>
            <w:shd w:fill="E8EEF5"/>
            <w:tcMar>
              <w:top w:w="80" w:type="dxa"/>
              <w:bottom w:w="80" w:type="dxa"/>
              <w:start w:w="120" w:type="dxa"/>
              <w:end w:w="120" w:type="dxa"/>
            </w:tcMar>
            <w:vAlign w:val="center"/>
          </w:tcPr>
          <w:p>
            <w:r>
              <w:rPr>
                <w:rFonts w:ascii="Calibri" w:hAnsi="Calibri"/>
                <w:b/>
                <w:color w:val="102A43"/>
                <w:sz w:val="18"/>
              </w:rPr>
              <w:t>Remaining production work</w:t>
            </w:r>
          </w:p>
        </w:tc>
      </w:tr>
      <w:tr>
        <w:tc>
          <w:tcPr>
            <w:tcW w:type="dxa" w:w="1800"/>
            <w:tcMar>
              <w:top w:w="80" w:type="dxa"/>
              <w:bottom w:w="80" w:type="dxa"/>
              <w:start w:w="120" w:type="dxa"/>
              <w:end w:w="120" w:type="dxa"/>
            </w:tcMar>
            <w:vAlign w:val="center"/>
          </w:tcPr>
          <w:p>
            <w:pPr>
              <w:spacing w:after="0" w:line="259" w:lineRule="auto"/>
            </w:pPr>
            <w:r>
              <w:rPr>
                <w:rFonts w:ascii="Calibri" w:hAnsi="Calibri"/>
                <w:color w:val="243B53"/>
                <w:sz w:val="16"/>
              </w:rPr>
              <w:t>Millions of rows</w:t>
            </w:r>
          </w:p>
        </w:tc>
        <w:tc>
          <w:tcPr>
            <w:tcW w:type="dxa" w:w="4200"/>
            <w:tcMar>
              <w:top w:w="80" w:type="dxa"/>
              <w:bottom w:w="80" w:type="dxa"/>
              <w:start w:w="120" w:type="dxa"/>
              <w:end w:w="120" w:type="dxa"/>
            </w:tcMar>
            <w:vAlign w:val="center"/>
          </w:tcPr>
          <w:p>
            <w:pPr>
              <w:spacing w:after="0" w:line="259" w:lineRule="auto"/>
            </w:pPr>
            <w:r>
              <w:rPr>
                <w:rFonts w:ascii="Calibri" w:hAnsi="Calibri"/>
                <w:color w:val="243B53"/>
                <w:sz w:val="16"/>
              </w:rPr>
              <w:t>Chunked SQL export, Parquet, bounded feature compaction, asynchronous jobs, cached comparisons.</w:t>
            </w:r>
          </w:p>
        </w:tc>
        <w:tc>
          <w:tcPr>
            <w:tcW w:type="dxa" w:w="3360"/>
            <w:tcMar>
              <w:top w:w="80" w:type="dxa"/>
              <w:bottom w:w="80" w:type="dxa"/>
              <w:start w:w="120" w:type="dxa"/>
              <w:end w:w="120" w:type="dxa"/>
            </w:tcMar>
            <w:vAlign w:val="center"/>
          </w:tcPr>
          <w:p>
            <w:pPr>
              <w:spacing w:after="0" w:line="259" w:lineRule="auto"/>
            </w:pPr>
            <w:r>
              <w:rPr>
                <w:rFonts w:ascii="Calibri" w:hAnsi="Calibri"/>
                <w:color w:val="243B53"/>
                <w:sz w:val="16"/>
              </w:rPr>
              <w:t>Distributed object storage/compute, workload scheduling, and production capacity testing.</w:t>
            </w:r>
          </w:p>
        </w:tc>
      </w:tr>
      <w:tr>
        <w:tc>
          <w:tcPr>
            <w:tcW w:type="dxa" w:w="1800"/>
            <w:shd w:fill="F8FAFC"/>
            <w:tcMar>
              <w:top w:w="80" w:type="dxa"/>
              <w:bottom w:w="80" w:type="dxa"/>
              <w:start w:w="120" w:type="dxa"/>
              <w:end w:w="120" w:type="dxa"/>
            </w:tcMar>
            <w:vAlign w:val="center"/>
          </w:tcPr>
          <w:p>
            <w:pPr>
              <w:spacing w:after="0" w:line="259" w:lineRule="auto"/>
            </w:pPr>
            <w:r>
              <w:rPr>
                <w:rFonts w:ascii="Calibri" w:hAnsi="Calibri"/>
                <w:color w:val="243B53"/>
                <w:sz w:val="16"/>
              </w:rPr>
              <w:t>Slow single transaction</w:t>
            </w:r>
          </w:p>
        </w:tc>
        <w:tc>
          <w:tcPr>
            <w:tcW w:type="dxa" w:w="4200"/>
            <w:shd w:fill="F8FAFC"/>
            <w:tcMar>
              <w:top w:w="80" w:type="dxa"/>
              <w:bottom w:w="80" w:type="dxa"/>
              <w:start w:w="120" w:type="dxa"/>
              <w:end w:w="120" w:type="dxa"/>
            </w:tcMar>
            <w:vAlign w:val="center"/>
          </w:tcPr>
          <w:p>
            <w:pPr>
              <w:spacing w:after="0" w:line="259" w:lineRule="auto"/>
            </w:pPr>
            <w:r>
              <w:rPr>
                <w:rFonts w:ascii="Calibri" w:hAnsi="Calibri"/>
                <w:color w:val="243B53"/>
                <w:sz w:val="16"/>
              </w:rPr>
              <w:t>Persisted profiles/recent history, bounded lookups, in-memory Python artifacts, and no retraining on request.</w:t>
            </w:r>
          </w:p>
        </w:tc>
        <w:tc>
          <w:tcPr>
            <w:tcW w:type="dxa" w:w="3360"/>
            <w:shd w:fill="F8FAFC"/>
            <w:tcMar>
              <w:top w:w="80" w:type="dxa"/>
              <w:bottom w:w="80" w:type="dxa"/>
              <w:start w:w="120" w:type="dxa"/>
              <w:end w:w="120" w:type="dxa"/>
            </w:tcMar>
            <w:vAlign w:val="center"/>
          </w:tcPr>
          <w:p>
            <w:pPr>
              <w:spacing w:after="0" w:line="259" w:lineRule="auto"/>
            </w:pPr>
            <w:r>
              <w:rPr>
                <w:rFonts w:ascii="Calibri" w:hAnsi="Calibri"/>
                <w:color w:val="243B53"/>
                <w:sz w:val="16"/>
              </w:rPr>
              <w:t>Profile cache, connection-pool tuning, p95/p99 tracing, model serving replicas.</w:t>
            </w:r>
          </w:p>
        </w:tc>
      </w:tr>
      <w:tr>
        <w:tc>
          <w:tcPr>
            <w:tcW w:type="dxa" w:w="1800"/>
            <w:tcMar>
              <w:top w:w="80" w:type="dxa"/>
              <w:bottom w:w="80" w:type="dxa"/>
              <w:start w:w="120" w:type="dxa"/>
              <w:end w:w="120" w:type="dxa"/>
            </w:tcMar>
            <w:vAlign w:val="center"/>
          </w:tcPr>
          <w:p>
            <w:pPr>
              <w:spacing w:after="0" w:line="259" w:lineRule="auto"/>
            </w:pPr>
            <w:r>
              <w:rPr>
                <w:rFonts w:ascii="Calibri" w:hAnsi="Calibri"/>
                <w:color w:val="243B53"/>
                <w:sz w:val="16"/>
              </w:rPr>
              <w:t>ML unavailable</w:t>
            </w:r>
          </w:p>
        </w:tc>
        <w:tc>
          <w:tcPr>
            <w:tcW w:type="dxa" w:w="4200"/>
            <w:tcMar>
              <w:top w:w="80" w:type="dxa"/>
              <w:bottom w:w="80" w:type="dxa"/>
              <w:start w:w="120" w:type="dxa"/>
              <w:end w:w="120" w:type="dxa"/>
            </w:tcMar>
            <w:vAlign w:val="center"/>
          </w:tcPr>
          <w:p>
            <w:pPr>
              <w:spacing w:after="0" w:line="259" w:lineRule="auto"/>
            </w:pPr>
            <w:r>
              <w:rPr>
                <w:rFonts w:ascii="Calibri" w:hAnsi="Calibri"/>
                <w:color w:val="243B53"/>
                <w:sz w:val="16"/>
              </w:rPr>
              <w:t>Orchestrator/logging surfaces failure and preserves business control; current path has a fail-safe response where configured.</w:t>
            </w:r>
          </w:p>
        </w:tc>
        <w:tc>
          <w:tcPr>
            <w:tcW w:type="dxa" w:w="3360"/>
            <w:tcMar>
              <w:top w:w="80" w:type="dxa"/>
              <w:bottom w:w="80" w:type="dxa"/>
              <w:start w:w="120" w:type="dxa"/>
              <w:end w:w="120" w:type="dxa"/>
            </w:tcMar>
            <w:vAlign w:val="center"/>
          </w:tcPr>
          <w:p>
            <w:pPr>
              <w:spacing w:after="0" w:line="259" w:lineRule="auto"/>
            </w:pPr>
            <w:r>
              <w:rPr>
                <w:rFonts w:ascii="Calibri" w:hAnsi="Calibri"/>
                <w:color w:val="243B53"/>
                <w:sz w:val="16"/>
              </w:rPr>
              <w:t>Circuit breaker, retries with budgets, queueing, and explicit operational SLOs.</w:t>
            </w:r>
          </w:p>
        </w:tc>
      </w:tr>
      <w:tr>
        <w:tc>
          <w:tcPr>
            <w:tcW w:type="dxa" w:w="1800"/>
            <w:shd w:fill="F8FAFC"/>
            <w:tcMar>
              <w:top w:w="80" w:type="dxa"/>
              <w:bottom w:w="80" w:type="dxa"/>
              <w:start w:w="120" w:type="dxa"/>
              <w:end w:w="120" w:type="dxa"/>
            </w:tcMar>
            <w:vAlign w:val="center"/>
          </w:tcPr>
          <w:p>
            <w:pPr>
              <w:spacing w:after="0" w:line="259" w:lineRule="auto"/>
            </w:pPr>
            <w:r>
              <w:rPr>
                <w:rFonts w:ascii="Calibri" w:hAnsi="Calibri"/>
                <w:color w:val="243B53"/>
                <w:sz w:val="16"/>
              </w:rPr>
              <w:t>Schema drift</w:t>
            </w:r>
          </w:p>
        </w:tc>
        <w:tc>
          <w:tcPr>
            <w:tcW w:type="dxa" w:w="4200"/>
            <w:shd w:fill="F8FAFC"/>
            <w:tcMar>
              <w:top w:w="80" w:type="dxa"/>
              <w:bottom w:w="80" w:type="dxa"/>
              <w:start w:w="120" w:type="dxa"/>
              <w:end w:w="120" w:type="dxa"/>
            </w:tcMar>
            <w:vAlign w:val="center"/>
          </w:tcPr>
          <w:p>
            <w:pPr>
              <w:spacing w:after="0" w:line="259" w:lineRule="auto"/>
            </w:pPr>
            <w:r>
              <w:rPr>
                <w:rFonts w:ascii="Calibri" w:hAnsi="Calibri"/>
                <w:color w:val="243B53"/>
                <w:sz w:val="16"/>
              </w:rPr>
              <w:t>Feature version, model feature schema, stored feature JSON, artifact metadata, and registry validation.</w:t>
            </w:r>
          </w:p>
        </w:tc>
        <w:tc>
          <w:tcPr>
            <w:tcW w:type="dxa" w:w="3360"/>
            <w:shd w:fill="F8FAFC"/>
            <w:tcMar>
              <w:top w:w="80" w:type="dxa"/>
              <w:bottom w:w="80" w:type="dxa"/>
              <w:start w:w="120" w:type="dxa"/>
              <w:end w:w="120" w:type="dxa"/>
            </w:tcMar>
            <w:vAlign w:val="center"/>
          </w:tcPr>
          <w:p>
            <w:pPr>
              <w:spacing w:after="0" w:line="259" w:lineRule="auto"/>
            </w:pPr>
            <w:r>
              <w:rPr>
                <w:rFonts w:ascii="Calibri" w:hAnsi="Calibri"/>
                <w:color w:val="243B53"/>
                <w:sz w:val="16"/>
              </w:rPr>
              <w:t>Automated migration pipeline and compatibility contracts in CI/CD.</w:t>
            </w:r>
          </w:p>
        </w:tc>
      </w:tr>
      <w:tr>
        <w:tc>
          <w:tcPr>
            <w:tcW w:type="dxa" w:w="1800"/>
            <w:tcMar>
              <w:top w:w="80" w:type="dxa"/>
              <w:bottom w:w="80" w:type="dxa"/>
              <w:start w:w="120" w:type="dxa"/>
              <w:end w:w="120" w:type="dxa"/>
            </w:tcMar>
            <w:vAlign w:val="center"/>
          </w:tcPr>
          <w:p>
            <w:pPr>
              <w:spacing w:after="0" w:line="259" w:lineRule="auto"/>
            </w:pPr>
            <w:r>
              <w:rPr>
                <w:rFonts w:ascii="Calibri" w:hAnsi="Calibri"/>
                <w:color w:val="243B53"/>
                <w:sz w:val="16"/>
              </w:rPr>
              <w:t>Model risk</w:t>
            </w:r>
          </w:p>
        </w:tc>
        <w:tc>
          <w:tcPr>
            <w:tcW w:type="dxa" w:w="4200"/>
            <w:tcMar>
              <w:top w:w="80" w:type="dxa"/>
              <w:bottom w:w="80" w:type="dxa"/>
              <w:start w:w="120" w:type="dxa"/>
              <w:end w:w="120" w:type="dxa"/>
            </w:tcMar>
            <w:vAlign w:val="center"/>
          </w:tcPr>
          <w:p>
            <w:pPr>
              <w:spacing w:after="0" w:line="259" w:lineRule="auto"/>
            </w:pPr>
            <w:r>
              <w:rPr>
                <w:rFonts w:ascii="Calibri" w:hAnsi="Calibri"/>
                <w:color w:val="243B53"/>
                <w:sz w:val="16"/>
              </w:rPr>
              <w:t>Candidate registry, validation, exact-version pointers, promotion/rollback, shadow studies, immutable metrics.</w:t>
            </w:r>
          </w:p>
        </w:tc>
        <w:tc>
          <w:tcPr>
            <w:tcW w:type="dxa" w:w="3360"/>
            <w:tcMar>
              <w:top w:w="80" w:type="dxa"/>
              <w:bottom w:w="80" w:type="dxa"/>
              <w:start w:w="120" w:type="dxa"/>
              <w:end w:w="120" w:type="dxa"/>
            </w:tcMar>
            <w:vAlign w:val="center"/>
          </w:tcPr>
          <w:p>
            <w:pPr>
              <w:spacing w:after="0" w:line="259" w:lineRule="auto"/>
            </w:pPr>
            <w:r>
              <w:rPr>
                <w:rFonts w:ascii="Calibri" w:hAnsi="Calibri"/>
                <w:color w:val="243B53"/>
                <w:sz w:val="16"/>
              </w:rPr>
              <w:t>Independent model-risk approval and periodic monitoring governance.</w:t>
            </w:r>
          </w:p>
        </w:tc>
      </w:tr>
      <w:tr>
        <w:tc>
          <w:tcPr>
            <w:tcW w:type="dxa" w:w="1800"/>
            <w:shd w:fill="F8FAFC"/>
            <w:tcMar>
              <w:top w:w="80" w:type="dxa"/>
              <w:bottom w:w="80" w:type="dxa"/>
              <w:start w:w="120" w:type="dxa"/>
              <w:end w:w="120" w:type="dxa"/>
            </w:tcMar>
            <w:vAlign w:val="center"/>
          </w:tcPr>
          <w:p>
            <w:pPr>
              <w:spacing w:after="0" w:line="259" w:lineRule="auto"/>
            </w:pPr>
            <w:r>
              <w:rPr>
                <w:rFonts w:ascii="Calibri" w:hAnsi="Calibri"/>
                <w:color w:val="243B53"/>
                <w:sz w:val="16"/>
              </w:rPr>
              <w:t>Explainability</w:t>
            </w:r>
          </w:p>
        </w:tc>
        <w:tc>
          <w:tcPr>
            <w:tcW w:type="dxa" w:w="4200"/>
            <w:shd w:fill="F8FAFC"/>
            <w:tcMar>
              <w:top w:w="80" w:type="dxa"/>
              <w:bottom w:w="80" w:type="dxa"/>
              <w:start w:w="120" w:type="dxa"/>
              <w:end w:w="120" w:type="dxa"/>
            </w:tcMar>
            <w:vAlign w:val="center"/>
          </w:tcPr>
          <w:p>
            <w:pPr>
              <w:spacing w:after="0" w:line="259" w:lineRule="auto"/>
            </w:pPr>
            <w:r>
              <w:rPr>
                <w:rFonts w:ascii="Calibri" w:hAnsi="Calibri"/>
                <w:color w:val="243B53"/>
                <w:sz w:val="16"/>
              </w:rPr>
              <w:t>Reason codes, component scores, model payloads, feature summary, policy and model version in logs/cases.</w:t>
            </w:r>
          </w:p>
        </w:tc>
        <w:tc>
          <w:tcPr>
            <w:tcW w:type="dxa" w:w="3360"/>
            <w:shd w:fill="F8FAFC"/>
            <w:tcMar>
              <w:top w:w="80" w:type="dxa"/>
              <w:bottom w:w="80" w:type="dxa"/>
              <w:start w:w="120" w:type="dxa"/>
              <w:end w:w="120" w:type="dxa"/>
            </w:tcMar>
            <w:vAlign w:val="center"/>
          </w:tcPr>
          <w:p>
            <w:pPr>
              <w:spacing w:after="0" w:line="259" w:lineRule="auto"/>
            </w:pPr>
            <w:r>
              <w:rPr>
                <w:rFonts w:ascii="Calibri" w:hAnsi="Calibri"/>
                <w:color w:val="243B53"/>
                <w:sz w:val="16"/>
              </w:rPr>
              <w:t>SHAP or model-specific local explanations for supervised decisions.</w:t>
            </w:r>
          </w:p>
        </w:tc>
      </w:tr>
      <w:tr>
        <w:tc>
          <w:tcPr>
            <w:tcW w:type="dxa" w:w="1800"/>
            <w:tcMar>
              <w:top w:w="80" w:type="dxa"/>
              <w:bottom w:w="80" w:type="dxa"/>
              <w:start w:w="120" w:type="dxa"/>
              <w:end w:w="120" w:type="dxa"/>
            </w:tcMar>
            <w:vAlign w:val="center"/>
          </w:tcPr>
          <w:p>
            <w:pPr>
              <w:spacing w:after="0" w:line="259" w:lineRule="auto"/>
            </w:pPr>
            <w:r>
              <w:rPr>
                <w:rFonts w:ascii="Calibri" w:hAnsi="Calibri"/>
                <w:color w:val="243B53"/>
                <w:sz w:val="16"/>
              </w:rPr>
              <w:t>Audit</w:t>
            </w:r>
          </w:p>
        </w:tc>
        <w:tc>
          <w:tcPr>
            <w:tcW w:type="dxa" w:w="4200"/>
            <w:tcMar>
              <w:top w:w="80" w:type="dxa"/>
              <w:bottom w:w="80" w:type="dxa"/>
              <w:start w:w="120" w:type="dxa"/>
              <w:end w:w="120" w:type="dxa"/>
            </w:tcMar>
            <w:vAlign w:val="center"/>
          </w:tcPr>
          <w:p>
            <w:pPr>
              <w:spacing w:after="0" w:line="259" w:lineRule="auto"/>
            </w:pPr>
            <w:r>
              <w:rPr>
                <w:rFonts w:ascii="Calibri" w:hAnsi="Calibri"/>
                <w:color w:val="243B53"/>
                <w:sz w:val="16"/>
              </w:rPr>
              <w:t>Transactions, features, prediction logs, labels, cases, notes, STR, validations, deployments, and configs are persisted.</w:t>
            </w:r>
          </w:p>
        </w:tc>
        <w:tc>
          <w:tcPr>
            <w:tcW w:type="dxa" w:w="3360"/>
            <w:tcMar>
              <w:top w:w="80" w:type="dxa"/>
              <w:bottom w:w="80" w:type="dxa"/>
              <w:start w:w="120" w:type="dxa"/>
              <w:end w:w="120" w:type="dxa"/>
            </w:tcMar>
            <w:vAlign w:val="center"/>
          </w:tcPr>
          <w:p>
            <w:pPr>
              <w:spacing w:after="0" w:line="259" w:lineRule="auto"/>
            </w:pPr>
            <w:r>
              <w:rPr>
                <w:rFonts w:ascii="Calibri" w:hAnsi="Calibri"/>
                <w:color w:val="243B53"/>
                <w:sz w:val="16"/>
              </w:rPr>
              <w:t>Retention, encryption, tamper-evidence, SIEM integration, and access reviews.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tcMar>
              <w:top w:w="80" w:type="dxa"/>
              <w:bottom w:w="80" w:type="dxa"/>
              <w:start w:w="120" w:type="dxa"/>
              <w:end w:w="120" w:type="dxa"/>
            </w:tcMar>
            <w:vAlign w:val="center"/>
          </w:tcPr>
          <w:p>
            <w:pPr>
              <w:spacing w:after="0"/>
            </w:pPr>
            <w:r>
              <w:rPr>
                <w:rFonts w:ascii="Calibri" w:hAnsi="Calibri"/>
                <w:b/>
                <w:color w:val="2E74B5"/>
              </w:rPr>
              <w:t xml:space="preserve">Kafka position: </w:t>
            </w:r>
            <w:r>
              <w:rPr>
                <w:rFonts w:ascii="Calibri" w:hAnsi="Calibri"/>
                <w:color w:val="243B53"/>
              </w:rPr>
              <w:t>Kafka is not required to prove the current MVP. At bank scale it can decouple ingestion, feature updates, scoring, alerts, and retraining triggers; support replay; and absorb bursts. SQL remains the system of record and consumers must be idempotent.</w:t>
            </w:r>
          </w:p>
        </w:tc>
      </w:tr>
    </w:tbl>
    <w:p>
      <w:pPr>
        <w:spacing w:after="0"/>
      </w:pPr>
    </w:p>
    <w:p>
      <w:pPr>
        <w:pStyle w:val="Heading1"/>
      </w:pPr>
      <w:r>
        <w:t>11. Manual Demonstration Sequence</w:t>
      </w:r>
    </w:p>
    <w:p>
      <w:pPr>
        <w:numPr>
          <w:ilvl w:val="0"/>
          <w:numId w:val="14"/>
        </w:numPr>
        <w:spacing w:after="80" w:line="300" w:lineRule="auto"/>
      </w:pPr>
      <w:r>
        <w:rPr>
          <w:rFonts w:ascii="Calibri" w:hAnsi="Calibri"/>
          <w:color w:val="243B53"/>
        </w:rPr>
        <w:t>Open /login and authenticate. Explain JWT, BCrypt, roles, and backend enforcement.</w:t>
      </w:r>
    </w:p>
    <w:p>
      <w:pPr>
        <w:numPr>
          <w:ilvl w:val="0"/>
          <w:numId w:val="14"/>
        </w:numPr>
        <w:spacing w:after="80" w:line="300" w:lineRule="auto"/>
      </w:pPr>
      <w:r>
        <w:rPr>
          <w:rFonts w:ascii="Calibri" w:hAnsi="Calibri"/>
          <w:color w:val="243B53"/>
        </w:rPr>
        <w:t>Open /settings. Choose UNSUPERVISED or SUPERVISED and explain why the whole application follows this mode.</w:t>
      </w:r>
    </w:p>
    <w:p>
      <w:pPr>
        <w:numPr>
          <w:ilvl w:val="0"/>
          <w:numId w:val="14"/>
        </w:numPr>
        <w:spacing w:after="80" w:line="300" w:lineRule="auto"/>
      </w:pPr>
      <w:r>
        <w:rPr>
          <w:rFonts w:ascii="Calibri" w:hAnsi="Calibri"/>
          <w:color w:val="243B53"/>
        </w:rPr>
        <w:t>Open /uploads. Upload a matching dataset and explain label rules.</w:t>
      </w:r>
    </w:p>
    <w:p>
      <w:pPr>
        <w:numPr>
          <w:ilvl w:val="0"/>
          <w:numId w:val="14"/>
        </w:numPr>
        <w:spacing w:after="80" w:line="300" w:lineRule="auto"/>
      </w:pPr>
      <w:r>
        <w:rPr>
          <w:rFonts w:ascii="Calibri" w:hAnsi="Calibri"/>
          <w:color w:val="243B53"/>
        </w:rPr>
        <w:t>Open /training-operations. Close required dates, create a run, export the immutable snapshot, choose models, and train candidates.</w:t>
      </w:r>
    </w:p>
    <w:p>
      <w:pPr>
        <w:numPr>
          <w:ilvl w:val="0"/>
          <w:numId w:val="14"/>
        </w:numPr>
        <w:spacing w:after="80" w:line="300" w:lineRule="auto"/>
      </w:pPr>
      <w:r>
        <w:rPr>
          <w:rFonts w:ascii="Calibri" w:hAnsi="Calibri"/>
          <w:color w:val="243B53"/>
        </w:rPr>
        <w:t>Open the matching comparison page. Show 10%, 25%, 50%, and 100% growth; explain only metrics valid for that mode.</w:t>
      </w:r>
    </w:p>
    <w:p>
      <w:pPr>
        <w:numPr>
          <w:ilvl w:val="0"/>
          <w:numId w:val="14"/>
        </w:numPr>
        <w:spacing w:after="80" w:line="300" w:lineRule="auto"/>
      </w:pPr>
      <w:r>
        <w:rPr>
          <w:rFonts w:ascii="Calibri" w:hAnsi="Calibri"/>
          <w:color w:val="243B53"/>
        </w:rPr>
        <w:t>Open /model-tuning. Explain that these controls affect the next training/comparison, not current production artifacts.</w:t>
      </w:r>
    </w:p>
    <w:p>
      <w:pPr>
        <w:numPr>
          <w:ilvl w:val="0"/>
          <w:numId w:val="14"/>
        </w:numPr>
        <w:spacing w:after="80" w:line="300" w:lineRule="auto"/>
      </w:pPr>
      <w:r>
        <w:rPr>
          <w:rFonts w:ascii="Calibri" w:hAnsi="Calibri"/>
          <w:color w:val="243B53"/>
        </w:rPr>
        <w:t>Open /config. Explain four-layer weights, internal ML allocation, thresholds, and why totals must be exactly 100%. Save creates a versioned policy.</w:t>
      </w:r>
    </w:p>
    <w:p>
      <w:pPr>
        <w:numPr>
          <w:ilvl w:val="0"/>
          <w:numId w:val="14"/>
        </w:numPr>
        <w:spacing w:after="80" w:line="300" w:lineRule="auto"/>
      </w:pPr>
      <w:r>
        <w:rPr>
          <w:rFonts w:ascii="Calibri" w:hAnsi="Calibri"/>
          <w:color w:val="243B53"/>
        </w:rPr>
        <w:t>Open /transaction-check. Submit a realistic event and explain the final score, reasons, component scores, model diagnostics, feature contract, and latency.</w:t>
      </w:r>
    </w:p>
    <w:p>
      <w:pPr>
        <w:numPr>
          <w:ilvl w:val="0"/>
          <w:numId w:val="14"/>
        </w:numPr>
        <w:spacing w:after="80" w:line="300" w:lineRule="auto"/>
      </w:pPr>
      <w:r>
        <w:rPr>
          <w:rFonts w:ascii="Calibri" w:hAnsi="Calibri"/>
          <w:color w:val="243B53"/>
        </w:rPr>
        <w:t>Open /cases. Show pagination, evidence, notes, false-positive action, and STR XML workflow.</w:t>
      </w:r>
    </w:p>
    <w:p>
      <w:pPr>
        <w:numPr>
          <w:ilvl w:val="0"/>
          <w:numId w:val="14"/>
        </w:numPr>
        <w:spacing w:after="80" w:line="300" w:lineRule="auto"/>
      </w:pPr>
      <w:r>
        <w:rPr>
          <w:rFonts w:ascii="Calibri" w:hAnsi="Calibri"/>
          <w:color w:val="243B53"/>
        </w:rPr>
        <w:t>Finish with model registry, audit tables, limitations, and how reviewed outcomes enable supervised learning.</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FF7E6"/>
            <w:tcMar>
              <w:top w:w="80" w:type="dxa"/>
              <w:bottom w:w="80" w:type="dxa"/>
              <w:start w:w="120" w:type="dxa"/>
              <w:end w:w="120" w:type="dxa"/>
            </w:tcMar>
            <w:vAlign w:val="center"/>
          </w:tcPr>
          <w:p>
            <w:pPr>
              <w:spacing w:after="0"/>
            </w:pPr>
            <w:r>
              <w:rPr>
                <w:rFonts w:ascii="Calibri" w:hAnsi="Calibri"/>
                <w:b/>
                <w:color w:val="9A6700"/>
              </w:rPr>
              <w:t xml:space="preserve">Demo advice: </w:t>
            </w:r>
            <w:r>
              <w:rPr>
                <w:rFonts w:ascii="Calibri" w:hAnsi="Calibri"/>
                <w:color w:val="243B53"/>
              </w:rPr>
              <w:t>Do not start a long comparison during the defense. Run it beforehand and demonstrate the cached completed result. Keep one small dataset available for a short live workflow.</w:t>
            </w:r>
          </w:p>
        </w:tc>
      </w:tr>
    </w:tbl>
    <w:p>
      <w:pPr>
        <w:spacing w:after="0"/>
      </w:pPr>
    </w:p>
    <w:p>
      <w:pPr>
        <w:pStyle w:val="Heading1"/>
      </w:pPr>
      <w:r>
        <w:t>12. Defense Questions and Honest Answers</w:t>
      </w:r>
    </w:p>
    <w:p>
      <w:pPr>
        <w:pStyle w:val="Heading2"/>
      </w:pPr>
      <w:r>
        <w:t>Common examiner questions</w:t>
      </w:r>
    </w:p>
    <w:p>
      <w:pPr>
        <w:pStyle w:val="Heading3"/>
      </w:pPr>
      <w:r>
        <w:t>Why not call every anomaly fraud?</w:t>
      </w:r>
    </w:p>
    <w:p>
      <w:r>
        <w:rPr>
          <w:rFonts w:ascii="Calibri" w:hAnsi="Calibri"/>
          <w:color w:val="243B53"/>
        </w:rPr>
        <w:t>An anomaly is only unusual. Fraud requires reliable labels or human investigation. The platform creates suspicious cases rather than claiming proof.</w:t>
      </w:r>
    </w:p>
    <w:p>
      <w:pPr>
        <w:pStyle w:val="Heading3"/>
      </w:pPr>
      <w:r>
        <w:t>Why both supervised and unsupervised learning?</w:t>
      </w:r>
    </w:p>
    <w:p>
      <w:r>
        <w:rPr>
          <w:rFonts w:ascii="Calibri" w:hAnsi="Calibri"/>
          <w:color w:val="243B53"/>
        </w:rPr>
        <w:t>Some clients begin without labels. Unsupervised models provide a safe starting point; reviewed outcomes later support supervised classifiers and valid precision/recall metrics.</w:t>
      </w:r>
    </w:p>
    <w:p>
      <w:pPr>
        <w:pStyle w:val="Heading3"/>
      </w:pPr>
      <w:r>
        <w:t>Why PR-AUC instead of only accuracy?</w:t>
      </w:r>
    </w:p>
    <w:p>
      <w:r>
        <w:rPr>
          <w:rFonts w:ascii="Calibri" w:hAnsi="Calibri"/>
          <w:color w:val="243B53"/>
        </w:rPr>
        <w:t>Fraud is imbalanced. A model can achieve high accuracy by predicting legitimate almost always. PR-AUC focuses on positive-class ranking quality.</w:t>
      </w:r>
    </w:p>
    <w:p>
      <w:pPr>
        <w:pStyle w:val="Heading3"/>
      </w:pPr>
      <w:r>
        <w:t>Why chronological splits?</w:t>
      </w:r>
    </w:p>
    <w:p>
      <w:r>
        <w:rPr>
          <w:rFonts w:ascii="Calibri" w:hAnsi="Calibri"/>
          <w:color w:val="243B53"/>
        </w:rPr>
        <w:t>Random splits can leak future behavioral patterns. Chronology better approximates training on the past and evaluating on later transactions.</w:t>
      </w:r>
    </w:p>
    <w:p>
      <w:pPr>
        <w:pStyle w:val="Heading3"/>
      </w:pPr>
      <w:r>
        <w:t>Why can the ensemble be worse than one model?</w:t>
      </w:r>
    </w:p>
    <w:p>
      <w:r>
        <w:rPr>
          <w:rFonts w:ascii="Calibri" w:hAnsi="Calibri"/>
          <w:color w:val="243B53"/>
        </w:rPr>
        <w:t>Ensembling only helps when models contribute complementary information and weights/thresholds are validated. Correlated errors or poor calibration can reduce performance.</w:t>
      </w:r>
    </w:p>
    <w:p>
      <w:pPr>
        <w:pStyle w:val="Heading3"/>
      </w:pPr>
      <w:r>
        <w:t>Does a 90% target manipulate results?</w:t>
      </w:r>
    </w:p>
    <w:p>
      <w:r>
        <w:rPr>
          <w:rFonts w:ascii="Calibri" w:hAnsi="Calibri"/>
          <w:color w:val="243B53"/>
        </w:rPr>
        <w:t>A target is acceptable only as a business operating point chosen on calibration data and honestly reported with its recall and case volume. It must not be tuned on the final test set.</w:t>
      </w:r>
    </w:p>
    <w:p>
      <w:pPr>
        <w:pStyle w:val="Heading3"/>
      </w:pPr>
      <w:r>
        <w:t>Why keep rules if ML exists?</w:t>
      </w:r>
    </w:p>
    <w:p>
      <w:r>
        <w:rPr>
          <w:rFonts w:ascii="Calibri" w:hAnsi="Calibri"/>
          <w:color w:val="243B53"/>
        </w:rPr>
        <w:t>Rules encode known AML obligations and provide deterministic, explainable overrides. ML discovers nonlinear patterns but should not replace explicit policy.</w:t>
      </w:r>
    </w:p>
    <w:p>
      <w:pPr>
        <w:pStyle w:val="Heading3"/>
      </w:pPr>
      <w:r>
        <w:t>How does data growth analysis help?</w:t>
      </w:r>
    </w:p>
    <w:p>
      <w:r>
        <w:rPr>
          <w:rFonts w:ascii="Calibri" w:hAnsi="Calibri"/>
          <w:color w:val="243B53"/>
        </w:rPr>
        <w:t>It shows whether quality, rate, agreement, latency, and stability improve or deteriorate as the chronological history increases from 10% to 100%.</w:t>
      </w:r>
    </w:p>
    <w:p>
      <w:pPr>
        <w:pStyle w:val="Heading3"/>
      </w:pPr>
      <w:r>
        <w:t>How is reproducibility achieved?</w:t>
      </w:r>
    </w:p>
    <w:p>
      <w:r>
        <w:rPr>
          <w:rFonts w:ascii="Calibri" w:hAnsi="Calibri"/>
          <w:color w:val="243B53"/>
        </w:rPr>
        <w:t>Training windows, cutoff, feature version, Parquet checksums, artifact checksums, random seed, metrics, policies, and model versions are persisted.</w:t>
      </w:r>
    </w:p>
    <w:p>
      <w:pPr>
        <w:pStyle w:val="Heading3"/>
      </w:pPr>
      <w:r>
        <w:t>Why is Java the business authority?</w:t>
      </w:r>
    </w:p>
    <w:p>
      <w:r>
        <w:rPr>
          <w:rFonts w:ascii="Calibri" w:hAnsi="Calibri"/>
          <w:color w:val="243B53"/>
        </w:rPr>
        <w:t>Security, SQL consistency, labels, cases, thresholds, and regulatory workflow belong in a transactional application layer. Python remains focused on ML computation.</w:t>
      </w:r>
    </w:p>
    <w:p>
      <w:pPr>
        <w:pStyle w:val="Heading3"/>
      </w:pPr>
      <w:r>
        <w:t>Can this handle a bank's full volume today?</w:t>
      </w:r>
    </w:p>
    <w:p>
      <w:r>
        <w:rPr>
          <w:rFonts w:ascii="Calibri" w:hAnsi="Calibri"/>
          <w:color w:val="243B53"/>
        </w:rPr>
        <w:t>The design contains bank-scale patterns, but production capacity is not proven until load tests, distributed deployment, observability, resilience, security hardening, and regulatory validation are completed.</w:t>
      </w:r>
    </w:p>
    <w:p>
      <w:pPr>
        <w:pStyle w:val="Heading3"/>
      </w:pPr>
      <w:r>
        <w:t>What is the biggest academic contribution?</w:t>
      </w:r>
    </w:p>
    <w:p>
      <w:r>
        <w:rPr>
          <w:rFonts w:ascii="Calibri" w:hAnsi="Calibri"/>
          <w:color w:val="243B53"/>
        </w:rPr>
        <w:t>A dual-learning, growth-aware, layered risk architecture that compares models honestly, preserves explainable AML logic, and connects investigation outcomes back to future supervised learning.</w:t>
      </w:r>
    </w:p>
    <w:p>
      <w:pPr>
        <w:pStyle w:val="Heading2"/>
      </w:pPr>
      <w:r>
        <w:t>Known limitations</w:t>
      </w:r>
    </w:p>
    <w:p>
      <w:pPr>
        <w:pStyle w:val="ListBullet"/>
      </w:pPr>
      <w:r>
        <w:rPr>
          <w:rFonts w:ascii="Calibri" w:hAnsi="Calibri"/>
          <w:color w:val="243B53"/>
        </w:rPr>
        <w:t>Synthetic or limited project datasets cannot prove performance on a real bank population.</w:t>
      </w:r>
    </w:p>
    <w:p>
      <w:pPr>
        <w:pStyle w:val="ListBullet"/>
      </w:pPr>
      <w:r>
        <w:rPr>
          <w:rFonts w:ascii="Calibri" w:hAnsi="Calibri"/>
          <w:color w:val="243B53"/>
        </w:rPr>
        <w:t>STR XML is a draft artifact and not a certified regulator submission integration.</w:t>
      </w:r>
    </w:p>
    <w:p>
      <w:pPr>
        <w:pStyle w:val="ListBullet"/>
      </w:pPr>
      <w:r>
        <w:rPr>
          <w:rFonts w:ascii="Calibri" w:hAnsi="Calibri"/>
          <w:color w:val="243B53"/>
        </w:rPr>
        <w:t>Production secrets, encryption, retention, privacy, and infrastructure controls require institutional deployment work.</w:t>
      </w:r>
    </w:p>
    <w:p>
      <w:pPr>
        <w:pStyle w:val="ListBullet"/>
      </w:pPr>
      <w:r>
        <w:rPr>
          <w:rFonts w:ascii="Calibri" w:hAnsi="Calibri"/>
          <w:color w:val="243B53"/>
        </w:rPr>
        <w:t>A high score is decision support; model drift, reviewer consistency, and label quality must be monitored continuously.</w:t>
      </w:r>
    </w:p>
    <w:p>
      <w:pPr>
        <w:pStyle w:val="ListBullet"/>
      </w:pPr>
      <w:r>
        <w:rPr>
          <w:rFonts w:ascii="Calibri" w:hAnsi="Calibri"/>
          <w:color w:val="243B53"/>
        </w:rPr>
        <w:t>Some compatibility controllers/tables remain although their Angular pages are inactive; they should be cleaned after migration assurance.</w:t>
      </w:r>
    </w:p>
    <w:p>
      <w:r>
        <w:br w:type="page"/>
      </w:r>
    </w:p>
    <w:p>
      <w:pPr>
        <w:pStyle w:val="Heading1"/>
      </w:pPr>
      <w:r>
        <w:t>Appendix A. API Index</w:t>
      </w:r>
    </w:p>
    <w:tbl>
      <w:tblPr>
        <w:tblStyle w:val="TableGrid"/>
        <w:tblW w:type="dxa" w:w="9360"/>
        <w:jc w:val="left"/>
        <w:tblLayout w:type="fixed"/>
        <w:tblLook w:firstColumn="1" w:firstRow="1" w:lastColumn="0" w:lastRow="0" w:noHBand="0" w:noVBand="1" w:val="04A0"/>
        <w:tblInd w:w="120" w:type="dxa"/>
      </w:tblPr>
      <w:tblGrid>
        <w:gridCol w:w="1350"/>
        <w:gridCol w:w="3800"/>
        <w:gridCol w:w="2910"/>
        <w:gridCol w:w="1300"/>
      </w:tblGrid>
      <w:tr>
        <w:trPr>
          <w:tblHeader w:val="true"/>
        </w:trPr>
        <w:tc>
          <w:tcPr>
            <w:tcW w:type="dxa" w:w="1350"/>
            <w:shd w:fill="E8EEF5"/>
            <w:tcMar>
              <w:top w:w="80" w:type="dxa"/>
              <w:bottom w:w="80" w:type="dxa"/>
              <w:start w:w="120" w:type="dxa"/>
              <w:end w:w="120" w:type="dxa"/>
            </w:tcMar>
            <w:vAlign w:val="center"/>
          </w:tcPr>
          <w:p>
            <w:r>
              <w:rPr>
                <w:rFonts w:ascii="Calibri" w:hAnsi="Calibri"/>
                <w:b/>
                <w:color w:val="102A43"/>
                <w:sz w:val="18"/>
              </w:rPr>
              <w:t>Area</w:t>
            </w:r>
          </w:p>
        </w:tc>
        <w:tc>
          <w:tcPr>
            <w:tcW w:type="dxa" w:w="3800"/>
            <w:shd w:fill="E8EEF5"/>
            <w:tcMar>
              <w:top w:w="80" w:type="dxa"/>
              <w:bottom w:w="80" w:type="dxa"/>
              <w:start w:w="120" w:type="dxa"/>
              <w:end w:w="120" w:type="dxa"/>
            </w:tcMar>
            <w:vAlign w:val="center"/>
          </w:tcPr>
          <w:p>
            <w:r>
              <w:rPr>
                <w:rFonts w:ascii="Calibri" w:hAnsi="Calibri"/>
                <w:b/>
                <w:color w:val="102A43"/>
                <w:sz w:val="18"/>
              </w:rPr>
              <w:t>Endpoint</w:t>
            </w:r>
          </w:p>
        </w:tc>
        <w:tc>
          <w:tcPr>
            <w:tcW w:type="dxa" w:w="2910"/>
            <w:shd w:fill="E8EEF5"/>
            <w:tcMar>
              <w:top w:w="80" w:type="dxa"/>
              <w:bottom w:w="80" w:type="dxa"/>
              <w:start w:w="120" w:type="dxa"/>
              <w:end w:w="120" w:type="dxa"/>
            </w:tcMar>
            <w:vAlign w:val="center"/>
          </w:tcPr>
          <w:p>
            <w:r>
              <w:rPr>
                <w:rFonts w:ascii="Calibri" w:hAnsi="Calibri"/>
                <w:b/>
                <w:color w:val="102A43"/>
                <w:sz w:val="18"/>
              </w:rPr>
              <w:t>Purpose</w:t>
            </w:r>
          </w:p>
        </w:tc>
        <w:tc>
          <w:tcPr>
            <w:tcW w:type="dxa" w:w="1300"/>
            <w:shd w:fill="E8EEF5"/>
            <w:tcMar>
              <w:top w:w="80" w:type="dxa"/>
              <w:bottom w:w="80" w:type="dxa"/>
              <w:start w:w="120" w:type="dxa"/>
              <w:end w:w="120" w:type="dxa"/>
            </w:tcMar>
            <w:vAlign w:val="center"/>
          </w:tcPr>
          <w:p>
            <w:r>
              <w:rPr>
                <w:rFonts w:ascii="Calibri" w:hAnsi="Calibri"/>
                <w:b/>
                <w:color w:val="102A43"/>
                <w:sz w:val="18"/>
              </w:rPr>
              <w:t>Access</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Auth</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POST /api/auth/register</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Create REVIEWER account</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Public</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Auth</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POST /api/auth/login</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Issue JWT</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Public</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Auth</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GET /api/auth/me; GET /validate</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Current identity/token check</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Authenticated</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Upload</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POST /api/v1/uploads/transactions</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Import CSV/Excel</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Admin</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Upload</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GET /api/v1/uploads/batches[/latest/{batchNo}]</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Upload history</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Authenticated</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Transactions</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POST /api/v1/transactions</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Persist, feature, score, alert/case</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Authenticated</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Transactions</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GET /api/v1/transactions[/{transactionId}]</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Search/read transactions</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Authenticated</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Cases</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GET /api/cases</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Paginated/filter case queue</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Authenticated</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Cases</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POST /api/cases; GET /api/cases/{id}</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Manual create/read detail</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Authenticated</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Cases</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PUT /api/cases/{id}/status; POST /notes</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Workflow and notes</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Authenticated</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Cases</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POST /api/cases/{id}/false-positive</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Resolve as false positive</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Authenticated</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Cases</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POST /api/cases/{id}/str-xml</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Generate draft STR XML</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Authenticated</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Training</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POST /api/v1/aml/training-runs</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Create governed run</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Admin</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Training</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POST /api/v1/aml/training-runs/pipeline/start</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Create/export/train pipeline</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Admin</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Training</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POST .../{runId}/dataset; POST .../training</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Export/train selected run</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Admin</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Training</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GET /api/v1/aml/training-runs</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Run status/history</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Authenticated</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Business day</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POST /api/v1/aml/business-days/close[/range]</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Seal dates</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Admin</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Registry</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GET /api/v1/aml/models; GET .../active</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Registry and active pointers</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Authenticated</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Registry</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POST .../{version}/validate|promote|rollback</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Governed lifecycle</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Admin</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Research</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POST /api/v1/aml/growth-analysis/training-runs/{id}</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Unsupervised growth</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Admin</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Research</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POST /api/v1/aml/growth-analysis/layer-ablation</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Layer effect replay</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Admin</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Research</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GET/POST /api/v1/aml/growth-studies</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Cached unsupervised studies</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Auth/Admin</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Research</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GET/POST /api/v1/aml/supervised-growth-studies</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Cached supervised studies</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Auth/Admin</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Research</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GET/POST /api/v1/aml/agreement-studies</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Agreement studies</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Auth/Admin</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Layered</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POST /api/v1/aml/layered-shadow/validate</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Validate full architecture</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Admin</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Layered</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POST /api/v1/aml/layered-deployments/promote|rollback</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Layered routing control</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Admin</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Config</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/api/v1/anomaly-model-comparisons/risk-policy</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Risk weights/thresholds</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Auth/Admin writes</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Config</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/api/v1/anomaly-model-comparisons/model-tuning</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Tuning controls</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Auth/Admin writes</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Config</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/api/v1/anomaly-model-comparisons/model-catalog</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Mode-specific model catalog</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Authenticated</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Python</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POST /api/v2/fraud/predict</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Production ML inference</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Internal Spring call</w:t>
            </w:r>
          </w:p>
        </w:tc>
      </w:tr>
      <w:tr>
        <w:tc>
          <w:tcPr>
            <w:tcW w:type="dxa" w:w="1350"/>
            <w:tcMar>
              <w:top w:w="80" w:type="dxa"/>
              <w:bottom w:w="80" w:type="dxa"/>
              <w:start w:w="120" w:type="dxa"/>
              <w:end w:w="120" w:type="dxa"/>
            </w:tcMar>
            <w:vAlign w:val="center"/>
          </w:tcPr>
          <w:p>
            <w:pPr>
              <w:spacing w:after="0" w:line="259" w:lineRule="auto"/>
            </w:pPr>
            <w:r>
              <w:rPr>
                <w:rFonts w:ascii="Calibri" w:hAnsi="Calibri"/>
                <w:color w:val="243B53"/>
                <w:sz w:val="15"/>
              </w:rPr>
              <w:t>Python</w:t>
            </w:r>
          </w:p>
        </w:tc>
        <w:tc>
          <w:tcPr>
            <w:tcW w:type="dxa" w:w="3800"/>
            <w:tcMar>
              <w:top w:w="80" w:type="dxa"/>
              <w:bottom w:w="80" w:type="dxa"/>
              <w:start w:w="120" w:type="dxa"/>
              <w:end w:w="120" w:type="dxa"/>
            </w:tcMar>
            <w:vAlign w:val="center"/>
          </w:tcPr>
          <w:p>
            <w:pPr>
              <w:spacing w:after="0" w:line="259" w:lineRule="auto"/>
            </w:pPr>
            <w:r>
              <w:rPr>
                <w:rFonts w:ascii="Calibri" w:hAnsi="Calibri"/>
                <w:color w:val="243B53"/>
                <w:sz w:val="15"/>
              </w:rPr>
              <w:t>POST /api/v1/aml/research/growth-analysis</w:t>
            </w:r>
          </w:p>
        </w:tc>
        <w:tc>
          <w:tcPr>
            <w:tcW w:type="dxa" w:w="2910"/>
            <w:tcMar>
              <w:top w:w="80" w:type="dxa"/>
              <w:bottom w:w="80" w:type="dxa"/>
              <w:start w:w="120" w:type="dxa"/>
              <w:end w:w="120" w:type="dxa"/>
            </w:tcMar>
            <w:vAlign w:val="center"/>
          </w:tcPr>
          <w:p>
            <w:pPr>
              <w:spacing w:after="0" w:line="259" w:lineRule="auto"/>
            </w:pPr>
            <w:r>
              <w:rPr>
                <w:rFonts w:ascii="Calibri" w:hAnsi="Calibri"/>
                <w:color w:val="243B53"/>
                <w:sz w:val="15"/>
              </w:rPr>
              <w:t>Unsupervised research compute</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Internal Spring call</w:t>
            </w:r>
          </w:p>
        </w:tc>
      </w:tr>
      <w:tr>
        <w:tc>
          <w:tcPr>
            <w:tcW w:type="dxa" w:w="1350"/>
            <w:shd w:fill="F8FAFC"/>
            <w:tcMar>
              <w:top w:w="80" w:type="dxa"/>
              <w:bottom w:w="80" w:type="dxa"/>
              <w:start w:w="120" w:type="dxa"/>
              <w:end w:w="120" w:type="dxa"/>
            </w:tcMar>
            <w:vAlign w:val="center"/>
          </w:tcPr>
          <w:p>
            <w:pPr>
              <w:spacing w:after="0" w:line="259" w:lineRule="auto"/>
            </w:pPr>
            <w:r>
              <w:rPr>
                <w:rFonts w:ascii="Calibri" w:hAnsi="Calibri"/>
                <w:color w:val="243B53"/>
                <w:sz w:val="15"/>
              </w:rPr>
              <w:t>Python</w:t>
            </w:r>
          </w:p>
        </w:tc>
        <w:tc>
          <w:tcPr>
            <w:tcW w:type="dxa" w:w="3800"/>
            <w:shd w:fill="F8FAFC"/>
            <w:tcMar>
              <w:top w:w="80" w:type="dxa"/>
              <w:bottom w:w="80" w:type="dxa"/>
              <w:start w:w="120" w:type="dxa"/>
              <w:end w:w="120" w:type="dxa"/>
            </w:tcMar>
            <w:vAlign w:val="center"/>
          </w:tcPr>
          <w:p>
            <w:pPr>
              <w:spacing w:after="0" w:line="259" w:lineRule="auto"/>
            </w:pPr>
            <w:r>
              <w:rPr>
                <w:rFonts w:ascii="Calibri" w:hAnsi="Calibri"/>
                <w:color w:val="243B53"/>
                <w:sz w:val="15"/>
              </w:rPr>
              <w:t>POST /api/v1/aml/model-agreement</w:t>
            </w:r>
          </w:p>
        </w:tc>
        <w:tc>
          <w:tcPr>
            <w:tcW w:type="dxa" w:w="2910"/>
            <w:shd w:fill="F8FAFC"/>
            <w:tcMar>
              <w:top w:w="80" w:type="dxa"/>
              <w:bottom w:w="80" w:type="dxa"/>
              <w:start w:w="120" w:type="dxa"/>
              <w:end w:w="120" w:type="dxa"/>
            </w:tcMar>
            <w:vAlign w:val="center"/>
          </w:tcPr>
          <w:p>
            <w:pPr>
              <w:spacing w:after="0" w:line="259" w:lineRule="auto"/>
            </w:pPr>
            <w:r>
              <w:rPr>
                <w:rFonts w:ascii="Calibri" w:hAnsi="Calibri"/>
                <w:color w:val="243B53"/>
                <w:sz w:val="15"/>
              </w:rPr>
              <w:t>Agreement compute</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Internal Spring call</w:t>
            </w:r>
          </w:p>
        </w:tc>
      </w:tr>
    </w:tbl>
    <w:p>
      <w:pPr>
        <w:spacing w:after="0"/>
      </w:pPr>
    </w:p>
    <w:p>
      <w:r>
        <w:br w:type="page"/>
      </w:r>
    </w:p>
    <w:p>
      <w:pPr>
        <w:pStyle w:val="Heading1"/>
      </w:pPr>
      <w:r>
        <w:t>Appendix B. Complete Database Table and Column Reference</w:t>
      </w:r>
    </w:p>
    <w:p>
      <w:r>
        <w:rPr>
          <w:rFonts w:ascii="Calibri" w:hAnsi="Calibri"/>
          <w:color w:val="243B53"/>
        </w:rPr>
        <w:t>Live inventory: 38 tables. Data types, nullability, and identity flags were read from the active fraud-transaction-detector SQL Server schema. Table descriptions summarize current application use.</w:t>
      </w:r>
    </w:p>
    <w:p>
      <w:pPr>
        <w:pStyle w:val="Heading2"/>
      </w:pPr>
      <w:r>
        <w:t>Identity, configuration, and ingestion</w:t>
      </w:r>
    </w:p>
    <w:p>
      <w:pPr>
        <w:pStyle w:val="Heading3"/>
      </w:pPr>
      <w:r>
        <w:t>app_users</w:t>
      </w:r>
    </w:p>
    <w:p>
      <w:r>
        <w:rPr>
          <w:rFonts w:ascii="Calibri" w:hAnsi="Calibri"/>
          <w:color w:val="243B53"/>
        </w:rPr>
        <w:t>Application identities, BCrypt password hashes, role, and activation state.</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username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password_hash</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varchar(255)</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full_name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role_name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is_active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created_at</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app_config</w:t>
      </w:r>
    </w:p>
    <w:p>
      <w:r>
        <w:rPr>
          <w:rFonts w:ascii="Calibri" w:hAnsi="Calibri"/>
          <w:color w:val="243B53"/>
        </w:rPr>
        <w:t>Typed runtime configuration used by settings, tuning, research, and risk policy services.</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config_key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config_value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value_type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description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updated_at</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bulk_upload_batches</w:t>
      </w:r>
    </w:p>
    <w:p>
      <w:r>
        <w:rPr>
          <w:rFonts w:ascii="Calibri" w:hAnsi="Calibri"/>
          <w:color w:val="243B53"/>
        </w:rPr>
        <w:t>One audit record per uploaded file, including success and failure counts.</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batch_no</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file_name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varchar(255)</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total_rows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success_rows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failed_rows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uploaded_by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uploaded_at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status</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uploaded_datasets</w:t>
      </w:r>
    </w:p>
    <w:p>
      <w:r>
        <w:rPr>
          <w:rFonts w:ascii="Calibri" w:hAnsi="Calibri"/>
          <w:color w:val="243B53"/>
        </w:rPr>
        <w:t>Logical upload or database snapshot metadata used by comparison workflows.</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dataset_no</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file_name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varchar(255)</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total_rows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uploaded_by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uploaded_at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status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notes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source_batch_id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source_type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snapshot_max_transaction_id</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transactions</w:t>
      </w:r>
    </w:p>
    <w:p>
      <w:r>
        <w:rPr>
          <w:rFonts w:ascii="Calibri" w:hAnsi="Calibri"/>
          <w:color w:val="243B53"/>
        </w:rPr>
        <w:t>Authoritative transaction events, source metadata, processing state, and supervised label lifecycle.</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account_id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transaction_amount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decimal(18,2)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transaction_type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transaction_date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location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channel</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customer_age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customer_occupation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login_attempts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account_balance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decimal(18,2)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source_type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upload_batch_id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created_at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customer_id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business_date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18</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processing_status</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varchar(30)</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transactions (continued)</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feature_status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prediction_status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updated_at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fraud_label</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label_source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labeled_by</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25</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labeled_at</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2"/>
      </w:pPr>
      <w:r>
        <w:t>Features, profiles, and learning</w:t>
      </w:r>
    </w:p>
    <w:p>
      <w:pPr>
        <w:pStyle w:val="Heading3"/>
      </w:pPr>
      <w:r>
        <w:t>aml_transaction_features</w:t>
      </w:r>
    </w:p>
    <w:p>
      <w:r>
        <w:rPr>
          <w:rFonts w:ascii="Calibri" w:hAnsi="Calibri"/>
          <w:color w:val="243B53"/>
        </w:rPr>
        <w:t>Persisted point-in-time feature vectors used for reproducible scoring and training.</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customer_id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account_id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business_date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transaction_date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feature_version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current_amount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decimal(19,4)</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current_balance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decimal(19,4)</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amount_balance_ratio</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transaction_hour</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transaction_day_of_week</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is_night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is_weekend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customer_history_count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trusted_history_count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recent_transaction_count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18</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profile_confidence</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aml_transaction_features (continued)</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last_5_avg_amount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last_5_median_amount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last_30_avg_amount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last_30_median_amount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last_30_std_amount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last_30_max_amount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last_30_min_amount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amount_vs_last_30_avg</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amount_vs_last_30_median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amount_z_score_last_30</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last_30_debit_ratio</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30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last_30_credit_ratio</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last_30_cash_ratio</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32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last_30_unique_beneficiaries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last_30_unique_locations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34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last_30_unique_channels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last_30_avg_time_gap_minutes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36</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transaction_count_10m</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aml_transaction_features (continued)</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transaction_count_1h</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38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transaction_count_24h</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transaction_count_7d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transaction_count_30d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41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amount_sum_10m</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amount_sum_1h</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43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amount_sum_24h</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amount_sum_7d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45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amount_sum_30d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unique_beneficiaries_1h</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47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unique_beneficiaries_24h</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unique_beneficiaries_7d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49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repeated_amount_count_24h</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50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below_threshold_count_24h</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below_threshold_amount_sum_24h</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52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new_beneficiary</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new_location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54</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new_channel</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aml_transaction_features (continued)</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new_device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56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unusual_transaction_hour</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time_since_previous_transaction_minutes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58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peer_group_code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peer_avg_amount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peer_median_amount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61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peer_std_amount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amount_vs_peer_avg</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63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peer_amount_z_score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peer_frequency_percentile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65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customer_type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customer_risk_rating</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67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expected_monthly_turnover</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amount_vs_expected_turnover</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69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generated_at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70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generator_service_version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model_feature_schema</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72</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model_features_json</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aml_transaction_features (continued)</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terminal_tx_count_1d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74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terminal_fraud_count_1d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terminal_fraud_rate_1d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76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terminal_avg_amount_1d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terminal_tx_count_7d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78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terminal_fraud_count_7d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terminal_fraud_rate_7d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terminal_avg_amount_7d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81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terminal_tx_count_30d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terminal_fraud_count_30d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83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terminal_fraud_rate_30d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terminal_avg_amount_30d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85</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terminal_risk_available</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bit</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aml_feature_learning_status</w:t>
      </w:r>
    </w:p>
    <w:p>
      <w:r>
        <w:rPr>
          <w:rFonts w:ascii="Calibri" w:hAnsi="Calibri"/>
          <w:color w:val="243B53"/>
        </w:rPr>
        <w:t>Eligibility, quarantine, review, and learning-state decisions per transaction.</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transaction_id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eligibility_status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eligibility_reason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eligible_for_incremental_model</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eligible_for_trusted_profile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eligible_for_batch_training</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reviewed_by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reviewed_at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updated_at</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aml_customer_observed_profile</w:t>
      </w:r>
    </w:p>
    <w:p>
      <w:r>
        <w:rPr>
          <w:rFonts w:ascii="Calibri" w:hAnsi="Calibri"/>
          <w:color w:val="243B53"/>
        </w:rPr>
        <w:t>Fast operational profile updated from observed customer activity.</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customer_id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total_transaction_count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total_transaction_amount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decimal(19,4)</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last_transaction_id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last_transaction_date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last_transaction_amount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decimal(19,4)</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last_location_code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last_channel</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last_beneficiary_id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observed_avg_amount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observed_std_amount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observed_max_amount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updated_at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row_version</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timestamp</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aml_customer_trusted_profile</w:t>
      </w:r>
    </w:p>
    <w:p>
      <w:r>
        <w:rPr>
          <w:rFonts w:ascii="Calibri" w:hAnsi="Calibri"/>
          <w:color w:val="243B53"/>
        </w:rPr>
        <w:t>Profile derived only from transactions approved for trusted learning.</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customer_id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trusted_transaction_count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trusted_avg_amount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trusted_variance_amount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trusted_std_amount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trusted_max_amount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trusted_min_amount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usual_start_hour</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usual_end_hour</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dominant_channel</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dominant_location_code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profile_confidence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profile_status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last_learned_transaction_id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last_learned_at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updated_at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17</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row_version</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timestamp</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aml_customer_recent_transactions</w:t>
      </w:r>
    </w:p>
    <w:p>
      <w:r>
        <w:rPr>
          <w:rFonts w:ascii="Calibri" w:hAnsi="Calibri"/>
          <w:color w:val="243B53"/>
        </w:rPr>
        <w:t>Bounded recent-history support for velocity and behavior calculations.</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customer_id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transaction_date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transaction_amount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decimal(19,4)</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transaction_type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channel</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location_code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beneficiary_id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device_id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varchar(200)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trusted_flag</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anomaly_risk_level</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varchar(20)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inserted_at</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aml_business_days</w:t>
      </w:r>
    </w:p>
    <w:p>
      <w:r>
        <w:rPr>
          <w:rFonts w:ascii="Calibri" w:hAnsi="Calibri"/>
          <w:color w:val="243B53"/>
        </w:rPr>
        <w:t>Open/closed business dates used to prevent mutable historical exports.</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business_date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status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varchar(20)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closed_at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closed_by</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updated_at</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2"/>
      </w:pPr>
      <w:r>
        <w:t>Predictions, alerts, cases, and reports</w:t>
      </w:r>
    </w:p>
    <w:p>
      <w:pPr>
        <w:pStyle w:val="Heading3"/>
      </w:pPr>
      <w:r>
        <w:t>fraud_prediction_logs</w:t>
      </w:r>
    </w:p>
    <w:p>
      <w:r>
        <w:rPr>
          <w:rFonts w:ascii="Calibri" w:hAnsi="Calibri"/>
          <w:color w:val="243B53"/>
        </w:rPr>
        <w:t>Immutable request/response and explanation audit for each scored transaction.</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account_id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risk_level</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varchar(20)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anomaly_votes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request_json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response_json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created_at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feature_version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model_version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customer_statistical_score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incremental_model_score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batch_model_score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rule_score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final_risk_score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suspicious_flag</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learning_decision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18</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learning_decision_reason</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varchar(500)</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fraud_prediction_logs (continued)</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reason_codes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prediction_started_at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prediction_completed_at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prediction_duration_ms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23</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risk_policy_version</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fraud_alerts</w:t>
      </w:r>
    </w:p>
    <w:p>
      <w:r>
        <w:rPr>
          <w:rFonts w:ascii="Calibri" w:hAnsi="Calibri"/>
          <w:color w:val="243B53"/>
        </w:rPr>
        <w:t>Suspicious-event alerts created from qualifying production decisions.</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alert_no</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transaction_id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account_id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risk_level</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varchar(20)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anomaly_votes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iso_anomaly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lof_anomaly</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svm_anomaly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anomaly_reason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recommended_action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review_status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reviewed_by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reviewed_at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str_file_path</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str_generated_at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17</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created_at</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case_records</w:t>
      </w:r>
    </w:p>
    <w:p>
      <w:r>
        <w:rPr>
          <w:rFonts w:ascii="Calibri" w:hAnsi="Calibri"/>
          <w:color w:val="243B53"/>
        </w:rPr>
        <w:t>Investigation case header, workflow state, assignment, priority, and linked transaction/alert.</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case_no</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fraud_alert_id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account_id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title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varchar(200)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status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priority</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varchar(20)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assigned_to</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created_by</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created_at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updated_at</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case_notes</w:t>
      </w:r>
    </w:p>
    <w:p>
      <w:r>
        <w:rPr>
          <w:rFonts w:ascii="Calibri" w:hAnsi="Calibri"/>
          <w:color w:val="243B53"/>
        </w:rPr>
        <w:t>Attributed analyst and system notes attached to a case.</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case_record_id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note_text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created_by</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created_at</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str_reports</w:t>
      </w:r>
    </w:p>
    <w:p>
      <w:r>
        <w:rPr>
          <w:rFonts w:ascii="Calibri" w:hAnsi="Calibri"/>
          <w:color w:val="243B53"/>
        </w:rPr>
        <w:t>Generated suspicious transaction report metadata and XML content/state.</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fraud_alert_id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str_no</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account_id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file_path</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generated_by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generated_at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status</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aml_shadow_predictions</w:t>
      </w:r>
    </w:p>
    <w:p>
      <w:r>
        <w:rPr>
          <w:rFonts w:ascii="Calibri" w:hAnsi="Calibri"/>
          <w:color w:val="243B53"/>
        </w:rPr>
        <w:t>Silent challenger/layered scores that cannot directly create production outcomes.</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shadow_prediction_id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account_id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peer_group_code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feature_version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risk_policy_version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legacy_risk_level</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varchar(20)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legacy_suspicious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legacy_anomaly_votes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layered_final_risk_score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layered_risk_level</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varchar(20)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layered_suspicious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hard_rule_override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customer_behaviour_score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customer_behaviour_confidence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peer_behaviour_score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peer_behaviour_confidence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18</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hst_score</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aml_shadow_predictions (continued)</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hst_model_version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online_ocsvm_score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online_ocsvm_model_version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rule_score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suspicious_changed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risk_level_changed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alert_overlap</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component_scores_json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triggered_rules_json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reason_codes_json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layered_result_json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30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evaluated_at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31</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duration_ms</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aml_shadow_scenario_labels</w:t>
      </w:r>
    </w:p>
    <w:p>
      <w:r>
        <w:rPr>
          <w:rFonts w:ascii="Calibri" w:hAnsi="Calibri"/>
          <w:color w:val="243B53"/>
        </w:rPr>
        <w:t>Expected labels for synthetic or controlled shadow scenarios.</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scenario_label_id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scenario_code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expected_suspicious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labeled_by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created_at</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2"/>
      </w:pPr>
      <w:r>
        <w:t>Training, registry, validation, and deployment</w:t>
      </w:r>
    </w:p>
    <w:p>
      <w:pPr>
        <w:pStyle w:val="Heading3"/>
      </w:pPr>
      <w:r>
        <w:t>aml_training_runs</w:t>
      </w:r>
    </w:p>
    <w:p>
      <w:r>
        <w:rPr>
          <w:rFonts w:ascii="Calibri" w:hAnsi="Calibri"/>
          <w:color w:val="243B53"/>
        </w:rPr>
        <w:t>Governed immutable training windows, export state, selected model, artifact, and failure metadata.</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training_run_id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training_type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feature_version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model_type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model_segment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from_business_date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to_business_date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cutoff_timestamp</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requested_row_count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exported_row_count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learned_row_count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dataset_path</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dataset_checksum</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varchar(200)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base_model_version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candidate_model_version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status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started_at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18</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completed_at</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aml_training_runs (continued)</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failure_reason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created_at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progress_stage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nvarchar(80)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progress_current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23</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progress_total</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training_runs</w:t>
      </w:r>
    </w:p>
    <w:p>
      <w:r>
        <w:rPr>
          <w:rFonts w:ascii="Calibri" w:hAnsi="Calibri"/>
          <w:color w:val="243B53"/>
        </w:rPr>
        <w:t>Compatibility training-run records used by earlier comparison/training flows.</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training_run_no</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dataset_partition_id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model_name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training_status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rows_used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feature_count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hyperparams_json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training_started_at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training_completed_at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training_duration_ms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requested_by</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created_at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artifacts_json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response_status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duration_ms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training_row_count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18</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models_json</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training_runs (continued)</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message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started_at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completed_at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run_no</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source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24</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status</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varchar(30)</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aml_model_registry</w:t>
      </w:r>
    </w:p>
    <w:p>
      <w:r>
        <w:rPr>
          <w:rFonts w:ascii="Calibri" w:hAnsi="Calibri"/>
          <w:color w:val="243B53"/>
        </w:rPr>
        <w:t>Immutable model versions, artifact paths/checksums, metrics, lifecycle state, and feature contract.</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model_version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model_type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model_segment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feature_version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training_run_id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artifact_path</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artifact_checksum</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varchar(200)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status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anomaly_rate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validation_row_count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alert_count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average_score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score_p95</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score_p99</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created_at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approved_at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deployed_at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18</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retired_at</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aml_model_registry (continued)</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dataset_checksum</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varchar(200)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base_model_version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feature_schema_checksum</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varchar(200)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parameters_json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metrics_json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artifact_size_bytes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25</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registered_by</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aml_active_models</w:t>
      </w:r>
    </w:p>
    <w:p>
      <w:r>
        <w:rPr>
          <w:rFonts w:ascii="Calibri" w:hAnsi="Calibri"/>
          <w:color w:val="243B53"/>
        </w:rPr>
        <w:t>Atomic active/previous model pointers by model type and segment.</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model_type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model_segment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model_segment_key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active_model_version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previous_model_version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pointer_version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activated_by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activated_at</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aml_model_validations</w:t>
      </w:r>
    </w:p>
    <w:p>
      <w:r>
        <w:rPr>
          <w:rFonts w:ascii="Calibri" w:hAnsi="Calibri"/>
          <w:color w:val="243B53"/>
        </w:rPr>
        <w:t>Candidate validation evidence and pass/fail governance result.</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validation_id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model_version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comparison_target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window_started_at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window_ended_at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sample_count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candidate_anomaly_count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production_alert_count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overlap_count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candidate_only_count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production_only_count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candidate_anomaly_rate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production_alert_rate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agreement_rate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alert_jaccard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average_score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score_stddev</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18</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score_p50</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aml_model_validations (continued)</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score_p95</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score_p99</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daily_anomaly_rate_stddev</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reviewed_overlap_count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false_positive_overlap_count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str_overlap_count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reviewed_precision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validation_status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failure_reason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metrics_json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validated_by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30</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validated_at</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aml_model_deployments</w:t>
      </w:r>
    </w:p>
    <w:p>
      <w:r>
        <w:rPr>
          <w:rFonts w:ascii="Calibri" w:hAnsi="Calibri"/>
          <w:color w:val="243B53"/>
        </w:rPr>
        <w:t>Promotion and rollback event history for model versions.</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deployment_id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action_id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deployment_action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varchar(20)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model_type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model_segment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previous_model_version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activated_model_version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reason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nvarchar(1000)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performed_by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performed_at</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aml_layered_validations</w:t>
      </w:r>
    </w:p>
    <w:p>
      <w:r>
        <w:rPr>
          <w:rFonts w:ascii="Calibri" w:hAnsi="Calibri"/>
          <w:color w:val="243B53"/>
        </w:rPr>
        <w:t>Validation reports for the complete layered risk architecture.</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validation_id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risk_policy_version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peer_group_code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window_started_at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window_ended_at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sample_count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observation_days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legacy_alert_count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layered_alert_count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overlap_count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alert_jaccard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top_risk_overlap_rate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daily_alert_rate_stddev</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max_segment_daily_stddev</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synthetic_scenario_recall</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reviewed_false_positive_rate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prediction_latency_p95_ms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18</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average_incremental_update_ms</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aml_layered_validations (continued)</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hst_availability_rate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online_ocsvm_availability_rate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validation_status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blocking_reasons_json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warnings_json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metrics_json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validated_by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26</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validated_at</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aml_layered_deployment_pointers</w:t>
      </w:r>
    </w:p>
    <w:p>
      <w:r>
        <w:rPr>
          <w:rFonts w:ascii="Calibri" w:hAnsi="Calibri"/>
          <w:color w:val="243B53"/>
        </w:rPr>
        <w:t>Active layered architecture pointer, locked policy/models, and rollout percentage.</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peer_group_code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deployment_mode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varchar(40)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risk_policy_version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hst_model_version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online_ocsvm_model_version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validation_id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canary_percentage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pointer_version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activated_by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activated_at</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aml_layered_deployment_events</w:t>
      </w:r>
    </w:p>
    <w:p>
      <w:r>
        <w:rPr>
          <w:rFonts w:ascii="Calibri" w:hAnsi="Calibri"/>
          <w:color w:val="243B53"/>
        </w:rPr>
        <w:t>Audit history for layered promotion, expansion, and rollback.</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deployment_id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action_id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deployment_action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peer_group_code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previous_mode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varchar(40)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activated_mode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varchar(40)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risk_policy_version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hst_model_version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online_ocsvm_model_version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validation_id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previous_canary_percentage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activated_canary_percentage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reason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performed_by</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performed_at</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model_versions</w:t>
      </w:r>
    </w:p>
    <w:p>
      <w:r>
        <w:rPr>
          <w:rFonts w:ascii="Calibri" w:hAnsi="Calibri"/>
          <w:color w:val="243B53"/>
        </w:rPr>
        <w:t>Compatibility registry for earlier partition-model lifecycle workflows.</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model_version_no</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training_run_id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model_name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partition_size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artifact_base_path</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feature_columns_path</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scaler_path</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model_path</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metrics_json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is_active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created_at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dataset_partition_id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lifecycle_status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promoted_at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16</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promoted_by</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2"/>
      </w:pPr>
      <w:r>
        <w:t>Research and comparison</w:t>
      </w:r>
    </w:p>
    <w:p>
      <w:pPr>
        <w:pStyle w:val="Heading3"/>
      </w:pPr>
      <w:r>
        <w:t>aml_growth_studies</w:t>
      </w:r>
    </w:p>
    <w:p>
      <w:r>
        <w:rPr>
          <w:rFonts w:ascii="Calibri" w:hAnsi="Calibri"/>
          <w:color w:val="243B53"/>
        </w:rPr>
        <w:t>Unsupervised data-growth study status and serialized result.</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study_id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training_run_id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status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feature_version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dataset_rows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feature_count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partition_percentages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methodology_json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requested_by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failure_reason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nvarchar(8000)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started_at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completed_at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created_at</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aml_growth_metrics</w:t>
      </w:r>
    </w:p>
    <w:p>
      <w:r>
        <w:rPr>
          <w:rFonts w:ascii="Calibri" w:hAnsi="Calibri"/>
          <w:color w:val="243B53"/>
        </w:rPr>
        <w:t>Per-model/per-partition unsupervised quality, stability, rate, latency, and capacity metrics.</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study_id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detector</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partition_percentage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partition_rows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training_rows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learned_rows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evaluation_rows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excess_mass_auc</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score_skewness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rank_stability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anomaly_rate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alert_count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threshold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average_score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score_p50</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score_p95</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18</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score_p99</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aml_growth_metrics (continued)</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training_duration_ms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rows_per_second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21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bounded_training_sample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22</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created_at</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aml_supervised_growth_studies</w:t>
      </w:r>
    </w:p>
    <w:p>
      <w:r>
        <w:rPr>
          <w:rFonts w:ascii="Calibri" w:hAnsi="Calibri"/>
          <w:color w:val="243B53"/>
        </w:rPr>
        <w:t>Supervised chronological comparison status and cached result.</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study_id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training_run_id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status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result_json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requested_by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failure_reason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nvarchar(8000)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started_at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completed_at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created_at</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aml_agreement_studies</w:t>
      </w:r>
    </w:p>
    <w:p>
      <w:r>
        <w:rPr>
          <w:rFonts w:ascii="Calibri" w:hAnsi="Calibri"/>
          <w:color w:val="243B53"/>
        </w:rPr>
        <w:t>Unsupervised model agreement and overlap study cache.</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study_id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training_run_id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uniqueidentifier</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status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evaluated_rows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model_count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result_json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requested_by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failure_reason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nvarchar(8000)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started_at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completed_at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created_at</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dataset_partitions</w:t>
      </w:r>
    </w:p>
    <w:p>
      <w:r>
        <w:rPr>
          <w:rFonts w:ascii="Calibri" w:hAnsi="Calibri"/>
          <w:color w:val="243B53"/>
        </w:rPr>
        <w:t>Chronological percentage partitions and row counts for model-growth comparison.</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uploaded_dataset_id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partition_no</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partition_label</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partition_size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ordering_strategy</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start_row_no</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end_row_no</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created_at</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comparison_runs</w:t>
      </w:r>
    </w:p>
    <w:p>
      <w:r>
        <w:rPr>
          <w:rFonts w:ascii="Calibri" w:hAnsi="Calibri"/>
          <w:color w:val="243B53"/>
        </w:rPr>
        <w:t>Earlier scenario-comparison run header retained in the backend.</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comparison_run_no</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uploaded_dataset_id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scenario_set_id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selected_partition_sizes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varchar(200)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selected_models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run_status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varchar(30)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requested_by</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started_at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completed_at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created_at</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comparison_results</w:t>
      </w:r>
    </w:p>
    <w:p>
      <w:r>
        <w:rPr>
          <w:rFonts w:ascii="Calibri" w:hAnsi="Calibri"/>
          <w:color w:val="243B53"/>
        </w:rPr>
        <w:t>Earlier model-comparison metrics retained for compatibility.</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comparison_run_id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scenario_id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dataset_partition_id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model_version_id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model_name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raw_prediction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anomaly_vote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risk_level</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varchar(20)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suspicious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recommended_action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score_value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decision_value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float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reasons_json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response_json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prediction_duration_ms</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spacing w:after="0" w:line="259" w:lineRule="auto"/>
            </w:pPr>
            <w:r>
              <w:rPr>
                <w:rFonts w:ascii="Calibri" w:hAnsi="Calibri"/>
                <w:color w:val="243B53"/>
                <w:sz w:val="15"/>
              </w:rPr>
              <w:t>17</w:t>
            </w:r>
          </w:p>
        </w:tc>
        <w:tc>
          <w:tcPr>
            <w:tcW w:type="dxa" w:w="3450"/>
            <w:tcMar>
              <w:top w:w="80" w:type="dxa"/>
              <w:bottom w:w="80" w:type="dxa"/>
              <w:start w:w="120" w:type="dxa"/>
              <w:end w:w="120" w:type="dxa"/>
            </w:tcMar>
            <w:vAlign w:val="center"/>
          </w:tcPr>
          <w:p>
            <w:pPr>
              <w:spacing w:after="0" w:line="259" w:lineRule="auto"/>
            </w:pPr>
            <w:r>
              <w:rPr>
                <w:rFonts w:ascii="Calibri" w:hAnsi="Calibri"/>
                <w:color w:val="243B53"/>
                <w:sz w:val="15"/>
              </w:rPr>
              <w:t>created_at</w:t>
            </w:r>
          </w:p>
        </w:tc>
        <w:tc>
          <w:tcPr>
            <w:tcW w:type="dxa" w:w="2500"/>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comparison_scenarios</w:t>
      </w:r>
    </w:p>
    <w:p>
      <w:r>
        <w:rPr>
          <w:rFonts w:ascii="Calibri" w:hAnsi="Calibri"/>
          <w:color w:val="243B53"/>
        </w:rPr>
        <w:t>Earlier reusable comparison scenario definitions.</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scenario_no</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scenario_set_id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scenario_name</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scenario_type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customer_json</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account_profile_json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expected_notes</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created_at</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scenario_sets</w:t>
      </w:r>
    </w:p>
    <w:p>
      <w:r>
        <w:rPr>
          <w:rFonts w:ascii="Calibri" w:hAnsi="Calibri"/>
          <w:color w:val="243B53"/>
        </w:rPr>
        <w:t>Earlier scenario-set metadata retained although its UI page is inactive.</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scenario_set_no</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name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description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created_by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created_at</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pPr>
        <w:pStyle w:val="Heading3"/>
      </w:pPr>
      <w:r>
        <w:t>anomaly_configs</w:t>
      </w:r>
    </w:p>
    <w:p>
      <w:r>
        <w:rPr>
          <w:rFonts w:ascii="Calibri" w:hAnsi="Calibri"/>
          <w:color w:val="243B53"/>
        </w:rPr>
        <w:t>Compatibility anomaly-policy records retained for earlier configuration flows.</w:t>
      </w:r>
    </w:p>
    <w:tbl>
      <w:tblPr>
        <w:tblStyle w:val="TableGrid"/>
        <w:tblW w:type="dxa" w:w="9360"/>
        <w:jc w:val="left"/>
        <w:tblLayout w:type="fixed"/>
        <w:tblLook w:firstColumn="1" w:firstRow="1" w:lastColumn="0" w:lastRow="0" w:noHBand="0" w:noVBand="1" w:val="04A0"/>
        <w:tblInd w:w="120" w:type="dxa"/>
      </w:tblPr>
      <w:tblGrid>
        <w:gridCol w:w="600"/>
        <w:gridCol w:w="3450"/>
        <w:gridCol w:w="2500"/>
        <w:gridCol w:w="1400"/>
        <w:gridCol w:w="1410"/>
      </w:tblGrid>
      <w:tr>
        <w:trPr>
          <w:tblHeader w:val="true"/>
        </w:trPr>
        <w:tc>
          <w:tcPr>
            <w:tcW w:type="dxa" w:w="600"/>
            <w:shd w:fill="E8EEF5"/>
            <w:tcMar>
              <w:top w:w="80" w:type="dxa"/>
              <w:bottom w:w="80" w:type="dxa"/>
              <w:start w:w="120" w:type="dxa"/>
              <w:end w:w="120" w:type="dxa"/>
            </w:tcMar>
            <w:vAlign w:val="center"/>
          </w:tcPr>
          <w:p>
            <w:pPr>
              <w:keepNext/>
            </w:pPr>
            <w:r>
              <w:rPr>
                <w:rFonts w:ascii="Calibri" w:hAnsi="Calibri"/>
                <w:b/>
                <w:color w:val="102A43"/>
                <w:sz w:val="18"/>
              </w:rPr>
              <w:t>#</w:t>
            </w:r>
          </w:p>
        </w:tc>
        <w:tc>
          <w:tcPr>
            <w:tcW w:type="dxa" w:w="3450"/>
            <w:shd w:fill="E8EEF5"/>
            <w:tcMar>
              <w:top w:w="80" w:type="dxa"/>
              <w:bottom w:w="80" w:type="dxa"/>
              <w:start w:w="120" w:type="dxa"/>
              <w:end w:w="120" w:type="dxa"/>
            </w:tcMar>
            <w:vAlign w:val="center"/>
          </w:tcPr>
          <w:p>
            <w:pPr>
              <w:keepNext/>
            </w:pPr>
            <w:r>
              <w:rPr>
                <w:rFonts w:ascii="Calibri" w:hAnsi="Calibri"/>
                <w:b/>
                <w:color w:val="102A43"/>
                <w:sz w:val="18"/>
              </w:rPr>
              <w:t>Column</w:t>
            </w:r>
          </w:p>
        </w:tc>
        <w:tc>
          <w:tcPr>
            <w:tcW w:type="dxa" w:w="2500"/>
            <w:shd w:fill="E8EEF5"/>
            <w:tcMar>
              <w:top w:w="80" w:type="dxa"/>
              <w:bottom w:w="80" w:type="dxa"/>
              <w:start w:w="120" w:type="dxa"/>
              <w:end w:w="120" w:type="dxa"/>
            </w:tcMar>
            <w:vAlign w:val="center"/>
          </w:tcPr>
          <w:p>
            <w:pPr>
              <w:keepNext/>
            </w:pPr>
            <w:r>
              <w:rPr>
                <w:rFonts w:ascii="Calibri" w:hAnsi="Calibri"/>
                <w:b/>
                <w:color w:val="102A43"/>
                <w:sz w:val="18"/>
              </w:rPr>
              <w:t>SQL type</w:t>
            </w:r>
          </w:p>
        </w:tc>
        <w:tc>
          <w:tcPr>
            <w:tcW w:type="dxa" w:w="1400"/>
            <w:shd w:fill="E8EEF5"/>
            <w:tcMar>
              <w:top w:w="80" w:type="dxa"/>
              <w:bottom w:w="80" w:type="dxa"/>
              <w:start w:w="120" w:type="dxa"/>
              <w:end w:w="120" w:type="dxa"/>
            </w:tcMar>
            <w:vAlign w:val="center"/>
          </w:tcPr>
          <w:p>
            <w:pPr>
              <w:keepNext/>
            </w:pPr>
            <w:r>
              <w:rPr>
                <w:rFonts w:ascii="Calibri" w:hAnsi="Calibri"/>
                <w:b/>
                <w:color w:val="102A43"/>
                <w:sz w:val="18"/>
              </w:rPr>
              <w:t>Nullable</w:t>
            </w:r>
          </w:p>
        </w:tc>
        <w:tc>
          <w:tcPr>
            <w:tcW w:type="dxa" w:w="1410"/>
            <w:shd w:fill="E8EEF5"/>
            <w:tcMar>
              <w:top w:w="80" w:type="dxa"/>
              <w:bottom w:w="80" w:type="dxa"/>
              <w:start w:w="120" w:type="dxa"/>
              <w:end w:w="120" w:type="dxa"/>
            </w:tcMar>
            <w:vAlign w:val="center"/>
          </w:tcPr>
          <w:p>
            <w:pPr>
              <w:keepNext/>
            </w:pPr>
            <w:r>
              <w:rPr>
                <w:rFonts w:ascii="Calibri" w:hAnsi="Calibri"/>
                <w:b/>
                <w:color w:val="102A43"/>
                <w:sz w:val="18"/>
              </w:rPr>
              <w:t>Identity</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config_no</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config_name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varchar(150)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enabled_models_json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voting_strategy</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varchar(50)</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6</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suspicious_vote_threshold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7</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high_risk_vote_threshold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8</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medium_risk_vote_threshold</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9</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gating_enabled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10</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gating_config_json</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nvarchar(MAX)</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11</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is_active</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12</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created_by</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varchar(100)</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13</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created_at</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14</w:t>
            </w:r>
          </w:p>
        </w:tc>
        <w:tc>
          <w:tcPr>
            <w:tcW w:type="dxa" w:w="345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updated_at</w:t>
            </w:r>
          </w:p>
        </w:tc>
        <w:tc>
          <w:tcPr>
            <w:tcW w:type="dxa" w:w="2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datetime2</w:t>
            </w:r>
          </w:p>
        </w:tc>
        <w:tc>
          <w:tcPr>
            <w:tcW w:type="dxa" w:w="14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tcMar>
              <w:top w:w="80" w:type="dxa"/>
              <w:bottom w:w="80" w:type="dxa"/>
              <w:start w:w="120" w:type="dxa"/>
              <w:end w:w="120" w:type="dxa"/>
            </w:tcMar>
            <w:vAlign w:val="center"/>
          </w:tcPr>
          <w:p>
            <w:pPr>
              <w:keepNext/>
              <w:spacing w:after="0" w:line="259" w:lineRule="auto"/>
            </w:pPr>
            <w:r>
              <w:rPr>
                <w:rFonts w:ascii="Calibri" w:hAnsi="Calibri"/>
                <w:color w:val="243B53"/>
                <w:sz w:val="15"/>
              </w:rPr>
              <w:t>15</w:t>
            </w:r>
          </w:p>
        </w:tc>
        <w:tc>
          <w:tcPr>
            <w:tcW w:type="dxa" w:w="3450"/>
            <w:tcMar>
              <w:top w:w="80" w:type="dxa"/>
              <w:bottom w:w="80" w:type="dxa"/>
              <w:start w:w="120" w:type="dxa"/>
              <w:end w:w="120" w:type="dxa"/>
            </w:tcMar>
            <w:vAlign w:val="center"/>
          </w:tcPr>
          <w:p>
            <w:pPr>
              <w:keepNext/>
              <w:spacing w:after="0" w:line="259" w:lineRule="auto"/>
            </w:pPr>
            <w:r>
              <w:rPr>
                <w:rFonts w:ascii="Calibri" w:hAnsi="Calibri"/>
                <w:color w:val="243B53"/>
                <w:sz w:val="15"/>
              </w:rPr>
              <w:t>dataset_partition_id</w:t>
            </w:r>
          </w:p>
        </w:tc>
        <w:tc>
          <w:tcPr>
            <w:tcW w:type="dxa" w:w="2500"/>
            <w:tcMar>
              <w:top w:w="80" w:type="dxa"/>
              <w:bottom w:w="80" w:type="dxa"/>
              <w:start w:w="120" w:type="dxa"/>
              <w:end w:w="120" w:type="dxa"/>
            </w:tcMar>
            <w:vAlign w:val="center"/>
          </w:tcPr>
          <w:p>
            <w:pPr>
              <w:keepNext/>
              <w:spacing w:after="0" w:line="259" w:lineRule="auto"/>
            </w:pPr>
            <w:r>
              <w:rPr>
                <w:rFonts w:ascii="Calibri" w:hAnsi="Calibri"/>
                <w:color w:val="243B53"/>
                <w:sz w:val="15"/>
              </w:rPr>
              <w:t>bigint</w:t>
            </w:r>
          </w:p>
        </w:tc>
        <w:tc>
          <w:tcPr>
            <w:tcW w:type="dxa" w:w="1400"/>
            <w:tcMar>
              <w:top w:w="80" w:type="dxa"/>
              <w:bottom w:w="80" w:type="dxa"/>
              <w:start w:w="120" w:type="dxa"/>
              <w:end w:w="120" w:type="dxa"/>
            </w:tcMar>
            <w:vAlign w:val="center"/>
          </w:tcPr>
          <w:p>
            <w:pPr>
              <w:keepNext/>
              <w:spacing w:after="0" w:line="259" w:lineRule="auto"/>
            </w:pPr>
            <w:r>
              <w:rPr>
                <w:rFonts w:ascii="Calibri" w:hAnsi="Calibri"/>
                <w:color w:val="243B53"/>
                <w:sz w:val="15"/>
              </w:rPr>
              <w:t>Yes</w:t>
            </w:r>
          </w:p>
        </w:tc>
        <w:tc>
          <w:tcPr>
            <w:tcW w:type="dxa" w:w="1410"/>
            <w:tcMar>
              <w:top w:w="80" w:type="dxa"/>
              <w:bottom w:w="80" w:type="dxa"/>
              <w:start w:w="120" w:type="dxa"/>
              <w:end w:w="120" w:type="dxa"/>
            </w:tcMar>
            <w:vAlign w:val="center"/>
          </w:tcPr>
          <w:p>
            <w:pPr>
              <w:keepNext/>
              <w:spacing w:after="0" w:line="259" w:lineRule="auto"/>
            </w:pPr>
            <w:r>
              <w:rPr>
                <w:rFonts w:ascii="Calibri" w:hAnsi="Calibri"/>
                <w:color w:val="243B53"/>
                <w:sz w:val="15"/>
              </w:rPr>
              <w:t>No</w:t>
            </w:r>
          </w:p>
        </w:tc>
      </w:tr>
      <w:tr>
        <w:tc>
          <w:tcPr>
            <w:tcW w:type="dxa" w:w="600"/>
            <w:shd w:fill="F8FAFC"/>
            <w:tcMar>
              <w:top w:w="80" w:type="dxa"/>
              <w:bottom w:w="80" w:type="dxa"/>
              <w:start w:w="120" w:type="dxa"/>
              <w:end w:w="120" w:type="dxa"/>
            </w:tcMar>
            <w:vAlign w:val="center"/>
          </w:tcPr>
          <w:p>
            <w:pPr>
              <w:spacing w:after="0" w:line="259" w:lineRule="auto"/>
            </w:pPr>
            <w:r>
              <w:rPr>
                <w:rFonts w:ascii="Calibri" w:hAnsi="Calibri"/>
                <w:color w:val="243B53"/>
                <w:sz w:val="15"/>
              </w:rPr>
              <w:t>16</w:t>
            </w:r>
          </w:p>
        </w:tc>
        <w:tc>
          <w:tcPr>
            <w:tcW w:type="dxa" w:w="3450"/>
            <w:shd w:fill="F8FAFC"/>
            <w:tcMar>
              <w:top w:w="80" w:type="dxa"/>
              <w:bottom w:w="80" w:type="dxa"/>
              <w:start w:w="120" w:type="dxa"/>
              <w:end w:w="120" w:type="dxa"/>
            </w:tcMar>
            <w:vAlign w:val="center"/>
          </w:tcPr>
          <w:p>
            <w:pPr>
              <w:spacing w:after="0" w:line="259" w:lineRule="auto"/>
            </w:pPr>
            <w:r>
              <w:rPr>
                <w:rFonts w:ascii="Calibri" w:hAnsi="Calibri"/>
                <w:color w:val="243B53"/>
                <w:sz w:val="15"/>
              </w:rPr>
              <w:t>artifact_base_path</w:t>
            </w:r>
          </w:p>
        </w:tc>
        <w:tc>
          <w:tcPr>
            <w:tcW w:type="dxa" w:w="2500"/>
            <w:shd w:fill="F8FAFC"/>
            <w:tcMar>
              <w:top w:w="80" w:type="dxa"/>
              <w:bottom w:w="80" w:type="dxa"/>
              <w:start w:w="120" w:type="dxa"/>
              <w:end w:w="120" w:type="dxa"/>
            </w:tcMar>
            <w:vAlign w:val="center"/>
          </w:tcPr>
          <w:p>
            <w:pPr>
              <w:spacing w:after="0" w:line="259" w:lineRule="auto"/>
            </w:pPr>
            <w:r>
              <w:rPr>
                <w:rFonts w:ascii="Calibri" w:hAnsi="Calibri"/>
                <w:color w:val="243B53"/>
                <w:sz w:val="15"/>
              </w:rPr>
              <w:t>varchar(500)</w:t>
            </w:r>
          </w:p>
        </w:tc>
        <w:tc>
          <w:tcPr>
            <w:tcW w:type="dxa" w:w="1400"/>
            <w:shd w:fill="F8FAFC"/>
            <w:tcMar>
              <w:top w:w="80" w:type="dxa"/>
              <w:bottom w:w="80" w:type="dxa"/>
              <w:start w:w="120" w:type="dxa"/>
              <w:end w:w="120" w:type="dxa"/>
            </w:tcMar>
            <w:vAlign w:val="center"/>
          </w:tcPr>
          <w:p>
            <w:pPr>
              <w:spacing w:after="0" w:line="259" w:lineRule="auto"/>
            </w:pPr>
            <w:r>
              <w:rPr>
                <w:rFonts w:ascii="Calibri" w:hAnsi="Calibri"/>
                <w:color w:val="243B53"/>
                <w:sz w:val="15"/>
              </w:rPr>
              <w:t>Yes</w:t>
            </w:r>
          </w:p>
        </w:tc>
        <w:tc>
          <w:tcPr>
            <w:tcW w:type="dxa" w:w="1410"/>
            <w:shd w:fill="F8FAFC"/>
            <w:tcMar>
              <w:top w:w="80" w:type="dxa"/>
              <w:bottom w:w="80" w:type="dxa"/>
              <w:start w:w="120" w:type="dxa"/>
              <w:end w:w="120" w:type="dxa"/>
            </w:tcMar>
            <w:vAlign w:val="center"/>
          </w:tcPr>
          <w:p>
            <w:pPr>
              <w:spacing w:after="0" w:line="259" w:lineRule="auto"/>
            </w:pPr>
            <w:r>
              <w:rPr>
                <w:rFonts w:ascii="Calibri" w:hAnsi="Calibri"/>
                <w:color w:val="243B53"/>
                <w:sz w:val="15"/>
              </w:rPr>
              <w:t>No</w:t>
            </w:r>
          </w:p>
        </w:tc>
      </w:tr>
    </w:tbl>
    <w:p>
      <w:pPr>
        <w:spacing w:after="0"/>
      </w:pPr>
    </w:p>
    <w:p>
      <w:r>
        <w:br w:type="page"/>
      </w:r>
    </w:p>
    <w:p>
      <w:pPr>
        <w:pStyle w:val="Heading1"/>
      </w:pPr>
      <w:r>
        <w:t>Appendix C. Runtime Configuration Catalog</w:t>
      </w:r>
    </w:p>
    <w:p>
      <w:r>
        <w:rPr>
          <w:rFonts w:ascii="Calibri" w:hAnsi="Calibri"/>
          <w:color w:val="243B53"/>
        </w:rPr>
        <w:t>The app_config table is the runtime configuration authority. Values are intentionally omitted here because they are mutable; the key, type, and purpose are the stable defense reference.</w:t>
      </w:r>
    </w:p>
    <w:p>
      <w:pPr>
        <w:pStyle w:val="Heading2"/>
      </w:pPr>
      <w:r>
        <w:t>AML training, export, registry, and validation</w:t>
      </w:r>
    </w:p>
    <w:tbl>
      <w:tblPr>
        <w:tblStyle w:val="TableGrid"/>
        <w:tblW w:type="dxa" w:w="9360"/>
        <w:jc w:val="left"/>
        <w:tblLayout w:type="fixed"/>
        <w:tblLook w:firstColumn="1" w:firstRow="1" w:lastColumn="0" w:lastRow="0" w:noHBand="0" w:noVBand="1" w:val="04A0"/>
        <w:tblInd w:w="120" w:type="dxa"/>
      </w:tblPr>
      <w:tblGrid>
        <w:gridCol w:w="3500"/>
        <w:gridCol w:w="1300"/>
        <w:gridCol w:w="4560"/>
      </w:tblGrid>
      <w:tr>
        <w:trPr>
          <w:tblHeader w:val="true"/>
        </w:trPr>
        <w:tc>
          <w:tcPr>
            <w:tcW w:type="dxa" w:w="3500"/>
            <w:shd w:fill="E8EEF5"/>
            <w:tcMar>
              <w:top w:w="80" w:type="dxa"/>
              <w:bottom w:w="80" w:type="dxa"/>
              <w:start w:w="120" w:type="dxa"/>
              <w:end w:w="120" w:type="dxa"/>
            </w:tcMar>
            <w:vAlign w:val="center"/>
          </w:tcPr>
          <w:p>
            <w:pPr>
              <w:keepNext/>
            </w:pPr>
            <w:r>
              <w:rPr>
                <w:rFonts w:ascii="Calibri" w:hAnsi="Calibri"/>
                <w:b/>
                <w:color w:val="102A43"/>
                <w:sz w:val="18"/>
              </w:rPr>
              <w:t>Key</w:t>
            </w:r>
          </w:p>
        </w:tc>
        <w:tc>
          <w:tcPr>
            <w:tcW w:type="dxa" w:w="1300"/>
            <w:shd w:fill="E8EEF5"/>
            <w:tcMar>
              <w:top w:w="80" w:type="dxa"/>
              <w:bottom w:w="80" w:type="dxa"/>
              <w:start w:w="120" w:type="dxa"/>
              <w:end w:w="120" w:type="dxa"/>
            </w:tcMar>
            <w:vAlign w:val="center"/>
          </w:tcPr>
          <w:p>
            <w:pPr>
              <w:keepNext/>
            </w:pPr>
            <w:r>
              <w:rPr>
                <w:rFonts w:ascii="Calibri" w:hAnsi="Calibri"/>
                <w:b/>
                <w:color w:val="102A43"/>
                <w:sz w:val="18"/>
              </w:rPr>
              <w:t>Type</w:t>
            </w:r>
          </w:p>
        </w:tc>
        <w:tc>
          <w:tcPr>
            <w:tcW w:type="dxa" w:w="4560"/>
            <w:shd w:fill="E8EEF5"/>
            <w:tcMar>
              <w:top w:w="80" w:type="dxa"/>
              <w:bottom w:w="80" w:type="dxa"/>
              <w:start w:w="120" w:type="dxa"/>
              <w:end w:w="120" w:type="dxa"/>
            </w:tcMar>
            <w:vAlign w:val="center"/>
          </w:tcPr>
          <w:p>
            <w:pPr>
              <w:keepNext/>
            </w:pPr>
            <w:r>
              <w:rPr>
                <w:rFonts w:ascii="Calibri" w:hAnsi="Calibri"/>
                <w:b/>
                <w:color w:val="102A43"/>
                <w:sz w:val="18"/>
              </w:rPr>
              <w:t>Purpose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aml.autoencoder.enabled</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BOOLEAN</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Generate new Autoencoder candidates during training runs.</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aml.cluster_outlier.enabled</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BOOLEAN</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Generate Behavioral Cluster Outlier candidates during unsupervised training.</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aml.elliptic_envelope.contamination</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Expected proportion of anomalies in training data - sets the decision boundary.</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aml.elliptic_envelope.enabled</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BOOLEAN</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Generate new Elliptic Envelope candidates during training runs.</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aml.elliptic_envelope.max_training_rows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Maximum rows loaded from historical data for each training run.</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aml.elliptic_envelope.parquet_batch_size</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Feature rows decoded per Python batch during training.</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aml.export.base_path</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STRING</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Base directory for versioned Parquet training datasets.</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aml.export.chunk_size</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Maximum eligible feature rows read from SQL Server per keyset-paginated chunk.</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aml.export.rows_per_file</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Maximum rows written to each Parquet part file.</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aml.isolation_forest.enabled</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BOOLEAN</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Generate new Isolation Forest candidates during training runs.</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aml.isolation_forest.parquet_batch_size</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Feature rows decoded per Python batch during training.</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aml.isolation_forest.threshold_quantile</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Training score quantile used as the anomaly decision boundary.</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aml.layered_deployment.max_validation_age_days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Maximum age of a passing layered validation used for promotion.</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aml.layered_validation.max_alert_rate</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Maximum acceptable layered suspicious rate.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aml.layered_validation.max_alert_volume_increase</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Maximum relative alert-volume increase over legacy.</w:t>
            </w:r>
          </w:p>
        </w:tc>
      </w:tr>
      <w:tr>
        <w:tc>
          <w:tcPr>
            <w:tcW w:type="dxa" w:w="3500"/>
            <w:shd w:fill="F8FAFC"/>
            <w:tcMar>
              <w:top w:w="80" w:type="dxa"/>
              <w:bottom w:w="80" w:type="dxa"/>
              <w:start w:w="120" w:type="dxa"/>
              <w:end w:w="120" w:type="dxa"/>
            </w:tcMar>
            <w:vAlign w:val="center"/>
          </w:tcPr>
          <w:p>
            <w:pPr>
              <w:spacing w:after="0" w:line="259" w:lineRule="auto"/>
            </w:pPr>
            <w:r>
              <w:rPr>
                <w:rFonts w:ascii="Calibri" w:hAnsi="Calibri"/>
                <w:color w:val="243B53"/>
                <w:sz w:val="15"/>
              </w:rPr>
              <w:t>aml.layered_validation.max_average_incremental_update_ms</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spacing w:after="0" w:line="259" w:lineRule="auto"/>
            </w:pPr>
            <w:r>
              <w:rPr>
                <w:rFonts w:ascii="Calibri" w:hAnsi="Calibri"/>
                <w:color w:val="243B53"/>
                <w:sz w:val="15"/>
              </w:rPr>
              <w:t>Maximum average completed incremental update duration.</w:t>
            </w:r>
          </w:p>
        </w:tc>
      </w:tr>
    </w:tbl>
    <w:p>
      <w:pPr>
        <w:spacing w:after="0"/>
      </w:pPr>
    </w:p>
    <w:p>
      <w:pPr>
        <w:pStyle w:val="Heading3"/>
      </w:pPr>
      <w:r>
        <w:t>AML training, export, registry, and validation (continued)</w:t>
      </w:r>
    </w:p>
    <w:tbl>
      <w:tblPr>
        <w:tblStyle w:val="TableGrid"/>
        <w:tblW w:type="dxa" w:w="9360"/>
        <w:jc w:val="left"/>
        <w:tblLayout w:type="fixed"/>
        <w:tblLook w:firstColumn="1" w:firstRow="1" w:lastColumn="0" w:lastRow="0" w:noHBand="0" w:noVBand="1" w:val="04A0"/>
        <w:tblInd w:w="120" w:type="dxa"/>
      </w:tblPr>
      <w:tblGrid>
        <w:gridCol w:w="3500"/>
        <w:gridCol w:w="1300"/>
        <w:gridCol w:w="4560"/>
      </w:tblGrid>
      <w:tr>
        <w:trPr>
          <w:tblHeader w:val="true"/>
        </w:trPr>
        <w:tc>
          <w:tcPr>
            <w:tcW w:type="dxa" w:w="3500"/>
            <w:shd w:fill="E8EEF5"/>
            <w:tcMar>
              <w:top w:w="80" w:type="dxa"/>
              <w:bottom w:w="80" w:type="dxa"/>
              <w:start w:w="120" w:type="dxa"/>
              <w:end w:w="120" w:type="dxa"/>
            </w:tcMar>
            <w:vAlign w:val="center"/>
          </w:tcPr>
          <w:p>
            <w:pPr>
              <w:keepNext/>
            </w:pPr>
            <w:r>
              <w:rPr>
                <w:rFonts w:ascii="Calibri" w:hAnsi="Calibri"/>
                <w:b/>
                <w:color w:val="102A43"/>
                <w:sz w:val="18"/>
              </w:rPr>
              <w:t>Key</w:t>
            </w:r>
          </w:p>
        </w:tc>
        <w:tc>
          <w:tcPr>
            <w:tcW w:type="dxa" w:w="1300"/>
            <w:shd w:fill="E8EEF5"/>
            <w:tcMar>
              <w:top w:w="80" w:type="dxa"/>
              <w:bottom w:w="80" w:type="dxa"/>
              <w:start w:w="120" w:type="dxa"/>
              <w:end w:w="120" w:type="dxa"/>
            </w:tcMar>
            <w:vAlign w:val="center"/>
          </w:tcPr>
          <w:p>
            <w:pPr>
              <w:keepNext/>
            </w:pPr>
            <w:r>
              <w:rPr>
                <w:rFonts w:ascii="Calibri" w:hAnsi="Calibri"/>
                <w:b/>
                <w:color w:val="102A43"/>
                <w:sz w:val="18"/>
              </w:rPr>
              <w:t>Type</w:t>
            </w:r>
          </w:p>
        </w:tc>
        <w:tc>
          <w:tcPr>
            <w:tcW w:type="dxa" w:w="4560"/>
            <w:shd w:fill="E8EEF5"/>
            <w:tcMar>
              <w:top w:w="80" w:type="dxa"/>
              <w:bottom w:w="80" w:type="dxa"/>
              <w:start w:w="120" w:type="dxa"/>
              <w:end w:w="120" w:type="dxa"/>
            </w:tcMar>
            <w:vAlign w:val="center"/>
          </w:tcPr>
          <w:p>
            <w:pPr>
              <w:keepNext/>
            </w:pPr>
            <w:r>
              <w:rPr>
                <w:rFonts w:ascii="Calibri" w:hAnsi="Calibri"/>
                <w:b/>
                <w:color w:val="102A43"/>
                <w:sz w:val="18"/>
              </w:rPr>
              <w:t>Purpose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aml.layered_validation.max_daily_rate_stddev</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Maximum daily layered-alert-rate standard deviation.</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aml.layered_validation.max_p95_latency_ms</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Maximum layered shadow p95 latency in milliseconds.</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aml.layered_validation.max_reviewed_false_positive_rate</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Maximum false-positive share among reviewed layered alerts.</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aml.layered_validation.max_segment_daily_stddev</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Maximum daily alert-rate deviation in any segment.</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aml.layered_validation.min_legacy_alerts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Minimum legacy alerts needed for overlap comparison.</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aml.layered_validation.min_model_availability</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Minimum score availability for each production ML model.</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aml.layered_validation.min_observation_days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Minimum distinct observation days required.</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aml.layered_validation.min_reviewed_alerts</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Minimum reviewed layered alerts required.</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aml.layered_validation.min_rows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Minimum shadow comparisons required.</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aml.layered_validation.min_synthetic_recall</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Minimum recall on labeled synthetic AML scenarios.</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aml.layered_validation.min_synthetic_scenarios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Minimum expected-positive synthetic scenarios required.</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aml.layered_validation.min_top_risk_overlap</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Minimum legacy-alert coverage among the layered top one percent.</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aml.lof.max_training_rows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Maximum rows loaded from historical data for each training run.</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aml.lof.n_neighbors</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Local neighbourhood size - smaller values are more sensitive to local patterns.</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aml.lof.parquet_batch_size</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Feature rows decoded per Python batch during training.</w:t>
            </w:r>
          </w:p>
        </w:tc>
      </w:tr>
      <w:tr>
        <w:tc>
          <w:tcPr>
            <w:tcW w:type="dxa" w:w="3500"/>
            <w:shd w:fill="F8FAFC"/>
            <w:tcMar>
              <w:top w:w="80" w:type="dxa"/>
              <w:bottom w:w="80" w:type="dxa"/>
              <w:start w:w="120" w:type="dxa"/>
              <w:end w:w="120" w:type="dxa"/>
            </w:tcMar>
            <w:vAlign w:val="center"/>
          </w:tcPr>
          <w:p>
            <w:pPr>
              <w:spacing w:after="0" w:line="259" w:lineRule="auto"/>
            </w:pPr>
            <w:r>
              <w:rPr>
                <w:rFonts w:ascii="Calibri" w:hAnsi="Calibri"/>
                <w:color w:val="243B53"/>
                <w:sz w:val="15"/>
              </w:rPr>
              <w:t>aml.lof.threshold_quantile</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spacing w:after="0" w:line="259" w:lineRule="auto"/>
            </w:pPr>
            <w:r>
              <w:rPr>
                <w:rFonts w:ascii="Calibri" w:hAnsi="Calibri"/>
                <w:color w:val="243B53"/>
                <w:sz w:val="15"/>
              </w:rPr>
              <w:t>Training score quantile used as the anomaly decision boundary.</w:t>
            </w:r>
          </w:p>
        </w:tc>
      </w:tr>
    </w:tbl>
    <w:p>
      <w:pPr>
        <w:spacing w:after="0"/>
      </w:pPr>
    </w:p>
    <w:p>
      <w:pPr>
        <w:pStyle w:val="Heading3"/>
      </w:pPr>
      <w:r>
        <w:t>AML training, export, registry, and validation (continued)</w:t>
      </w:r>
    </w:p>
    <w:tbl>
      <w:tblPr>
        <w:tblStyle w:val="TableGrid"/>
        <w:tblW w:type="dxa" w:w="9360"/>
        <w:jc w:val="left"/>
        <w:tblLayout w:type="fixed"/>
        <w:tblLook w:firstColumn="1" w:firstRow="1" w:lastColumn="0" w:lastRow="0" w:noHBand="0" w:noVBand="1" w:val="04A0"/>
        <w:tblInd w:w="120" w:type="dxa"/>
      </w:tblPr>
      <w:tblGrid>
        <w:gridCol w:w="3500"/>
        <w:gridCol w:w="1300"/>
        <w:gridCol w:w="4560"/>
      </w:tblGrid>
      <w:tr>
        <w:trPr>
          <w:tblHeader w:val="true"/>
        </w:trPr>
        <w:tc>
          <w:tcPr>
            <w:tcW w:type="dxa" w:w="3500"/>
            <w:shd w:fill="E8EEF5"/>
            <w:tcMar>
              <w:top w:w="80" w:type="dxa"/>
              <w:bottom w:w="80" w:type="dxa"/>
              <w:start w:w="120" w:type="dxa"/>
              <w:end w:w="120" w:type="dxa"/>
            </w:tcMar>
            <w:vAlign w:val="center"/>
          </w:tcPr>
          <w:p>
            <w:pPr>
              <w:keepNext/>
            </w:pPr>
            <w:r>
              <w:rPr>
                <w:rFonts w:ascii="Calibri" w:hAnsi="Calibri"/>
                <w:b/>
                <w:color w:val="102A43"/>
                <w:sz w:val="18"/>
              </w:rPr>
              <w:t>Key</w:t>
            </w:r>
          </w:p>
        </w:tc>
        <w:tc>
          <w:tcPr>
            <w:tcW w:type="dxa" w:w="1300"/>
            <w:shd w:fill="E8EEF5"/>
            <w:tcMar>
              <w:top w:w="80" w:type="dxa"/>
              <w:bottom w:w="80" w:type="dxa"/>
              <w:start w:w="120" w:type="dxa"/>
              <w:end w:w="120" w:type="dxa"/>
            </w:tcMar>
            <w:vAlign w:val="center"/>
          </w:tcPr>
          <w:p>
            <w:pPr>
              <w:keepNext/>
            </w:pPr>
            <w:r>
              <w:rPr>
                <w:rFonts w:ascii="Calibri" w:hAnsi="Calibri"/>
                <w:b/>
                <w:color w:val="102A43"/>
                <w:sz w:val="18"/>
              </w:rPr>
              <w:t>Type</w:t>
            </w:r>
          </w:p>
        </w:tc>
        <w:tc>
          <w:tcPr>
            <w:tcW w:type="dxa" w:w="4560"/>
            <w:shd w:fill="E8EEF5"/>
            <w:tcMar>
              <w:top w:w="80" w:type="dxa"/>
              <w:bottom w:w="80" w:type="dxa"/>
              <w:start w:w="120" w:type="dxa"/>
              <w:end w:w="120" w:type="dxa"/>
            </w:tcMar>
            <w:vAlign w:val="center"/>
          </w:tcPr>
          <w:p>
            <w:pPr>
              <w:keepNext/>
            </w:pPr>
            <w:r>
              <w:rPr>
                <w:rFonts w:ascii="Calibri" w:hAnsi="Calibri"/>
                <w:b/>
                <w:color w:val="102A43"/>
                <w:sz w:val="18"/>
              </w:rPr>
              <w:t>Purpose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aml.model.artifact_base_path</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STRING</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Base directory containing immutable candidate model bundles.</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aml.ocsvm_batch.enabled</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BOOLEAN</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Generate new batch One-Class SVM candidates during training runs.</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aml.ocsvm_batch.gamma</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Kernel coefficient - lower values produce smoother boundaries.</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aml.ocsvm_batch.max_training_rows</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Maximum rows used for fitting - SVM training scales quadratically so keep this conservative.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aml.ocsvm_batch.nu</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Upper bound on the fraction of training errors and support vectors.</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aml.ocsvm_batch.parquet_batch_size</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Feature rows decoded per Python batch during training.</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aml.ocsvm_batch.threshold_quantile</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Training score quantile used as the anomaly decision boundary.</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aml.pca.batch_size</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Rows per incremental PCA fitting step - must be = max components.</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aml.pca.enabled</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BOOLEAN</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Generate new PCA Reconstruction candidates during training runs.</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aml.pca.max_training_rows</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Maximum rows loaded from historical data for each training run.</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aml.pca.parquet_batch_size</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Feature rows decoded per Python batch during training.</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aml.pca.threshold_quantile</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Reconstruction error quantile used as the anomaly decision boundary.</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aml.terminal_risk.delay_days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Investigation delay applied only to confirmed-label terminal risk features.</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aml.terminal_risk.enabled</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BOOLEAN</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Enable point-in-time terminal history features.</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aml.terminal_risk.minimum_transactions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Minimum 30-day terminal volume required for terminal risk availability.</w:t>
            </w:r>
          </w:p>
        </w:tc>
      </w:tr>
      <w:tr>
        <w:tc>
          <w:tcPr>
            <w:tcW w:type="dxa" w:w="3500"/>
            <w:shd w:fill="F8FAFC"/>
            <w:tcMar>
              <w:top w:w="80" w:type="dxa"/>
              <w:bottom w:w="80" w:type="dxa"/>
              <w:start w:w="120" w:type="dxa"/>
              <w:end w:w="120" w:type="dxa"/>
            </w:tcMar>
            <w:vAlign w:val="center"/>
          </w:tcPr>
          <w:p>
            <w:pPr>
              <w:spacing w:after="0" w:line="259" w:lineRule="auto"/>
            </w:pPr>
            <w:r>
              <w:rPr>
                <w:rFonts w:ascii="Calibri" w:hAnsi="Calibri"/>
                <w:color w:val="243B53"/>
                <w:sz w:val="15"/>
              </w:rPr>
              <w:t>aml.terminal_risk.smoothing_strength</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spacing w:after="0" w:line="259" w:lineRule="auto"/>
            </w:pPr>
            <w:r>
              <w:rPr>
                <w:rFonts w:ascii="Calibri" w:hAnsi="Calibri"/>
                <w:color w:val="243B53"/>
                <w:sz w:val="15"/>
              </w:rPr>
              <w:t>Bayesian prior strength for terminal confirmed-fraud rates.</w:t>
            </w:r>
          </w:p>
        </w:tc>
      </w:tr>
    </w:tbl>
    <w:p>
      <w:pPr>
        <w:spacing w:after="0"/>
      </w:pPr>
    </w:p>
    <w:p>
      <w:pPr>
        <w:pStyle w:val="Heading3"/>
      </w:pPr>
      <w:r>
        <w:t>AML training, export, registry, and validation (continued)</w:t>
      </w:r>
    </w:p>
    <w:tbl>
      <w:tblPr>
        <w:tblStyle w:val="TableGrid"/>
        <w:tblW w:type="dxa" w:w="9360"/>
        <w:jc w:val="left"/>
        <w:tblLayout w:type="fixed"/>
        <w:tblLook w:firstColumn="1" w:firstRow="1" w:lastColumn="0" w:lastRow="0" w:noHBand="0" w:noVBand="1" w:val="04A0"/>
        <w:tblInd w:w="120" w:type="dxa"/>
      </w:tblPr>
      <w:tblGrid>
        <w:gridCol w:w="3500"/>
        <w:gridCol w:w="1300"/>
        <w:gridCol w:w="4560"/>
      </w:tblGrid>
      <w:tr>
        <w:trPr>
          <w:tblHeader w:val="true"/>
        </w:trPr>
        <w:tc>
          <w:tcPr>
            <w:tcW w:type="dxa" w:w="3500"/>
            <w:shd w:fill="E8EEF5"/>
            <w:tcMar>
              <w:top w:w="80" w:type="dxa"/>
              <w:bottom w:w="80" w:type="dxa"/>
              <w:start w:w="120" w:type="dxa"/>
              <w:end w:w="120" w:type="dxa"/>
            </w:tcMar>
            <w:vAlign w:val="center"/>
          </w:tcPr>
          <w:p>
            <w:pPr>
              <w:keepNext/>
            </w:pPr>
            <w:r>
              <w:rPr>
                <w:rFonts w:ascii="Calibri" w:hAnsi="Calibri"/>
                <w:b/>
                <w:color w:val="102A43"/>
                <w:sz w:val="18"/>
              </w:rPr>
              <w:t>Key</w:t>
            </w:r>
          </w:p>
        </w:tc>
        <w:tc>
          <w:tcPr>
            <w:tcW w:type="dxa" w:w="1300"/>
            <w:shd w:fill="E8EEF5"/>
            <w:tcMar>
              <w:top w:w="80" w:type="dxa"/>
              <w:bottom w:w="80" w:type="dxa"/>
              <w:start w:w="120" w:type="dxa"/>
              <w:end w:w="120" w:type="dxa"/>
            </w:tcMar>
            <w:vAlign w:val="center"/>
          </w:tcPr>
          <w:p>
            <w:pPr>
              <w:keepNext/>
            </w:pPr>
            <w:r>
              <w:rPr>
                <w:rFonts w:ascii="Calibri" w:hAnsi="Calibri"/>
                <w:b/>
                <w:color w:val="102A43"/>
                <w:sz w:val="18"/>
              </w:rPr>
              <w:t>Type</w:t>
            </w:r>
          </w:p>
        </w:tc>
        <w:tc>
          <w:tcPr>
            <w:tcW w:type="dxa" w:w="4560"/>
            <w:shd w:fill="E8EEF5"/>
            <w:tcMar>
              <w:top w:w="80" w:type="dxa"/>
              <w:bottom w:w="80" w:type="dxa"/>
              <w:start w:w="120" w:type="dxa"/>
              <w:end w:w="120" w:type="dxa"/>
            </w:tcMar>
            <w:vAlign w:val="center"/>
          </w:tcPr>
          <w:p>
            <w:pPr>
              <w:keepNext/>
            </w:pPr>
            <w:r>
              <w:rPr>
                <w:rFonts w:ascii="Calibri" w:hAnsi="Calibri"/>
                <w:b/>
                <w:color w:val="102A43"/>
                <w:sz w:val="18"/>
              </w:rPr>
              <w:t>Purpose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aml.training.schedule.batch</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STRING</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Retraining cadence for batch production detectors.</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aml.training.schedule.incremental</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STRING</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Retraining cadence for incremental production detectors.</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aml.validation.max_anomaly_rate</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Maximum acceptable challenger anomaly rate.</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aml.validation.max_daily_rate_stddev</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Maximum acceptable daily anomaly-rate standard deviation.</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aml.validation.min_anomaly_rate</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Minimum acceptable challenger anomaly rate.</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aml.validation.min_reviewed_alerts</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Minimum reviewed overlap alerts before analyst precision becomes a gate.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aml.validation.min_reviewed_precision</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Minimum STR share among reviewed overlapping alerts.</w:t>
            </w:r>
          </w:p>
        </w:tc>
      </w:tr>
      <w:tr>
        <w:tc>
          <w:tcPr>
            <w:tcW w:type="dxa" w:w="3500"/>
            <w:shd w:fill="F8FAFC"/>
            <w:tcMar>
              <w:top w:w="80" w:type="dxa"/>
              <w:bottom w:w="80" w:type="dxa"/>
              <w:start w:w="120" w:type="dxa"/>
              <w:end w:w="120" w:type="dxa"/>
            </w:tcMar>
            <w:vAlign w:val="center"/>
          </w:tcPr>
          <w:p>
            <w:pPr>
              <w:spacing w:after="0" w:line="259" w:lineRule="auto"/>
            </w:pPr>
            <w:r>
              <w:rPr>
                <w:rFonts w:ascii="Calibri" w:hAnsi="Calibri"/>
                <w:color w:val="243B53"/>
                <w:sz w:val="15"/>
              </w:rPr>
              <w:t>aml.validation.min_rows</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spacing w:after="0" w:line="259" w:lineRule="auto"/>
            </w:pPr>
            <w:r>
              <w:rPr>
                <w:rFonts w:ascii="Calibri" w:hAnsi="Calibri"/>
                <w:color w:val="243B53"/>
                <w:sz w:val="15"/>
              </w:rPr>
              <w:t>Minimum silent predictions required to validate a candidate.</w:t>
            </w:r>
          </w:p>
        </w:tc>
      </w:tr>
    </w:tbl>
    <w:p>
      <w:pPr>
        <w:spacing w:after="0"/>
      </w:pPr>
    </w:p>
    <w:p>
      <w:pPr>
        <w:pStyle w:val="Heading2"/>
      </w:pPr>
      <w:r>
        <w:t>ML and cold-start compatibility</w:t>
      </w:r>
    </w:p>
    <w:tbl>
      <w:tblPr>
        <w:tblStyle w:val="TableGrid"/>
        <w:tblW w:type="dxa" w:w="9360"/>
        <w:jc w:val="left"/>
        <w:tblLayout w:type="fixed"/>
        <w:tblLook w:firstColumn="1" w:firstRow="1" w:lastColumn="0" w:lastRow="0" w:noHBand="0" w:noVBand="1" w:val="04A0"/>
        <w:tblInd w:w="120" w:type="dxa"/>
      </w:tblPr>
      <w:tblGrid>
        <w:gridCol w:w="3500"/>
        <w:gridCol w:w="1300"/>
        <w:gridCol w:w="4560"/>
      </w:tblGrid>
      <w:tr>
        <w:trPr>
          <w:tblHeader w:val="true"/>
        </w:trPr>
        <w:tc>
          <w:tcPr>
            <w:tcW w:type="dxa" w:w="3500"/>
            <w:shd w:fill="E8EEF5"/>
            <w:tcMar>
              <w:top w:w="80" w:type="dxa"/>
              <w:bottom w:w="80" w:type="dxa"/>
              <w:start w:w="120" w:type="dxa"/>
              <w:end w:w="120" w:type="dxa"/>
            </w:tcMar>
            <w:vAlign w:val="center"/>
          </w:tcPr>
          <w:p>
            <w:pPr>
              <w:keepNext/>
            </w:pPr>
            <w:r>
              <w:rPr>
                <w:rFonts w:ascii="Calibri" w:hAnsi="Calibri"/>
                <w:b/>
                <w:color w:val="102A43"/>
                <w:sz w:val="18"/>
              </w:rPr>
              <w:t>Key</w:t>
            </w:r>
          </w:p>
        </w:tc>
        <w:tc>
          <w:tcPr>
            <w:tcW w:type="dxa" w:w="1300"/>
            <w:shd w:fill="E8EEF5"/>
            <w:tcMar>
              <w:top w:w="80" w:type="dxa"/>
              <w:bottom w:w="80" w:type="dxa"/>
              <w:start w:w="120" w:type="dxa"/>
              <w:end w:w="120" w:type="dxa"/>
            </w:tcMar>
            <w:vAlign w:val="center"/>
          </w:tcPr>
          <w:p>
            <w:pPr>
              <w:keepNext/>
            </w:pPr>
            <w:r>
              <w:rPr>
                <w:rFonts w:ascii="Calibri" w:hAnsi="Calibri"/>
                <w:b/>
                <w:color w:val="102A43"/>
                <w:sz w:val="18"/>
              </w:rPr>
              <w:t>Type</w:t>
            </w:r>
          </w:p>
        </w:tc>
        <w:tc>
          <w:tcPr>
            <w:tcW w:type="dxa" w:w="4560"/>
            <w:shd w:fill="E8EEF5"/>
            <w:tcMar>
              <w:top w:w="80" w:type="dxa"/>
              <w:bottom w:w="80" w:type="dxa"/>
              <w:start w:w="120" w:type="dxa"/>
              <w:end w:w="120" w:type="dxa"/>
            </w:tcMar>
            <w:vAlign w:val="center"/>
          </w:tcPr>
          <w:p>
            <w:pPr>
              <w:keepNext/>
            </w:pPr>
            <w:r>
              <w:rPr>
                <w:rFonts w:ascii="Calibri" w:hAnsi="Calibri"/>
                <w:b/>
                <w:color w:val="102A43"/>
                <w:sz w:val="18"/>
              </w:rPr>
              <w:t>Purpose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ml.cluster_outlier.batch_size</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Rows processed per MiniBatch K-Means update.</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ml.cluster_outlier.contamination</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Expected cluster-conditional anomaly fraction.</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ml.cluster_outlier.n_clusters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Number of broad transaction-behaviour groups.</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ml.cold_start.default_recommended_action</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STRING</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Recommended action returned during cold start</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ml.cold_start.default_risk_level</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STRING</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Risk level returned during cold start</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ml.cold_start.enabled</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STRING</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Enable or disable cold start handling</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ml.cold_start.high_login_attempt_threshold</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STRING</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Optional login-attempt threshold for cold start warning</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ml.cold_start.max_amount_multiplier_for_warn</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STRING</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Optional multiplier for warning on unusually high amount during cold start</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ml.cold_start.reason_message</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STRING</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Reason shown when cold start is triggered</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ml.cold_start.use_rules_before_ml</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STRING</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Whether simple rules should still run during cold start</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ml.extra_trees.enabled</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BOOLEAN</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Generate Extra Trees candidates during supervised training.</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ml.extra_trees.max_features</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Feature fraction considered at each Extra Trees split.</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ml.extra_trees.min_samples_leaf</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Minimum labelled rows in each Extra Trees terminal leaf.</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ml.extra_trees.n_estimators</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Number of highly randomized Extra Trees estimators.</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ml.iso.contamination</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STRING</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IsolationForest contamination (auto or float like 0.01)</w:t>
            </w:r>
          </w:p>
        </w:tc>
      </w:tr>
      <w:tr>
        <w:tc>
          <w:tcPr>
            <w:tcW w:type="dxa" w:w="3500"/>
            <w:shd w:fill="F8FAFC"/>
            <w:tcMar>
              <w:top w:w="80" w:type="dxa"/>
              <w:bottom w:w="80" w:type="dxa"/>
              <w:start w:w="120" w:type="dxa"/>
              <w:end w:w="120" w:type="dxa"/>
            </w:tcMar>
            <w:vAlign w:val="center"/>
          </w:tcPr>
          <w:p>
            <w:pPr>
              <w:spacing w:after="0" w:line="259" w:lineRule="auto"/>
            </w:pPr>
            <w:r>
              <w:rPr>
                <w:rFonts w:ascii="Calibri" w:hAnsi="Calibri"/>
                <w:color w:val="243B53"/>
                <w:sz w:val="15"/>
              </w:rPr>
              <w:t>ml.iso.n_estimators</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INT</w:t>
            </w:r>
          </w:p>
        </w:tc>
        <w:tc>
          <w:tcPr>
            <w:tcW w:type="dxa" w:w="4560"/>
            <w:shd w:fill="F8FAFC"/>
            <w:tcMar>
              <w:top w:w="80" w:type="dxa"/>
              <w:bottom w:w="80" w:type="dxa"/>
              <w:start w:w="120" w:type="dxa"/>
              <w:end w:w="120" w:type="dxa"/>
            </w:tcMar>
            <w:vAlign w:val="center"/>
          </w:tcPr>
          <w:p>
            <w:pPr>
              <w:spacing w:after="0" w:line="259" w:lineRule="auto"/>
            </w:pPr>
            <w:r>
              <w:rPr>
                <w:rFonts w:ascii="Calibri" w:hAnsi="Calibri"/>
                <w:color w:val="243B53"/>
                <w:sz w:val="15"/>
              </w:rPr>
              <w:t>IsolationForest n_estimators</w:t>
            </w:r>
          </w:p>
        </w:tc>
      </w:tr>
    </w:tbl>
    <w:p>
      <w:pPr>
        <w:spacing w:after="0"/>
      </w:pPr>
    </w:p>
    <w:p>
      <w:pPr>
        <w:pStyle w:val="Heading3"/>
      </w:pPr>
      <w:r>
        <w:t>ML and cold-start compatibility (continued)</w:t>
      </w:r>
    </w:p>
    <w:tbl>
      <w:tblPr>
        <w:tblStyle w:val="TableGrid"/>
        <w:tblW w:type="dxa" w:w="9360"/>
        <w:jc w:val="left"/>
        <w:tblLayout w:type="fixed"/>
        <w:tblLook w:firstColumn="1" w:firstRow="1" w:lastColumn="0" w:lastRow="0" w:noHBand="0" w:noVBand="1" w:val="04A0"/>
        <w:tblInd w:w="120" w:type="dxa"/>
      </w:tblPr>
      <w:tblGrid>
        <w:gridCol w:w="3500"/>
        <w:gridCol w:w="1300"/>
        <w:gridCol w:w="4560"/>
      </w:tblGrid>
      <w:tr>
        <w:trPr>
          <w:tblHeader w:val="true"/>
        </w:trPr>
        <w:tc>
          <w:tcPr>
            <w:tcW w:type="dxa" w:w="3500"/>
            <w:shd w:fill="E8EEF5"/>
            <w:tcMar>
              <w:top w:w="80" w:type="dxa"/>
              <w:bottom w:w="80" w:type="dxa"/>
              <w:start w:w="120" w:type="dxa"/>
              <w:end w:w="120" w:type="dxa"/>
            </w:tcMar>
            <w:vAlign w:val="center"/>
          </w:tcPr>
          <w:p>
            <w:pPr>
              <w:keepNext/>
            </w:pPr>
            <w:r>
              <w:rPr>
                <w:rFonts w:ascii="Calibri" w:hAnsi="Calibri"/>
                <w:b/>
                <w:color w:val="102A43"/>
                <w:sz w:val="18"/>
              </w:rPr>
              <w:t>Key</w:t>
            </w:r>
          </w:p>
        </w:tc>
        <w:tc>
          <w:tcPr>
            <w:tcW w:type="dxa" w:w="1300"/>
            <w:shd w:fill="E8EEF5"/>
            <w:tcMar>
              <w:top w:w="80" w:type="dxa"/>
              <w:bottom w:w="80" w:type="dxa"/>
              <w:start w:w="120" w:type="dxa"/>
              <w:end w:w="120" w:type="dxa"/>
            </w:tcMar>
            <w:vAlign w:val="center"/>
          </w:tcPr>
          <w:p>
            <w:pPr>
              <w:keepNext/>
            </w:pPr>
            <w:r>
              <w:rPr>
                <w:rFonts w:ascii="Calibri" w:hAnsi="Calibri"/>
                <w:b/>
                <w:color w:val="102A43"/>
                <w:sz w:val="18"/>
              </w:rPr>
              <w:t>Type</w:t>
            </w:r>
          </w:p>
        </w:tc>
        <w:tc>
          <w:tcPr>
            <w:tcW w:type="dxa" w:w="4560"/>
            <w:shd w:fill="E8EEF5"/>
            <w:tcMar>
              <w:top w:w="80" w:type="dxa"/>
              <w:bottom w:w="80" w:type="dxa"/>
              <w:start w:w="120" w:type="dxa"/>
              <w:end w:w="120" w:type="dxa"/>
            </w:tcMar>
            <w:vAlign w:val="center"/>
          </w:tcPr>
          <w:p>
            <w:pPr>
              <w:keepNext/>
            </w:pPr>
            <w:r>
              <w:rPr>
                <w:rFonts w:ascii="Calibri" w:hAnsi="Calibri"/>
                <w:b/>
                <w:color w:val="102A43"/>
                <w:sz w:val="18"/>
              </w:rPr>
              <w:t>Purpose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ml.min_transaction_count_before_predict</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Minimum prior transaction count required before ML prediction</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ml.random_forest.enabled</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BOOLEAN</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Generate Random Forest candidates during supervised training.</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ml.random_forest.max_depth</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Maximum Random Forest tree depth.</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ml.random_forest.min_samples_leaf</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Minimum rows in a Random Forest terminal leaf.</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ml.random_forest.n_estimators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Number of Random Forest trees.</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ml.random_state</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Random seed used for training where applicable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ml.stacked_ensemble.enabled</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BOOLEAN</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Train the leakage-safe temporal supervised stack.</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ml.svm.gamma</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STRING</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OneClassSVM gamma (scale/auto/float)</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ml.svm.kernel</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STRING</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OneClassSVM kernel</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ml.svm.nu</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OneClassSVM nu</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ml.xgboost.colsample_bytree</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XGBoost feature sample fraction.</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ml.xgboost.enabled</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BOOLEAN</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Generate XGBoost candidates during supervised training.</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ml.xgboost.learning_rate</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XGBoost learning rate.</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ml.xgboost.max_depth</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Maximum XGBoost tree depth.</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ml.xgboost.min_child_weight</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Minimum XGBoost child weight used to reduce minority-class overfitting.</w:t>
            </w:r>
          </w:p>
        </w:tc>
      </w:tr>
      <w:tr>
        <w:tc>
          <w:tcPr>
            <w:tcW w:type="dxa" w:w="3500"/>
            <w:shd w:fill="F8FAFC"/>
            <w:tcMar>
              <w:top w:w="80" w:type="dxa"/>
              <w:bottom w:w="80" w:type="dxa"/>
              <w:start w:w="120" w:type="dxa"/>
              <w:end w:w="120" w:type="dxa"/>
            </w:tcMar>
            <w:vAlign w:val="center"/>
          </w:tcPr>
          <w:p>
            <w:pPr>
              <w:spacing w:after="0" w:line="259" w:lineRule="auto"/>
            </w:pPr>
            <w:r>
              <w:rPr>
                <w:rFonts w:ascii="Calibri" w:hAnsi="Calibri"/>
                <w:color w:val="243B53"/>
                <w:sz w:val="15"/>
              </w:rPr>
              <w:t>ml.xgboost.n_estimators</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spacing w:after="0" w:line="259" w:lineRule="auto"/>
            </w:pPr>
            <w:r>
              <w:rPr>
                <w:rFonts w:ascii="Calibri" w:hAnsi="Calibri"/>
                <w:color w:val="243B53"/>
                <w:sz w:val="15"/>
              </w:rPr>
              <w:t>Number of XGBoost boosting trees.</w:t>
            </w:r>
          </w:p>
        </w:tc>
      </w:tr>
    </w:tbl>
    <w:p>
      <w:pPr>
        <w:spacing w:after="0"/>
      </w:pPr>
    </w:p>
    <w:p>
      <w:pPr>
        <w:pStyle w:val="Heading3"/>
      </w:pPr>
      <w:r>
        <w:t>ML and cold-start compatibility (continued)</w:t>
      </w:r>
    </w:p>
    <w:tbl>
      <w:tblPr>
        <w:tblStyle w:val="TableGrid"/>
        <w:tblW w:type="dxa" w:w="9360"/>
        <w:jc w:val="left"/>
        <w:tblLayout w:type="fixed"/>
        <w:tblLook w:firstColumn="1" w:firstRow="1" w:lastColumn="0" w:lastRow="0" w:noHBand="0" w:noVBand="1" w:val="04A0"/>
        <w:tblInd w:w="120" w:type="dxa"/>
      </w:tblPr>
      <w:tblGrid>
        <w:gridCol w:w="3500"/>
        <w:gridCol w:w="1300"/>
        <w:gridCol w:w="4560"/>
      </w:tblGrid>
      <w:tr>
        <w:trPr>
          <w:tblHeader w:val="true"/>
        </w:trPr>
        <w:tc>
          <w:tcPr>
            <w:tcW w:type="dxa" w:w="3500"/>
            <w:shd w:fill="E8EEF5"/>
            <w:tcMar>
              <w:top w:w="80" w:type="dxa"/>
              <w:bottom w:w="80" w:type="dxa"/>
              <w:start w:w="120" w:type="dxa"/>
              <w:end w:w="120" w:type="dxa"/>
            </w:tcMar>
            <w:vAlign w:val="center"/>
          </w:tcPr>
          <w:p>
            <w:pPr>
              <w:keepNext/>
            </w:pPr>
            <w:r>
              <w:rPr>
                <w:rFonts w:ascii="Calibri" w:hAnsi="Calibri"/>
                <w:b/>
                <w:color w:val="102A43"/>
                <w:sz w:val="18"/>
              </w:rPr>
              <w:t>Key</w:t>
            </w:r>
          </w:p>
        </w:tc>
        <w:tc>
          <w:tcPr>
            <w:tcW w:type="dxa" w:w="1300"/>
            <w:shd w:fill="E8EEF5"/>
            <w:tcMar>
              <w:top w:w="80" w:type="dxa"/>
              <w:bottom w:w="80" w:type="dxa"/>
              <w:start w:w="120" w:type="dxa"/>
              <w:end w:w="120" w:type="dxa"/>
            </w:tcMar>
            <w:vAlign w:val="center"/>
          </w:tcPr>
          <w:p>
            <w:pPr>
              <w:keepNext/>
            </w:pPr>
            <w:r>
              <w:rPr>
                <w:rFonts w:ascii="Calibri" w:hAnsi="Calibri"/>
                <w:b/>
                <w:color w:val="102A43"/>
                <w:sz w:val="18"/>
              </w:rPr>
              <w:t>Type</w:t>
            </w:r>
          </w:p>
        </w:tc>
        <w:tc>
          <w:tcPr>
            <w:tcW w:type="dxa" w:w="4560"/>
            <w:shd w:fill="E8EEF5"/>
            <w:tcMar>
              <w:top w:w="80" w:type="dxa"/>
              <w:bottom w:w="80" w:type="dxa"/>
              <w:start w:w="120" w:type="dxa"/>
              <w:end w:w="120" w:type="dxa"/>
            </w:tcMar>
            <w:vAlign w:val="center"/>
          </w:tcPr>
          <w:p>
            <w:pPr>
              <w:keepNext/>
            </w:pPr>
            <w:r>
              <w:rPr>
                <w:rFonts w:ascii="Calibri" w:hAnsi="Calibri"/>
                <w:b/>
                <w:color w:val="102A43"/>
                <w:sz w:val="18"/>
              </w:rPr>
              <w:t>Purpose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ml.xgboost.reg_alpha</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XGBoost L1 regularization for weak or noisy feature effects.</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ml.xgboost.reg_lambda</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XGBoost L2 regularization for stable imbalanced classification.</w:t>
            </w:r>
          </w:p>
        </w:tc>
      </w:tr>
      <w:tr>
        <w:tc>
          <w:tcPr>
            <w:tcW w:type="dxa" w:w="3500"/>
            <w:tcMar>
              <w:top w:w="80" w:type="dxa"/>
              <w:bottom w:w="80" w:type="dxa"/>
              <w:start w:w="120" w:type="dxa"/>
              <w:end w:w="120" w:type="dxa"/>
            </w:tcMar>
            <w:vAlign w:val="center"/>
          </w:tcPr>
          <w:p>
            <w:pPr>
              <w:spacing w:after="0" w:line="259" w:lineRule="auto"/>
            </w:pPr>
            <w:r>
              <w:rPr>
                <w:rFonts w:ascii="Calibri" w:hAnsi="Calibri"/>
                <w:color w:val="243B53"/>
                <w:sz w:val="15"/>
              </w:rPr>
              <w:t>ml.xgboost.subsample</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spacing w:after="0" w:line="259" w:lineRule="auto"/>
            </w:pPr>
            <w:r>
              <w:rPr>
                <w:rFonts w:ascii="Calibri" w:hAnsi="Calibri"/>
                <w:color w:val="243B53"/>
                <w:sz w:val="15"/>
              </w:rPr>
              <w:t>XGBoost row sample fraction.</w:t>
            </w:r>
          </w:p>
        </w:tc>
      </w:tr>
    </w:tbl>
    <w:p>
      <w:pPr>
        <w:spacing w:after="0"/>
      </w:pPr>
    </w:p>
    <w:p>
      <w:pPr>
        <w:pStyle w:val="Heading2"/>
      </w:pPr>
      <w:r>
        <w:t>Research comparison</w:t>
      </w:r>
    </w:p>
    <w:tbl>
      <w:tblPr>
        <w:tblStyle w:val="TableGrid"/>
        <w:tblW w:type="dxa" w:w="9360"/>
        <w:jc w:val="left"/>
        <w:tblLayout w:type="fixed"/>
        <w:tblLook w:firstColumn="1" w:firstRow="1" w:lastColumn="0" w:lastRow="0" w:noHBand="0" w:noVBand="1" w:val="04A0"/>
        <w:tblInd w:w="120" w:type="dxa"/>
      </w:tblPr>
      <w:tblGrid>
        <w:gridCol w:w="3500"/>
        <w:gridCol w:w="1300"/>
        <w:gridCol w:w="4560"/>
      </w:tblGrid>
      <w:tr>
        <w:trPr>
          <w:tblHeader w:val="true"/>
        </w:trPr>
        <w:tc>
          <w:tcPr>
            <w:tcW w:type="dxa" w:w="3500"/>
            <w:shd w:fill="E8EEF5"/>
            <w:tcMar>
              <w:top w:w="80" w:type="dxa"/>
              <w:bottom w:w="80" w:type="dxa"/>
              <w:start w:w="120" w:type="dxa"/>
              <w:end w:w="120" w:type="dxa"/>
            </w:tcMar>
            <w:vAlign w:val="center"/>
          </w:tcPr>
          <w:p>
            <w:pPr>
              <w:keepNext/>
            </w:pPr>
            <w:r>
              <w:rPr>
                <w:rFonts w:ascii="Calibri" w:hAnsi="Calibri"/>
                <w:b/>
                <w:color w:val="102A43"/>
                <w:sz w:val="18"/>
              </w:rPr>
              <w:t>Key</w:t>
            </w:r>
          </w:p>
        </w:tc>
        <w:tc>
          <w:tcPr>
            <w:tcW w:type="dxa" w:w="1300"/>
            <w:shd w:fill="E8EEF5"/>
            <w:tcMar>
              <w:top w:w="80" w:type="dxa"/>
              <w:bottom w:w="80" w:type="dxa"/>
              <w:start w:w="120" w:type="dxa"/>
              <w:end w:w="120" w:type="dxa"/>
            </w:tcMar>
            <w:vAlign w:val="center"/>
          </w:tcPr>
          <w:p>
            <w:pPr>
              <w:keepNext/>
            </w:pPr>
            <w:r>
              <w:rPr>
                <w:rFonts w:ascii="Calibri" w:hAnsi="Calibri"/>
                <w:b/>
                <w:color w:val="102A43"/>
                <w:sz w:val="18"/>
              </w:rPr>
              <w:t>Type</w:t>
            </w:r>
          </w:p>
        </w:tc>
        <w:tc>
          <w:tcPr>
            <w:tcW w:type="dxa" w:w="4560"/>
            <w:shd w:fill="E8EEF5"/>
            <w:tcMar>
              <w:top w:w="80" w:type="dxa"/>
              <w:bottom w:w="80" w:type="dxa"/>
              <w:start w:w="120" w:type="dxa"/>
              <w:end w:w="120" w:type="dxa"/>
            </w:tcMar>
            <w:vAlign w:val="center"/>
          </w:tcPr>
          <w:p>
            <w:pPr>
              <w:keepNext/>
            </w:pPr>
            <w:r>
              <w:rPr>
                <w:rFonts w:ascii="Calibri" w:hAnsi="Calibri"/>
                <w:b/>
                <w:color w:val="102A43"/>
                <w:sz w:val="18"/>
              </w:rPr>
              <w:t>Purpose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aml.research.autoencoder_hidden_layer_sizes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TEXT</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Comma-separated neuron counts per layer. The middle value is the bottleneck - smaller forces tighter compression and stronger anomaly signal.</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aml.research.autoencoder_max_iter</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Maximum gradient descent epochs - early stopping may terminate training before this limit.</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aml.research.autoencoder_max_training_rows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Maximum rows used for fitting the autoencoder.</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aml.research.cluster_outlier_max_training_rows</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Maximum rows used by Behavioral Cluster Outlier in each growth partition.</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aml.research.holdout_fraction</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Newest fraction of each partition reserved for evaluation; the remainder trains each model.</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aml.research.incremental_pca_max_components</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Principal components retained - higher values preserve more variance but slow scoring.</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aml.research.isolation_forest_max_samples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Rows sampled per tree - default 256 is too small for large datasets; 10,000 gives much stronger isolation signal.</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aml.research.isolation_forest_max_training_rows</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Maximum rows loaded from historical data for each training run.</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aml.research.isolation_forest_n_estimators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More trees improve anomaly score stability at higher training time cost.</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aml.research.maximum_evaluation_rows</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Maximum holdout rows scored per model per partition during comparison.</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aml.research.minimum_rows</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Skip data partitions with fewer rows than this limit during comparison training.</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aml.research.ocsvm_max_training_rows</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Maximum rows used for fitting - set high to train on all available data.</w:t>
            </w:r>
          </w:p>
        </w:tc>
      </w:tr>
      <w:tr>
        <w:tc>
          <w:tcPr>
            <w:tcW w:type="dxa" w:w="3500"/>
            <w:tcMar>
              <w:top w:w="80" w:type="dxa"/>
              <w:bottom w:w="80" w:type="dxa"/>
              <w:start w:w="120" w:type="dxa"/>
              <w:end w:w="120" w:type="dxa"/>
            </w:tcMar>
            <w:vAlign w:val="center"/>
          </w:tcPr>
          <w:p>
            <w:pPr>
              <w:spacing w:after="0" w:line="259" w:lineRule="auto"/>
            </w:pPr>
            <w:r>
              <w:rPr>
                <w:rFonts w:ascii="Calibri" w:hAnsi="Calibri"/>
                <w:color w:val="243B53"/>
                <w:sz w:val="15"/>
              </w:rPr>
              <w:t>aml.research.random_seed</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spacing w:after="0" w:line="259" w:lineRule="auto"/>
            </w:pPr>
            <w:r>
              <w:rPr>
                <w:rFonts w:ascii="Calibri" w:hAnsi="Calibri"/>
                <w:color w:val="243B53"/>
                <w:sz w:val="15"/>
              </w:rPr>
              <w:t>Shared reproducibility seed for all model training and comparison runs.</w:t>
            </w:r>
          </w:p>
        </w:tc>
      </w:tr>
    </w:tbl>
    <w:p>
      <w:pPr>
        <w:spacing w:after="0"/>
      </w:pPr>
    </w:p>
    <w:p>
      <w:pPr>
        <w:pStyle w:val="Heading2"/>
      </w:pPr>
      <w:r>
        <w:t>Risk policy and rules</w:t>
      </w:r>
    </w:p>
    <w:tbl>
      <w:tblPr>
        <w:tblStyle w:val="TableGrid"/>
        <w:tblW w:type="dxa" w:w="9360"/>
        <w:jc w:val="left"/>
        <w:tblLayout w:type="fixed"/>
        <w:tblLook w:firstColumn="1" w:firstRow="1" w:lastColumn="0" w:lastRow="0" w:noHBand="0" w:noVBand="1" w:val="04A0"/>
        <w:tblInd w:w="120" w:type="dxa"/>
      </w:tblPr>
      <w:tblGrid>
        <w:gridCol w:w="3500"/>
        <w:gridCol w:w="1300"/>
        <w:gridCol w:w="4560"/>
      </w:tblGrid>
      <w:tr>
        <w:trPr>
          <w:tblHeader w:val="true"/>
        </w:trPr>
        <w:tc>
          <w:tcPr>
            <w:tcW w:type="dxa" w:w="3500"/>
            <w:shd w:fill="E8EEF5"/>
            <w:tcMar>
              <w:top w:w="80" w:type="dxa"/>
              <w:bottom w:w="80" w:type="dxa"/>
              <w:start w:w="120" w:type="dxa"/>
              <w:end w:w="120" w:type="dxa"/>
            </w:tcMar>
            <w:vAlign w:val="center"/>
          </w:tcPr>
          <w:p>
            <w:pPr>
              <w:keepNext/>
            </w:pPr>
            <w:r>
              <w:rPr>
                <w:rFonts w:ascii="Calibri" w:hAnsi="Calibri"/>
                <w:b/>
                <w:color w:val="102A43"/>
                <w:sz w:val="18"/>
              </w:rPr>
              <w:t>Key</w:t>
            </w:r>
          </w:p>
        </w:tc>
        <w:tc>
          <w:tcPr>
            <w:tcW w:type="dxa" w:w="1300"/>
            <w:shd w:fill="E8EEF5"/>
            <w:tcMar>
              <w:top w:w="80" w:type="dxa"/>
              <w:bottom w:w="80" w:type="dxa"/>
              <w:start w:w="120" w:type="dxa"/>
              <w:end w:w="120" w:type="dxa"/>
            </w:tcMar>
            <w:vAlign w:val="center"/>
          </w:tcPr>
          <w:p>
            <w:pPr>
              <w:keepNext/>
            </w:pPr>
            <w:r>
              <w:rPr>
                <w:rFonts w:ascii="Calibri" w:hAnsi="Calibri"/>
                <w:b/>
                <w:color w:val="102A43"/>
                <w:sz w:val="18"/>
              </w:rPr>
              <w:t>Type</w:t>
            </w:r>
          </w:p>
        </w:tc>
        <w:tc>
          <w:tcPr>
            <w:tcW w:type="dxa" w:w="4560"/>
            <w:shd w:fill="E8EEF5"/>
            <w:tcMar>
              <w:top w:w="80" w:type="dxa"/>
              <w:bottom w:w="80" w:type="dxa"/>
              <w:start w:w="120" w:type="dxa"/>
              <w:end w:w="120" w:type="dxa"/>
            </w:tcMar>
            <w:vAlign w:val="center"/>
          </w:tcPr>
          <w:p>
            <w:pPr>
              <w:keepNext/>
            </w:pPr>
            <w:r>
              <w:rPr>
                <w:rFonts w:ascii="Calibri" w:hAnsi="Calibri"/>
                <w:b/>
                <w:color w:val="102A43"/>
                <w:sz w:val="18"/>
              </w:rPr>
              <w:t>Purpose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aml.risk.layered_shadow_enabled</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BOOLEAN</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Allow layered scoring to run without changing production outcomes.</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aml.risk.legacy_comparison_enabled</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BOOLEAN</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Retain legacy production scoring for shadow comparison.</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aml.risk.ml_model_allocations_json</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JSON</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Selected production ML models and their relative ensemble weights.</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aml.risk.policy.version</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STRING</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Active layered risk policy version.</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aml.risk.rules.extreme_customer_amount_ratio</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Multiplier vs 30-day customer average that triggers the extreme-amount rule.</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aml.risk.rules.high_balance_ratio</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Transaction-to-balance ratio threshold that triggers the high-balance rule.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aml.risk.rules.high_customer_amount_ratio</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Multiplier vs 30-day customer average that triggers the high-amount rule.</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aml.risk.rules.high_expected_turnover_ratio</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Transaction-to-expected-turnover ratio threshold that triggers the turnover rule.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aml.risk.rules.high_tx_count_1h</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Transaction count in 1 hour that triggers high velocity rule.</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aml.risk.rules.multi_beneficiary_count_1h</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Unique beneficiary count in 1 hour that triggers the multiple-beneficiary rule.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aml.risk.rules.rapid_tx_count_10m</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Transaction count in 10 minutes that triggers rapid velocity rule.</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aml.risk.rules.repeated_amount_count_24h</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Identical-amount transaction count in 24 h that triggers the repeated-amount rule.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aml.risk.rules.reporting_threshold</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Regulatory reporting threshold used in structuring detection.</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aml.risk.rules.structuring_count_24h</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INTEGER</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Minimum below-threshold transaction count in 24 h to flag structuring.</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aml.risk.threshold.high</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Inclusive HIGH risk threshold.</w:t>
            </w:r>
          </w:p>
        </w:tc>
      </w:tr>
      <w:tr>
        <w:tc>
          <w:tcPr>
            <w:tcW w:type="dxa" w:w="3500"/>
            <w:shd w:fill="F8FAFC"/>
            <w:tcMar>
              <w:top w:w="80" w:type="dxa"/>
              <w:bottom w:w="80" w:type="dxa"/>
              <w:start w:w="120" w:type="dxa"/>
              <w:end w:w="120" w:type="dxa"/>
            </w:tcMar>
            <w:vAlign w:val="center"/>
          </w:tcPr>
          <w:p>
            <w:pPr>
              <w:spacing w:after="0" w:line="259" w:lineRule="auto"/>
            </w:pPr>
            <w:r>
              <w:rPr>
                <w:rFonts w:ascii="Calibri" w:hAnsi="Calibri"/>
                <w:color w:val="243B53"/>
                <w:sz w:val="15"/>
              </w:rPr>
              <w:t>aml.risk.threshold.low</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spacing w:after="0" w:line="259" w:lineRule="auto"/>
            </w:pPr>
            <w:r>
              <w:rPr>
                <w:rFonts w:ascii="Calibri" w:hAnsi="Calibri"/>
                <w:color w:val="243B53"/>
                <w:sz w:val="15"/>
              </w:rPr>
              <w:t>Inclusive LOW risk threshold.</w:t>
            </w:r>
          </w:p>
        </w:tc>
      </w:tr>
    </w:tbl>
    <w:p>
      <w:pPr>
        <w:spacing w:after="0"/>
      </w:pPr>
    </w:p>
    <w:p>
      <w:pPr>
        <w:pStyle w:val="Heading3"/>
      </w:pPr>
      <w:r>
        <w:t>Risk policy and rules (continued)</w:t>
      </w:r>
    </w:p>
    <w:tbl>
      <w:tblPr>
        <w:tblStyle w:val="TableGrid"/>
        <w:tblW w:type="dxa" w:w="9360"/>
        <w:jc w:val="left"/>
        <w:tblLayout w:type="fixed"/>
        <w:tblLook w:firstColumn="1" w:firstRow="1" w:lastColumn="0" w:lastRow="0" w:noHBand="0" w:noVBand="1" w:val="04A0"/>
        <w:tblInd w:w="120" w:type="dxa"/>
      </w:tblPr>
      <w:tblGrid>
        <w:gridCol w:w="3500"/>
        <w:gridCol w:w="1300"/>
        <w:gridCol w:w="4560"/>
      </w:tblGrid>
      <w:tr>
        <w:trPr>
          <w:tblHeader w:val="true"/>
        </w:trPr>
        <w:tc>
          <w:tcPr>
            <w:tcW w:type="dxa" w:w="3500"/>
            <w:shd w:fill="E8EEF5"/>
            <w:tcMar>
              <w:top w:w="80" w:type="dxa"/>
              <w:bottom w:w="80" w:type="dxa"/>
              <w:start w:w="120" w:type="dxa"/>
              <w:end w:w="120" w:type="dxa"/>
            </w:tcMar>
            <w:vAlign w:val="center"/>
          </w:tcPr>
          <w:p>
            <w:pPr>
              <w:keepNext/>
            </w:pPr>
            <w:r>
              <w:rPr>
                <w:rFonts w:ascii="Calibri" w:hAnsi="Calibri"/>
                <w:b/>
                <w:color w:val="102A43"/>
                <w:sz w:val="18"/>
              </w:rPr>
              <w:t>Key</w:t>
            </w:r>
          </w:p>
        </w:tc>
        <w:tc>
          <w:tcPr>
            <w:tcW w:type="dxa" w:w="1300"/>
            <w:shd w:fill="E8EEF5"/>
            <w:tcMar>
              <w:top w:w="80" w:type="dxa"/>
              <w:bottom w:w="80" w:type="dxa"/>
              <w:start w:w="120" w:type="dxa"/>
              <w:end w:w="120" w:type="dxa"/>
            </w:tcMar>
            <w:vAlign w:val="center"/>
          </w:tcPr>
          <w:p>
            <w:pPr>
              <w:keepNext/>
            </w:pPr>
            <w:r>
              <w:rPr>
                <w:rFonts w:ascii="Calibri" w:hAnsi="Calibri"/>
                <w:b/>
                <w:color w:val="102A43"/>
                <w:sz w:val="18"/>
              </w:rPr>
              <w:t>Type</w:t>
            </w:r>
          </w:p>
        </w:tc>
        <w:tc>
          <w:tcPr>
            <w:tcW w:type="dxa" w:w="4560"/>
            <w:shd w:fill="E8EEF5"/>
            <w:tcMar>
              <w:top w:w="80" w:type="dxa"/>
              <w:bottom w:w="80" w:type="dxa"/>
              <w:start w:w="120" w:type="dxa"/>
              <w:end w:w="120" w:type="dxa"/>
            </w:tcMar>
            <w:vAlign w:val="center"/>
          </w:tcPr>
          <w:p>
            <w:pPr>
              <w:keepNext/>
            </w:pPr>
            <w:r>
              <w:rPr>
                <w:rFonts w:ascii="Calibri" w:hAnsi="Calibri"/>
                <w:b/>
                <w:color w:val="102A43"/>
                <w:sz w:val="18"/>
              </w:rPr>
              <w:t>Purpose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aml.risk.threshold.medium</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Inclusive MEDIUM risk and automatic case threshold.</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aml.risk.weight.customer_behaviour</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Customer behaviour contribution to final risk.</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aml.risk.weight.customer_behaviour.amount</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Amount deviation sub-weight within customer behaviour scoring.</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aml.risk.weight.customer_behaviour.frequency</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Velocity burst sub-weight within customer behaviour scoring.</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aml.risk.weight.customer_behaviour.novelty</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Novelty (new beneficiary/location/channel/device) sub-weight within customer behaviour scoring.</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aml.risk.weight.customer_behaviour.time_gap</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Rapid time-gap sub-weight within customer behaviour scoring.</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aml.risk.weight.customer_behaviour.unusual_hour</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Unusual transaction hour sub-weight within customer behaviour scoring.</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aml.risk.weight.half_space_trees</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Half-Space Trees normalized-score weight.</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aml.risk.weight.ml_ensemble</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ML model ensemble contribution to final risk.</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aml.risk.weight.online_ocsvm</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Online One-Class SVM normalized-score weight.</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aml.risk.weight.peer_behaviour</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Peer behaviour contribution to final risk.</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aml.risk.weight.peer_behaviour.amount</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Amount deviation sub-weight within peer behaviour scoring.</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aml.risk.weight.peer_behaviour.expected_turnover</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Expected turnover sub-weight within peer behaviour scoring.</w:t>
            </w:r>
          </w:p>
        </w:tc>
      </w:tr>
      <w:tr>
        <w:tc>
          <w:tcPr>
            <w:tcW w:type="dxa" w:w="35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aml.risk.weight.peer_behaviour.frequency</w:t>
            </w:r>
          </w:p>
        </w:tc>
        <w:tc>
          <w:tcPr>
            <w:tcW w:type="dxa" w:w="130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keepNext/>
              <w:spacing w:after="0" w:line="259" w:lineRule="auto"/>
            </w:pPr>
            <w:r>
              <w:rPr>
                <w:rFonts w:ascii="Calibri" w:hAnsi="Calibri"/>
                <w:color w:val="243B53"/>
                <w:sz w:val="15"/>
              </w:rPr>
              <w:t>Frequency percentile sub-weight within peer behaviour scoring.</w:t>
            </w:r>
          </w:p>
        </w:tc>
      </w:tr>
      <w:tr>
        <w:tc>
          <w:tcPr>
            <w:tcW w:type="dxa" w:w="3500"/>
            <w:tcMar>
              <w:top w:w="80" w:type="dxa"/>
              <w:bottom w:w="80" w:type="dxa"/>
              <w:start w:w="120" w:type="dxa"/>
              <w:end w:w="120" w:type="dxa"/>
            </w:tcMar>
            <w:vAlign w:val="center"/>
          </w:tcPr>
          <w:p>
            <w:pPr>
              <w:spacing w:after="0" w:line="259" w:lineRule="auto"/>
            </w:pPr>
            <w:r>
              <w:rPr>
                <w:rFonts w:ascii="Calibri" w:hAnsi="Calibri"/>
                <w:color w:val="243B53"/>
                <w:sz w:val="15"/>
              </w:rPr>
              <w:t>aml.risk.weight.rules</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DECIMAL</w:t>
            </w:r>
          </w:p>
        </w:tc>
        <w:tc>
          <w:tcPr>
            <w:tcW w:type="dxa" w:w="4560"/>
            <w:tcMar>
              <w:top w:w="80" w:type="dxa"/>
              <w:bottom w:w="80" w:type="dxa"/>
              <w:start w:w="120" w:type="dxa"/>
              <w:end w:w="120" w:type="dxa"/>
            </w:tcMar>
            <w:vAlign w:val="center"/>
          </w:tcPr>
          <w:p>
            <w:pPr>
              <w:spacing w:after="0" w:line="259" w:lineRule="auto"/>
            </w:pPr>
            <w:r>
              <w:rPr>
                <w:rFonts w:ascii="Calibri" w:hAnsi="Calibri"/>
                <w:color w:val="243B53"/>
                <w:sz w:val="15"/>
              </w:rPr>
              <w:t>Deterministic AML rules contribution to final risk.</w:t>
            </w:r>
          </w:p>
        </w:tc>
      </w:tr>
    </w:tbl>
    <w:p>
      <w:pPr>
        <w:spacing w:after="0"/>
      </w:pPr>
    </w:p>
    <w:p>
      <w:pPr>
        <w:pStyle w:val="Heading2"/>
      </w:pPr>
      <w:r>
        <w:t>Supervised learning</w:t>
      </w:r>
    </w:p>
    <w:tbl>
      <w:tblPr>
        <w:tblStyle w:val="TableGrid"/>
        <w:tblW w:type="dxa" w:w="9360"/>
        <w:jc w:val="left"/>
        <w:tblLayout w:type="fixed"/>
        <w:tblLook w:firstColumn="1" w:firstRow="1" w:lastColumn="0" w:lastRow="0" w:noHBand="0" w:noVBand="1" w:val="04A0"/>
        <w:tblInd w:w="120" w:type="dxa"/>
      </w:tblPr>
      <w:tblGrid>
        <w:gridCol w:w="3500"/>
        <w:gridCol w:w="1300"/>
        <w:gridCol w:w="4560"/>
      </w:tblGrid>
      <w:tr>
        <w:trPr>
          <w:tblHeader w:val="true"/>
        </w:trPr>
        <w:tc>
          <w:tcPr>
            <w:tcW w:type="dxa" w:w="3500"/>
            <w:shd w:fill="E8EEF5"/>
            <w:tcMar>
              <w:top w:w="80" w:type="dxa"/>
              <w:bottom w:w="80" w:type="dxa"/>
              <w:start w:w="120" w:type="dxa"/>
              <w:end w:w="120" w:type="dxa"/>
            </w:tcMar>
            <w:vAlign w:val="center"/>
          </w:tcPr>
          <w:p>
            <w:pPr>
              <w:keepNext/>
            </w:pPr>
            <w:r>
              <w:rPr>
                <w:rFonts w:ascii="Calibri" w:hAnsi="Calibri"/>
                <w:b/>
                <w:color w:val="102A43"/>
                <w:sz w:val="18"/>
              </w:rPr>
              <w:t>Key</w:t>
            </w:r>
          </w:p>
        </w:tc>
        <w:tc>
          <w:tcPr>
            <w:tcW w:type="dxa" w:w="1300"/>
            <w:shd w:fill="E8EEF5"/>
            <w:tcMar>
              <w:top w:w="80" w:type="dxa"/>
              <w:bottom w:w="80" w:type="dxa"/>
              <w:start w:w="120" w:type="dxa"/>
              <w:end w:w="120" w:type="dxa"/>
            </w:tcMar>
            <w:vAlign w:val="center"/>
          </w:tcPr>
          <w:p>
            <w:pPr>
              <w:keepNext/>
            </w:pPr>
            <w:r>
              <w:rPr>
                <w:rFonts w:ascii="Calibri" w:hAnsi="Calibri"/>
                <w:b/>
                <w:color w:val="102A43"/>
                <w:sz w:val="18"/>
              </w:rPr>
              <w:t>Type</w:t>
            </w:r>
          </w:p>
        </w:tc>
        <w:tc>
          <w:tcPr>
            <w:tcW w:type="dxa" w:w="4560"/>
            <w:shd w:fill="E8EEF5"/>
            <w:tcMar>
              <w:top w:w="80" w:type="dxa"/>
              <w:bottom w:w="80" w:type="dxa"/>
              <w:start w:w="120" w:type="dxa"/>
              <w:end w:w="120" w:type="dxa"/>
            </w:tcMar>
            <w:vAlign w:val="center"/>
          </w:tcPr>
          <w:p>
            <w:pPr>
              <w:keepNext/>
            </w:pPr>
            <w:r>
              <w:rPr>
                <w:rFonts w:ascii="Calibri" w:hAnsi="Calibri"/>
                <w:b/>
                <w:color w:val="102A43"/>
                <w:sz w:val="18"/>
              </w:rPr>
              <w:t>Purpose</w:t>
            </w:r>
          </w:p>
        </w:tc>
      </w:tr>
      <w:tr>
        <w:tc>
          <w:tcPr>
            <w:tcW w:type="dxa" w:w="3500"/>
            <w:tcMar>
              <w:top w:w="80" w:type="dxa"/>
              <w:bottom w:w="80" w:type="dxa"/>
              <w:start w:w="120" w:type="dxa"/>
              <w:end w:w="120" w:type="dxa"/>
            </w:tcMar>
            <w:vAlign w:val="center"/>
          </w:tcPr>
          <w:p>
            <w:pPr>
              <w:keepNext/>
              <w:spacing w:after="0" w:line="259" w:lineRule="auto"/>
            </w:pPr>
            <w:r>
              <w:rPr>
                <w:rFonts w:ascii="Calibri" w:hAnsi="Calibri"/>
                <w:color w:val="243B53"/>
                <w:sz w:val="15"/>
              </w:rPr>
              <w:t>ml.supervised.stacking_protocol</w:t>
            </w:r>
          </w:p>
        </w:tc>
        <w:tc>
          <w:tcPr>
            <w:tcW w:type="dxa" w:w="1300"/>
            <w:tcMar>
              <w:top w:w="80" w:type="dxa"/>
              <w:bottom w:w="80" w:type="dxa"/>
              <w:start w:w="120" w:type="dxa"/>
              <w:end w:w="120" w:type="dxa"/>
            </w:tcMar>
            <w:vAlign w:val="center"/>
          </w:tcPr>
          <w:p>
            <w:pPr>
              <w:keepNext/>
              <w:spacing w:after="0" w:line="259" w:lineRule="auto"/>
            </w:pPr>
            <w:r>
              <w:rPr>
                <w:rFonts w:ascii="Calibri" w:hAnsi="Calibri"/>
                <w:color w:val="243B53"/>
                <w:sz w:val="15"/>
              </w:rPr>
              <w:t>TEXT</w:t>
            </w:r>
          </w:p>
        </w:tc>
        <w:tc>
          <w:tcPr>
            <w:tcW w:type="dxa" w:w="4560"/>
            <w:tcMar>
              <w:top w:w="80" w:type="dxa"/>
              <w:bottom w:w="80" w:type="dxa"/>
              <w:start w:w="120" w:type="dxa"/>
              <w:end w:w="120" w:type="dxa"/>
            </w:tcMar>
            <w:vAlign w:val="center"/>
          </w:tcPr>
          <w:p>
            <w:pPr>
              <w:keepNext/>
              <w:spacing w:after="0" w:line="259" w:lineRule="auto"/>
            </w:pPr>
            <w:r>
              <w:rPr>
                <w:rFonts w:ascii="Calibri" w:hAnsi="Calibri"/>
                <w:color w:val="243B53"/>
                <w:sz w:val="15"/>
              </w:rPr>
              <w:t>Fit stack weights on the first calibration half and its threshold on the second half.</w:t>
            </w:r>
          </w:p>
        </w:tc>
      </w:tr>
      <w:tr>
        <w:tc>
          <w:tcPr>
            <w:tcW w:type="dxa" w:w="3500"/>
            <w:shd w:fill="F8FAFC"/>
            <w:tcMar>
              <w:top w:w="80" w:type="dxa"/>
              <w:bottom w:w="80" w:type="dxa"/>
              <w:start w:w="120" w:type="dxa"/>
              <w:end w:w="120" w:type="dxa"/>
            </w:tcMar>
            <w:vAlign w:val="center"/>
          </w:tcPr>
          <w:p>
            <w:pPr>
              <w:spacing w:after="0" w:line="259" w:lineRule="auto"/>
            </w:pPr>
            <w:r>
              <w:rPr>
                <w:rFonts w:ascii="Calibri" w:hAnsi="Calibri"/>
                <w:color w:val="243B53"/>
                <w:sz w:val="15"/>
              </w:rPr>
              <w:t>ml.supervised.threshold_beta</w:t>
            </w:r>
          </w:p>
        </w:tc>
        <w:tc>
          <w:tcPr>
            <w:tcW w:type="dxa" w:w="1300"/>
            <w:shd w:fill="F8FAFC"/>
            <w:tcMar>
              <w:top w:w="80" w:type="dxa"/>
              <w:bottom w:w="80" w:type="dxa"/>
              <w:start w:w="120" w:type="dxa"/>
              <w:end w:w="120" w:type="dxa"/>
            </w:tcMar>
            <w:vAlign w:val="center"/>
          </w:tcPr>
          <w:p>
            <w:pPr>
              <w:spacing w:after="0" w:line="259" w:lineRule="auto"/>
            </w:pPr>
            <w:r>
              <w:rPr>
                <w:rFonts w:ascii="Calibri" w:hAnsi="Calibri"/>
                <w:color w:val="243B53"/>
                <w:sz w:val="15"/>
              </w:rPr>
              <w:t>DECIMAL</w:t>
            </w:r>
          </w:p>
        </w:tc>
        <w:tc>
          <w:tcPr>
            <w:tcW w:type="dxa" w:w="4560"/>
            <w:shd w:fill="F8FAFC"/>
            <w:tcMar>
              <w:top w:w="80" w:type="dxa"/>
              <w:bottom w:w="80" w:type="dxa"/>
              <w:start w:w="120" w:type="dxa"/>
              <w:end w:w="120" w:type="dxa"/>
            </w:tcMar>
            <w:vAlign w:val="center"/>
          </w:tcPr>
          <w:p>
            <w:pPr>
              <w:spacing w:after="0" w:line="259" w:lineRule="auto"/>
            </w:pPr>
            <w:r>
              <w:rPr>
                <w:rFonts w:ascii="Calibri" w:hAnsi="Calibri"/>
                <w:color w:val="243B53"/>
                <w:sz w:val="15"/>
              </w:rPr>
              <w:t>F-beta used to calibrate each supervised model decision threshold.</w:t>
            </w:r>
          </w:p>
        </w:tc>
      </w:tr>
    </w:tbl>
    <w:p>
      <w:pPr>
        <w:spacing w:after="0"/>
      </w:pPr>
    </w:p>
    <w:p>
      <w:pPr>
        <w:pStyle w:val="Heading2"/>
      </w:pPr>
      <w:r>
        <w:t>System mode</w:t>
      </w:r>
    </w:p>
    <w:tbl>
      <w:tblPr>
        <w:tblStyle w:val="TableGrid"/>
        <w:tblW w:type="dxa" w:w="9360"/>
        <w:jc w:val="left"/>
        <w:tblLayout w:type="fixed"/>
        <w:tblLook w:firstColumn="1" w:firstRow="1" w:lastColumn="0" w:lastRow="0" w:noHBand="0" w:noVBand="1" w:val="04A0"/>
        <w:tblInd w:w="120" w:type="dxa"/>
      </w:tblPr>
      <w:tblGrid>
        <w:gridCol w:w="3500"/>
        <w:gridCol w:w="1300"/>
        <w:gridCol w:w="4560"/>
      </w:tblGrid>
      <w:tr>
        <w:trPr>
          <w:tblHeader w:val="true"/>
        </w:trPr>
        <w:tc>
          <w:tcPr>
            <w:tcW w:type="dxa" w:w="3500"/>
            <w:shd w:fill="E8EEF5"/>
            <w:tcMar>
              <w:top w:w="80" w:type="dxa"/>
              <w:bottom w:w="80" w:type="dxa"/>
              <w:start w:w="120" w:type="dxa"/>
              <w:end w:w="120" w:type="dxa"/>
            </w:tcMar>
            <w:vAlign w:val="center"/>
          </w:tcPr>
          <w:p>
            <w:pPr>
              <w:keepNext/>
            </w:pPr>
            <w:r>
              <w:rPr>
                <w:rFonts w:ascii="Calibri" w:hAnsi="Calibri"/>
                <w:b/>
                <w:color w:val="102A43"/>
                <w:sz w:val="18"/>
              </w:rPr>
              <w:t>Key</w:t>
            </w:r>
          </w:p>
        </w:tc>
        <w:tc>
          <w:tcPr>
            <w:tcW w:type="dxa" w:w="1300"/>
            <w:shd w:fill="E8EEF5"/>
            <w:tcMar>
              <w:top w:w="80" w:type="dxa"/>
              <w:bottom w:w="80" w:type="dxa"/>
              <w:start w:w="120" w:type="dxa"/>
              <w:end w:w="120" w:type="dxa"/>
            </w:tcMar>
            <w:vAlign w:val="center"/>
          </w:tcPr>
          <w:p>
            <w:pPr>
              <w:keepNext/>
            </w:pPr>
            <w:r>
              <w:rPr>
                <w:rFonts w:ascii="Calibri" w:hAnsi="Calibri"/>
                <w:b/>
                <w:color w:val="102A43"/>
                <w:sz w:val="18"/>
              </w:rPr>
              <w:t>Type</w:t>
            </w:r>
          </w:p>
        </w:tc>
        <w:tc>
          <w:tcPr>
            <w:tcW w:type="dxa" w:w="4560"/>
            <w:shd w:fill="E8EEF5"/>
            <w:tcMar>
              <w:top w:w="80" w:type="dxa"/>
              <w:bottom w:w="80" w:type="dxa"/>
              <w:start w:w="120" w:type="dxa"/>
              <w:end w:w="120" w:type="dxa"/>
            </w:tcMar>
            <w:vAlign w:val="center"/>
          </w:tcPr>
          <w:p>
            <w:pPr>
              <w:keepNext/>
            </w:pPr>
            <w:r>
              <w:rPr>
                <w:rFonts w:ascii="Calibri" w:hAnsi="Calibri"/>
                <w:b/>
                <w:color w:val="102A43"/>
                <w:sz w:val="18"/>
              </w:rPr>
              <w:t>Purpose</w:t>
            </w:r>
          </w:p>
        </w:tc>
      </w:tr>
      <w:tr>
        <w:tc>
          <w:tcPr>
            <w:tcW w:type="dxa" w:w="3500"/>
            <w:tcMar>
              <w:top w:w="80" w:type="dxa"/>
              <w:bottom w:w="80" w:type="dxa"/>
              <w:start w:w="120" w:type="dxa"/>
              <w:end w:w="120" w:type="dxa"/>
            </w:tcMar>
            <w:vAlign w:val="center"/>
          </w:tcPr>
          <w:p>
            <w:pPr>
              <w:spacing w:after="0" w:line="259" w:lineRule="auto"/>
            </w:pPr>
            <w:r>
              <w:rPr>
                <w:rFonts w:ascii="Calibri" w:hAnsi="Calibri"/>
                <w:color w:val="243B53"/>
                <w:sz w:val="15"/>
              </w:rPr>
              <w:t>system.learning_mode</w:t>
            </w:r>
          </w:p>
        </w:tc>
        <w:tc>
          <w:tcPr>
            <w:tcW w:type="dxa" w:w="1300"/>
            <w:tcMar>
              <w:top w:w="80" w:type="dxa"/>
              <w:bottom w:w="80" w:type="dxa"/>
              <w:start w:w="120" w:type="dxa"/>
              <w:end w:w="120" w:type="dxa"/>
            </w:tcMar>
            <w:vAlign w:val="center"/>
          </w:tcPr>
          <w:p>
            <w:pPr>
              <w:spacing w:after="0" w:line="259" w:lineRule="auto"/>
            </w:pPr>
            <w:r>
              <w:rPr>
                <w:rFonts w:ascii="Calibri" w:hAnsi="Calibri"/>
                <w:color w:val="243B53"/>
                <w:sz w:val="15"/>
              </w:rPr>
              <w:t>SELECT</w:t>
            </w:r>
          </w:p>
        </w:tc>
        <w:tc>
          <w:tcPr>
            <w:tcW w:type="dxa" w:w="4560"/>
            <w:tcMar>
              <w:top w:w="80" w:type="dxa"/>
              <w:bottom w:w="80" w:type="dxa"/>
              <w:start w:w="120" w:type="dxa"/>
              <w:end w:w="120" w:type="dxa"/>
            </w:tcMar>
            <w:vAlign w:val="center"/>
          </w:tcPr>
          <w:p>
            <w:pPr>
              <w:spacing w:after="0" w:line="259" w:lineRule="auto"/>
            </w:pPr>
            <w:r>
              <w:rPr>
                <w:rFonts w:ascii="Calibri" w:hAnsi="Calibri"/>
                <w:color w:val="243B53"/>
                <w:sz w:val="15"/>
              </w:rPr>
              <w:t>Global learning mode. Allowed values: UNSUPERVISED or SUPERVISED.</w:t>
            </w:r>
          </w:p>
        </w:tc>
      </w:tr>
    </w:tbl>
    <w:p>
      <w:pPr>
        <w:spacing w:after="0"/>
      </w:pPr>
    </w:p>
    <w:p>
      <w:r>
        <w:br w:type="page"/>
      </w:r>
    </w:p>
    <w:p>
      <w:pPr>
        <w:pStyle w:val="Heading1"/>
      </w:pPr>
      <w:r>
        <w:t>Appendix D. Code Navigation Cheat Sheet</w:t>
      </w:r>
    </w:p>
    <w:tbl>
      <w:tblPr>
        <w:tblStyle w:val="TableGrid"/>
        <w:tblW w:type="dxa" w:w="9360"/>
        <w:jc w:val="left"/>
        <w:tblLayout w:type="fixed"/>
        <w:tblLook w:firstColumn="1" w:firstRow="1" w:lastColumn="0" w:lastRow="0" w:noHBand="0" w:noVBand="1" w:val="04A0"/>
        <w:tblInd w:w="120" w:type="dxa"/>
      </w:tblPr>
      <w:tblGrid>
        <w:gridCol w:w="3350"/>
        <w:gridCol w:w="6010"/>
      </w:tblGrid>
      <w:tr>
        <w:trPr>
          <w:tblHeader w:val="true"/>
        </w:trPr>
        <w:tc>
          <w:tcPr>
            <w:tcW w:type="dxa" w:w="3350"/>
            <w:shd w:fill="E8EEF5"/>
            <w:tcMar>
              <w:top w:w="80" w:type="dxa"/>
              <w:bottom w:w="80" w:type="dxa"/>
              <w:start w:w="120" w:type="dxa"/>
              <w:end w:w="120" w:type="dxa"/>
            </w:tcMar>
            <w:vAlign w:val="center"/>
          </w:tcPr>
          <w:p>
            <w:r>
              <w:rPr>
                <w:rFonts w:ascii="Calibri" w:hAnsi="Calibri"/>
                <w:b/>
                <w:color w:val="102A43"/>
                <w:sz w:val="18"/>
              </w:rPr>
              <w:t>Question</w:t>
            </w:r>
          </w:p>
        </w:tc>
        <w:tc>
          <w:tcPr>
            <w:tcW w:type="dxa" w:w="6010"/>
            <w:shd w:fill="E8EEF5"/>
            <w:tcMar>
              <w:top w:w="80" w:type="dxa"/>
              <w:bottom w:w="80" w:type="dxa"/>
              <w:start w:w="120" w:type="dxa"/>
              <w:end w:w="120" w:type="dxa"/>
            </w:tcMar>
            <w:vAlign w:val="center"/>
          </w:tcPr>
          <w:p>
            <w:r>
              <w:rPr>
                <w:rFonts w:ascii="Calibri" w:hAnsi="Calibri"/>
                <w:b/>
                <w:color w:val="102A43"/>
                <w:sz w:val="18"/>
              </w:rPr>
              <w:t>Start here</w:t>
            </w:r>
          </w:p>
        </w:tc>
      </w:tr>
      <w:tr>
        <w:tc>
          <w:tcPr>
            <w:tcW w:type="dxa" w:w="3350"/>
            <w:tcMar>
              <w:top w:w="80" w:type="dxa"/>
              <w:bottom w:w="80" w:type="dxa"/>
              <w:start w:w="120" w:type="dxa"/>
              <w:end w:w="120" w:type="dxa"/>
            </w:tcMar>
            <w:vAlign w:val="center"/>
          </w:tcPr>
          <w:p>
            <w:pPr>
              <w:spacing w:after="0" w:line="259" w:lineRule="auto"/>
            </w:pPr>
            <w:r>
              <w:rPr>
                <w:rFonts w:ascii="Calibri" w:hAnsi="Calibri"/>
                <w:color w:val="243B53"/>
                <w:sz w:val="16"/>
              </w:rPr>
              <w:t>Where is login/register logic?</w:t>
            </w:r>
          </w:p>
        </w:tc>
        <w:tc>
          <w:tcPr>
            <w:tcW w:type="dxa" w:w="6010"/>
            <w:tcMar>
              <w:top w:w="80" w:type="dxa"/>
              <w:bottom w:w="80" w:type="dxa"/>
              <w:start w:w="120" w:type="dxa"/>
              <w:end w:w="120" w:type="dxa"/>
            </w:tcMar>
            <w:vAlign w:val="center"/>
          </w:tcPr>
          <w:p>
            <w:pPr>
              <w:spacing w:after="0" w:line="259" w:lineRule="auto"/>
            </w:pPr>
            <w:r>
              <w:rPr>
                <w:rFonts w:ascii="Calibri" w:hAnsi="Calibri"/>
                <w:color w:val="243B53"/>
                <w:sz w:val="16"/>
              </w:rPr>
              <w:t>auth/web/AuthController.java; auth/service/AuthService.java</w:t>
            </w:r>
          </w:p>
        </w:tc>
      </w:tr>
      <w:tr>
        <w:tc>
          <w:tcPr>
            <w:tcW w:type="dxa" w:w="3350"/>
            <w:shd w:fill="F8FAFC"/>
            <w:tcMar>
              <w:top w:w="80" w:type="dxa"/>
              <w:bottom w:w="80" w:type="dxa"/>
              <w:start w:w="120" w:type="dxa"/>
              <w:end w:w="120" w:type="dxa"/>
            </w:tcMar>
            <w:vAlign w:val="center"/>
          </w:tcPr>
          <w:p>
            <w:pPr>
              <w:spacing w:after="0" w:line="259" w:lineRule="auto"/>
            </w:pPr>
            <w:r>
              <w:rPr>
                <w:rFonts w:ascii="Calibri" w:hAnsi="Calibri"/>
                <w:color w:val="243B53"/>
                <w:sz w:val="16"/>
              </w:rPr>
              <w:t>Where is JWT verified?</w:t>
            </w:r>
          </w:p>
        </w:tc>
        <w:tc>
          <w:tcPr>
            <w:tcW w:type="dxa" w:w="6010"/>
            <w:shd w:fill="F8FAFC"/>
            <w:tcMar>
              <w:top w:w="80" w:type="dxa"/>
              <w:bottom w:w="80" w:type="dxa"/>
              <w:start w:w="120" w:type="dxa"/>
              <w:end w:w="120" w:type="dxa"/>
            </w:tcMar>
            <w:vAlign w:val="center"/>
          </w:tcPr>
          <w:p>
            <w:pPr>
              <w:spacing w:after="0" w:line="259" w:lineRule="auto"/>
            </w:pPr>
            <w:r>
              <w:rPr>
                <w:rFonts w:ascii="Calibri" w:hAnsi="Calibri"/>
                <w:color w:val="243B53"/>
                <w:sz w:val="16"/>
              </w:rPr>
              <w:t>auth/security/JwtAuthenticationFilter.java; auth/service/JwtService.java</w:t>
            </w:r>
          </w:p>
        </w:tc>
      </w:tr>
      <w:tr>
        <w:tc>
          <w:tcPr>
            <w:tcW w:type="dxa" w:w="3350"/>
            <w:tcMar>
              <w:top w:w="80" w:type="dxa"/>
              <w:bottom w:w="80" w:type="dxa"/>
              <w:start w:w="120" w:type="dxa"/>
              <w:end w:w="120" w:type="dxa"/>
            </w:tcMar>
            <w:vAlign w:val="center"/>
          </w:tcPr>
          <w:p>
            <w:pPr>
              <w:spacing w:after="0" w:line="259" w:lineRule="auto"/>
            </w:pPr>
            <w:r>
              <w:rPr>
                <w:rFonts w:ascii="Calibri" w:hAnsi="Calibri"/>
                <w:color w:val="243B53"/>
                <w:sz w:val="16"/>
              </w:rPr>
              <w:t>Where are roles enforced?</w:t>
            </w:r>
          </w:p>
        </w:tc>
        <w:tc>
          <w:tcPr>
            <w:tcW w:type="dxa" w:w="6010"/>
            <w:tcMar>
              <w:top w:w="80" w:type="dxa"/>
              <w:bottom w:w="80" w:type="dxa"/>
              <w:start w:w="120" w:type="dxa"/>
              <w:end w:w="120" w:type="dxa"/>
            </w:tcMar>
            <w:vAlign w:val="center"/>
          </w:tcPr>
          <w:p>
            <w:pPr>
              <w:spacing w:after="0" w:line="259" w:lineRule="auto"/>
            </w:pPr>
            <w:r>
              <w:rPr>
                <w:rFonts w:ascii="Calibri" w:hAnsi="Calibri"/>
                <w:color w:val="243B53"/>
                <w:sz w:val="16"/>
              </w:rPr>
              <w:t>auth/security/SecurityConfig.java and Angular core/auth.guard.ts</w:t>
            </w:r>
          </w:p>
        </w:tc>
      </w:tr>
      <w:tr>
        <w:tc>
          <w:tcPr>
            <w:tcW w:type="dxa" w:w="3350"/>
            <w:shd w:fill="F8FAFC"/>
            <w:tcMar>
              <w:top w:w="80" w:type="dxa"/>
              <w:bottom w:w="80" w:type="dxa"/>
              <w:start w:w="120" w:type="dxa"/>
              <w:end w:w="120" w:type="dxa"/>
            </w:tcMar>
            <w:vAlign w:val="center"/>
          </w:tcPr>
          <w:p>
            <w:pPr>
              <w:spacing w:after="0" w:line="259" w:lineRule="auto"/>
            </w:pPr>
            <w:r>
              <w:rPr>
                <w:rFonts w:ascii="Calibri" w:hAnsi="Calibri"/>
                <w:color w:val="243B53"/>
                <w:sz w:val="16"/>
              </w:rPr>
              <w:t>Where is file upload parsed?</w:t>
            </w:r>
          </w:p>
        </w:tc>
        <w:tc>
          <w:tcPr>
            <w:tcW w:type="dxa" w:w="6010"/>
            <w:shd w:fill="F8FAFC"/>
            <w:tcMar>
              <w:top w:w="80" w:type="dxa"/>
              <w:bottom w:w="80" w:type="dxa"/>
              <w:start w:w="120" w:type="dxa"/>
              <w:end w:w="120" w:type="dxa"/>
            </w:tcMar>
            <w:vAlign w:val="center"/>
          </w:tcPr>
          <w:p>
            <w:pPr>
              <w:spacing w:after="0" w:line="259" w:lineRule="auto"/>
            </w:pPr>
            <w:r>
              <w:rPr>
                <w:rFonts w:ascii="Calibri" w:hAnsi="Calibri"/>
                <w:color w:val="243B53"/>
                <w:sz w:val="16"/>
              </w:rPr>
              <w:t>uploads/service/ExcelBulkUploadService.java</w:t>
            </w:r>
          </w:p>
        </w:tc>
      </w:tr>
      <w:tr>
        <w:tc>
          <w:tcPr>
            <w:tcW w:type="dxa" w:w="3350"/>
            <w:tcMar>
              <w:top w:w="80" w:type="dxa"/>
              <w:bottom w:w="80" w:type="dxa"/>
              <w:start w:w="120" w:type="dxa"/>
              <w:end w:w="120" w:type="dxa"/>
            </w:tcMar>
            <w:vAlign w:val="center"/>
          </w:tcPr>
          <w:p>
            <w:pPr>
              <w:spacing w:after="0" w:line="259" w:lineRule="auto"/>
            </w:pPr>
            <w:r>
              <w:rPr>
                <w:rFonts w:ascii="Calibri" w:hAnsi="Calibri"/>
                <w:color w:val="243B53"/>
                <w:sz w:val="16"/>
              </w:rPr>
              <w:t>Where is a transaction scored?</w:t>
            </w:r>
          </w:p>
        </w:tc>
        <w:tc>
          <w:tcPr>
            <w:tcW w:type="dxa" w:w="6010"/>
            <w:tcMar>
              <w:top w:w="80" w:type="dxa"/>
              <w:bottom w:w="80" w:type="dxa"/>
              <w:start w:w="120" w:type="dxa"/>
              <w:end w:w="120" w:type="dxa"/>
            </w:tcMar>
            <w:vAlign w:val="center"/>
          </w:tcPr>
          <w:p>
            <w:pPr>
              <w:spacing w:after="0" w:line="259" w:lineRule="auto"/>
            </w:pPr>
            <w:r>
              <w:rPr>
                <w:rFonts w:ascii="Calibri" w:hAnsi="Calibri"/>
                <w:color w:val="243B53"/>
                <w:sz w:val="16"/>
              </w:rPr>
              <w:t>transactions/service/TransactionCreateService.java; aml/prediction/AmlPredictionOrchestrator.java</w:t>
            </w:r>
          </w:p>
        </w:tc>
      </w:tr>
      <w:tr>
        <w:tc>
          <w:tcPr>
            <w:tcW w:type="dxa" w:w="3350"/>
            <w:shd w:fill="F8FAFC"/>
            <w:tcMar>
              <w:top w:w="80" w:type="dxa"/>
              <w:bottom w:w="80" w:type="dxa"/>
              <w:start w:w="120" w:type="dxa"/>
              <w:end w:w="120" w:type="dxa"/>
            </w:tcMar>
            <w:vAlign w:val="center"/>
          </w:tcPr>
          <w:p>
            <w:pPr>
              <w:spacing w:after="0" w:line="259" w:lineRule="auto"/>
            </w:pPr>
            <w:r>
              <w:rPr>
                <w:rFonts w:ascii="Calibri" w:hAnsi="Calibri"/>
                <w:color w:val="243B53"/>
                <w:sz w:val="16"/>
              </w:rPr>
              <w:t>Where are features calculated?</w:t>
            </w:r>
          </w:p>
        </w:tc>
        <w:tc>
          <w:tcPr>
            <w:tcW w:type="dxa" w:w="6010"/>
            <w:shd w:fill="F8FAFC"/>
            <w:tcMar>
              <w:top w:w="80" w:type="dxa"/>
              <w:bottom w:w="80" w:type="dxa"/>
              <w:start w:w="120" w:type="dxa"/>
              <w:end w:w="120" w:type="dxa"/>
            </w:tcMar>
            <w:vAlign w:val="center"/>
          </w:tcPr>
          <w:p>
            <w:pPr>
              <w:spacing w:after="0" w:line="259" w:lineRule="auto"/>
            </w:pPr>
            <w:r>
              <w:rPr>
                <w:rFonts w:ascii="Calibri" w:hAnsi="Calibri"/>
                <w:color w:val="243B53"/>
                <w:sz w:val="16"/>
              </w:rPr>
              <w:t>aml/feature/application/FeatureEngineeringService.java</w:t>
            </w:r>
          </w:p>
        </w:tc>
      </w:tr>
      <w:tr>
        <w:tc>
          <w:tcPr>
            <w:tcW w:type="dxa" w:w="3350"/>
            <w:tcMar>
              <w:top w:w="80" w:type="dxa"/>
              <w:bottom w:w="80" w:type="dxa"/>
              <w:start w:w="120" w:type="dxa"/>
              <w:end w:w="120" w:type="dxa"/>
            </w:tcMar>
            <w:vAlign w:val="center"/>
          </w:tcPr>
          <w:p>
            <w:pPr>
              <w:spacing w:after="0" w:line="259" w:lineRule="auto"/>
            </w:pPr>
            <w:r>
              <w:rPr>
                <w:rFonts w:ascii="Calibri" w:hAnsi="Calibri"/>
                <w:color w:val="243B53"/>
                <w:sz w:val="16"/>
              </w:rPr>
              <w:t>Where are features persisted?</w:t>
            </w:r>
          </w:p>
        </w:tc>
        <w:tc>
          <w:tcPr>
            <w:tcW w:type="dxa" w:w="6010"/>
            <w:tcMar>
              <w:top w:w="80" w:type="dxa"/>
              <w:bottom w:w="80" w:type="dxa"/>
              <w:start w:w="120" w:type="dxa"/>
              <w:end w:w="120" w:type="dxa"/>
            </w:tcMar>
            <w:vAlign w:val="center"/>
          </w:tcPr>
          <w:p>
            <w:pPr>
              <w:spacing w:after="0" w:line="259" w:lineRule="auto"/>
            </w:pPr>
            <w:r>
              <w:rPr>
                <w:rFonts w:ascii="Calibri" w:hAnsi="Calibri"/>
                <w:color w:val="243B53"/>
                <w:sz w:val="16"/>
              </w:rPr>
              <w:t>aml/feature/infrastructure/FeaturePersistenceService.java</w:t>
            </w:r>
          </w:p>
        </w:tc>
      </w:tr>
      <w:tr>
        <w:tc>
          <w:tcPr>
            <w:tcW w:type="dxa" w:w="3350"/>
            <w:shd w:fill="F8FAFC"/>
            <w:tcMar>
              <w:top w:w="80" w:type="dxa"/>
              <w:bottom w:w="80" w:type="dxa"/>
              <w:start w:w="120" w:type="dxa"/>
              <w:end w:w="120" w:type="dxa"/>
            </w:tcMar>
            <w:vAlign w:val="center"/>
          </w:tcPr>
          <w:p>
            <w:pPr>
              <w:spacing w:after="0" w:line="259" w:lineRule="auto"/>
            </w:pPr>
            <w:r>
              <w:rPr>
                <w:rFonts w:ascii="Calibri" w:hAnsi="Calibri"/>
                <w:color w:val="243B53"/>
                <w:sz w:val="16"/>
              </w:rPr>
              <w:t>Where is customer behavior scored?</w:t>
            </w:r>
          </w:p>
        </w:tc>
        <w:tc>
          <w:tcPr>
            <w:tcW w:type="dxa" w:w="6010"/>
            <w:shd w:fill="F8FAFC"/>
            <w:tcMar>
              <w:top w:w="80" w:type="dxa"/>
              <w:bottom w:w="80" w:type="dxa"/>
              <w:start w:w="120" w:type="dxa"/>
              <w:end w:w="120" w:type="dxa"/>
            </w:tcMar>
            <w:vAlign w:val="center"/>
          </w:tcPr>
          <w:p>
            <w:pPr>
              <w:spacing w:after="0" w:line="259" w:lineRule="auto"/>
            </w:pPr>
            <w:r>
              <w:rPr>
                <w:rFonts w:ascii="Calibri" w:hAnsi="Calibri"/>
                <w:color w:val="243B53"/>
                <w:sz w:val="16"/>
              </w:rPr>
              <w:t>aml/behaviour/customer/CustomerBehaviourScorer.java</w:t>
            </w:r>
          </w:p>
        </w:tc>
      </w:tr>
      <w:tr>
        <w:tc>
          <w:tcPr>
            <w:tcW w:type="dxa" w:w="3350"/>
            <w:tcMar>
              <w:top w:w="80" w:type="dxa"/>
              <w:bottom w:w="80" w:type="dxa"/>
              <w:start w:w="120" w:type="dxa"/>
              <w:end w:w="120" w:type="dxa"/>
            </w:tcMar>
            <w:vAlign w:val="center"/>
          </w:tcPr>
          <w:p>
            <w:pPr>
              <w:spacing w:after="0" w:line="259" w:lineRule="auto"/>
            </w:pPr>
            <w:r>
              <w:rPr>
                <w:rFonts w:ascii="Calibri" w:hAnsi="Calibri"/>
                <w:color w:val="243B53"/>
                <w:sz w:val="16"/>
              </w:rPr>
              <w:t>Where is peer behavior scored?</w:t>
            </w:r>
          </w:p>
        </w:tc>
        <w:tc>
          <w:tcPr>
            <w:tcW w:type="dxa" w:w="6010"/>
            <w:tcMar>
              <w:top w:w="80" w:type="dxa"/>
              <w:bottom w:w="80" w:type="dxa"/>
              <w:start w:w="120" w:type="dxa"/>
              <w:end w:w="120" w:type="dxa"/>
            </w:tcMar>
            <w:vAlign w:val="center"/>
          </w:tcPr>
          <w:p>
            <w:pPr>
              <w:spacing w:after="0" w:line="259" w:lineRule="auto"/>
            </w:pPr>
            <w:r>
              <w:rPr>
                <w:rFonts w:ascii="Calibri" w:hAnsi="Calibri"/>
                <w:color w:val="243B53"/>
                <w:sz w:val="16"/>
              </w:rPr>
              <w:t>aml/behaviour/peer/PeerBehaviourScorer.java</w:t>
            </w:r>
          </w:p>
        </w:tc>
      </w:tr>
      <w:tr>
        <w:tc>
          <w:tcPr>
            <w:tcW w:type="dxa" w:w="3350"/>
            <w:shd w:fill="F8FAFC"/>
            <w:tcMar>
              <w:top w:w="80" w:type="dxa"/>
              <w:bottom w:w="80" w:type="dxa"/>
              <w:start w:w="120" w:type="dxa"/>
              <w:end w:w="120" w:type="dxa"/>
            </w:tcMar>
            <w:vAlign w:val="center"/>
          </w:tcPr>
          <w:p>
            <w:pPr>
              <w:spacing w:after="0" w:line="259" w:lineRule="auto"/>
            </w:pPr>
            <w:r>
              <w:rPr>
                <w:rFonts w:ascii="Calibri" w:hAnsi="Calibri"/>
                <w:color w:val="243B53"/>
                <w:sz w:val="16"/>
              </w:rPr>
              <w:t>Where are AML rules evaluated?</w:t>
            </w:r>
          </w:p>
        </w:tc>
        <w:tc>
          <w:tcPr>
            <w:tcW w:type="dxa" w:w="6010"/>
            <w:shd w:fill="F8FAFC"/>
            <w:tcMar>
              <w:top w:w="80" w:type="dxa"/>
              <w:bottom w:w="80" w:type="dxa"/>
              <w:start w:w="120" w:type="dxa"/>
              <w:end w:w="120" w:type="dxa"/>
            </w:tcMar>
            <w:vAlign w:val="center"/>
          </w:tcPr>
          <w:p>
            <w:pPr>
              <w:spacing w:after="0" w:line="259" w:lineRule="auto"/>
            </w:pPr>
            <w:r>
              <w:rPr>
                <w:rFonts w:ascii="Calibri" w:hAnsi="Calibri"/>
                <w:color w:val="243B53"/>
                <w:sz w:val="16"/>
              </w:rPr>
              <w:t>aml/rules/engine/DeterministicAmlRuleEngine.java</w:t>
            </w:r>
          </w:p>
        </w:tc>
      </w:tr>
      <w:tr>
        <w:tc>
          <w:tcPr>
            <w:tcW w:type="dxa" w:w="3350"/>
            <w:tcMar>
              <w:top w:w="80" w:type="dxa"/>
              <w:bottom w:w="80" w:type="dxa"/>
              <w:start w:w="120" w:type="dxa"/>
              <w:end w:w="120" w:type="dxa"/>
            </w:tcMar>
            <w:vAlign w:val="center"/>
          </w:tcPr>
          <w:p>
            <w:pPr>
              <w:spacing w:after="0" w:line="259" w:lineRule="auto"/>
            </w:pPr>
            <w:r>
              <w:rPr>
                <w:rFonts w:ascii="Calibri" w:hAnsi="Calibri"/>
                <w:color w:val="243B53"/>
                <w:sz w:val="16"/>
              </w:rPr>
              <w:t>Where is final score calculated?</w:t>
            </w:r>
          </w:p>
        </w:tc>
        <w:tc>
          <w:tcPr>
            <w:tcW w:type="dxa" w:w="6010"/>
            <w:tcMar>
              <w:top w:w="80" w:type="dxa"/>
              <w:bottom w:w="80" w:type="dxa"/>
              <w:start w:w="120" w:type="dxa"/>
              <w:end w:w="120" w:type="dxa"/>
            </w:tcMar>
            <w:vAlign w:val="center"/>
          </w:tcPr>
          <w:p>
            <w:pPr>
              <w:spacing w:after="0" w:line="259" w:lineRule="auto"/>
            </w:pPr>
            <w:r>
              <w:rPr>
                <w:rFonts w:ascii="Calibri" w:hAnsi="Calibri"/>
                <w:color w:val="243B53"/>
                <w:sz w:val="16"/>
              </w:rPr>
              <w:t>aml/risk/application/WeightedRiskAggregationEngine.java</w:t>
            </w:r>
          </w:p>
        </w:tc>
      </w:tr>
      <w:tr>
        <w:tc>
          <w:tcPr>
            <w:tcW w:type="dxa" w:w="3350"/>
            <w:shd w:fill="F8FAFC"/>
            <w:tcMar>
              <w:top w:w="80" w:type="dxa"/>
              <w:bottom w:w="80" w:type="dxa"/>
              <w:start w:w="120" w:type="dxa"/>
              <w:end w:w="120" w:type="dxa"/>
            </w:tcMar>
            <w:vAlign w:val="center"/>
          </w:tcPr>
          <w:p>
            <w:pPr>
              <w:spacing w:after="0" w:line="259" w:lineRule="auto"/>
            </w:pPr>
            <w:r>
              <w:rPr>
                <w:rFonts w:ascii="Calibri" w:hAnsi="Calibri"/>
                <w:color w:val="243B53"/>
                <w:sz w:val="16"/>
              </w:rPr>
              <w:t>Where is risk policy loaded?</w:t>
            </w:r>
          </w:p>
        </w:tc>
        <w:tc>
          <w:tcPr>
            <w:tcW w:type="dxa" w:w="6010"/>
            <w:shd w:fill="F8FAFC"/>
            <w:tcMar>
              <w:top w:w="80" w:type="dxa"/>
              <w:bottom w:w="80" w:type="dxa"/>
              <w:start w:w="120" w:type="dxa"/>
              <w:end w:w="120" w:type="dxa"/>
            </w:tcMar>
            <w:vAlign w:val="center"/>
          </w:tcPr>
          <w:p>
            <w:pPr>
              <w:spacing w:after="0" w:line="259" w:lineRule="auto"/>
            </w:pPr>
            <w:r>
              <w:rPr>
                <w:rFonts w:ascii="Calibri" w:hAnsi="Calibri"/>
                <w:color w:val="243B53"/>
                <w:sz w:val="16"/>
              </w:rPr>
              <w:t>aml/risk/infrastructure/AppConfigRiskPolicyRepository.java</w:t>
            </w:r>
          </w:p>
        </w:tc>
      </w:tr>
      <w:tr>
        <w:tc>
          <w:tcPr>
            <w:tcW w:type="dxa" w:w="3350"/>
            <w:tcMar>
              <w:top w:w="80" w:type="dxa"/>
              <w:bottom w:w="80" w:type="dxa"/>
              <w:start w:w="120" w:type="dxa"/>
              <w:end w:w="120" w:type="dxa"/>
            </w:tcMar>
            <w:vAlign w:val="center"/>
          </w:tcPr>
          <w:p>
            <w:pPr>
              <w:spacing w:after="0" w:line="259" w:lineRule="auto"/>
            </w:pPr>
            <w:r>
              <w:rPr>
                <w:rFonts w:ascii="Calibri" w:hAnsi="Calibri"/>
                <w:color w:val="243B53"/>
                <w:sz w:val="16"/>
              </w:rPr>
              <w:t>Where are labels changed?</w:t>
            </w:r>
          </w:p>
        </w:tc>
        <w:tc>
          <w:tcPr>
            <w:tcW w:type="dxa" w:w="6010"/>
            <w:tcMar>
              <w:top w:w="80" w:type="dxa"/>
              <w:bottom w:w="80" w:type="dxa"/>
              <w:start w:w="120" w:type="dxa"/>
              <w:end w:w="120" w:type="dxa"/>
            </w:tcMar>
            <w:vAlign w:val="center"/>
          </w:tcPr>
          <w:p>
            <w:pPr>
              <w:spacing w:after="0" w:line="259" w:lineRule="auto"/>
            </w:pPr>
            <w:r>
              <w:rPr>
                <w:rFonts w:ascii="Calibri" w:hAnsi="Calibri"/>
                <w:color w:val="243B53"/>
                <w:sz w:val="16"/>
              </w:rPr>
              <w:t>transactions/service/TransactionFraudLabelService.java</w:t>
            </w:r>
          </w:p>
        </w:tc>
      </w:tr>
      <w:tr>
        <w:tc>
          <w:tcPr>
            <w:tcW w:type="dxa" w:w="3350"/>
            <w:shd w:fill="F8FAFC"/>
            <w:tcMar>
              <w:top w:w="80" w:type="dxa"/>
              <w:bottom w:w="80" w:type="dxa"/>
              <w:start w:w="120" w:type="dxa"/>
              <w:end w:w="120" w:type="dxa"/>
            </w:tcMar>
            <w:vAlign w:val="center"/>
          </w:tcPr>
          <w:p>
            <w:pPr>
              <w:spacing w:after="0" w:line="259" w:lineRule="auto"/>
            </w:pPr>
            <w:r>
              <w:rPr>
                <w:rFonts w:ascii="Calibri" w:hAnsi="Calibri"/>
                <w:color w:val="243B53"/>
                <w:sz w:val="16"/>
              </w:rPr>
              <w:t>Where are cases and STR handled?</w:t>
            </w:r>
          </w:p>
        </w:tc>
        <w:tc>
          <w:tcPr>
            <w:tcW w:type="dxa" w:w="6010"/>
            <w:shd w:fill="F8FAFC"/>
            <w:tcMar>
              <w:top w:w="80" w:type="dxa"/>
              <w:bottom w:w="80" w:type="dxa"/>
              <w:start w:w="120" w:type="dxa"/>
              <w:end w:w="120" w:type="dxa"/>
            </w:tcMar>
            <w:vAlign w:val="center"/>
          </w:tcPr>
          <w:p>
            <w:pPr>
              <w:spacing w:after="0" w:line="259" w:lineRule="auto"/>
            </w:pPr>
            <w:r>
              <w:rPr>
                <w:rFonts w:ascii="Calibri" w:hAnsi="Calibri"/>
                <w:color w:val="243B53"/>
                <w:sz w:val="16"/>
              </w:rPr>
              <w:t>cases/service/CaseManagementService.java; cases/service/StrXmlService.java</w:t>
            </w:r>
          </w:p>
        </w:tc>
      </w:tr>
      <w:tr>
        <w:tc>
          <w:tcPr>
            <w:tcW w:type="dxa" w:w="3350"/>
            <w:tcMar>
              <w:top w:w="80" w:type="dxa"/>
              <w:bottom w:w="80" w:type="dxa"/>
              <w:start w:w="120" w:type="dxa"/>
              <w:end w:w="120" w:type="dxa"/>
            </w:tcMar>
            <w:vAlign w:val="center"/>
          </w:tcPr>
          <w:p>
            <w:pPr>
              <w:spacing w:after="0" w:line="259" w:lineRule="auto"/>
            </w:pPr>
            <w:r>
              <w:rPr>
                <w:rFonts w:ascii="Calibri" w:hAnsi="Calibri"/>
                <w:color w:val="243B53"/>
                <w:sz w:val="16"/>
              </w:rPr>
              <w:t>Where is the training pipeline?</w:t>
            </w:r>
          </w:p>
        </w:tc>
        <w:tc>
          <w:tcPr>
            <w:tcW w:type="dxa" w:w="6010"/>
            <w:tcMar>
              <w:top w:w="80" w:type="dxa"/>
              <w:bottom w:w="80" w:type="dxa"/>
              <w:start w:w="120" w:type="dxa"/>
              <w:end w:w="120" w:type="dxa"/>
            </w:tcMar>
            <w:vAlign w:val="center"/>
          </w:tcPr>
          <w:p>
            <w:pPr>
              <w:spacing w:after="0" w:line="259" w:lineRule="auto"/>
            </w:pPr>
            <w:r>
              <w:rPr>
                <w:rFonts w:ascii="Calibri" w:hAnsi="Calibri"/>
                <w:color w:val="243B53"/>
                <w:sz w:val="16"/>
              </w:rPr>
              <w:t>aml/training/application/TrainingPipelineJobLauncher.java</w:t>
            </w:r>
          </w:p>
        </w:tc>
      </w:tr>
      <w:tr>
        <w:tc>
          <w:tcPr>
            <w:tcW w:type="dxa" w:w="3350"/>
            <w:shd w:fill="F8FAFC"/>
            <w:tcMar>
              <w:top w:w="80" w:type="dxa"/>
              <w:bottom w:w="80" w:type="dxa"/>
              <w:start w:w="120" w:type="dxa"/>
              <w:end w:w="120" w:type="dxa"/>
            </w:tcMar>
            <w:vAlign w:val="center"/>
          </w:tcPr>
          <w:p>
            <w:pPr>
              <w:spacing w:after="0" w:line="259" w:lineRule="auto"/>
            </w:pPr>
            <w:r>
              <w:rPr>
                <w:rFonts w:ascii="Calibri" w:hAnsi="Calibri"/>
                <w:color w:val="243B53"/>
                <w:sz w:val="16"/>
              </w:rPr>
              <w:t>Where is Parquet exported?</w:t>
            </w:r>
          </w:p>
        </w:tc>
        <w:tc>
          <w:tcPr>
            <w:tcW w:type="dxa" w:w="6010"/>
            <w:shd w:fill="F8FAFC"/>
            <w:tcMar>
              <w:top w:w="80" w:type="dxa"/>
              <w:bottom w:w="80" w:type="dxa"/>
              <w:start w:w="120" w:type="dxa"/>
              <w:end w:w="120" w:type="dxa"/>
            </w:tcMar>
            <w:vAlign w:val="center"/>
          </w:tcPr>
          <w:p>
            <w:pPr>
              <w:spacing w:after="0" w:line="259" w:lineRule="auto"/>
            </w:pPr>
            <w:r>
              <w:rPr>
                <w:rFonts w:ascii="Calibri" w:hAnsi="Calibri"/>
                <w:color w:val="243B53"/>
                <w:sz w:val="16"/>
              </w:rPr>
              <w:t>aml/training/application/TrainingDatasetExportService.java</w:t>
            </w:r>
          </w:p>
        </w:tc>
      </w:tr>
      <w:tr>
        <w:tc>
          <w:tcPr>
            <w:tcW w:type="dxa" w:w="3350"/>
            <w:tcMar>
              <w:top w:w="80" w:type="dxa"/>
              <w:bottom w:w="80" w:type="dxa"/>
              <w:start w:w="120" w:type="dxa"/>
              <w:end w:w="120" w:type="dxa"/>
            </w:tcMar>
            <w:vAlign w:val="center"/>
          </w:tcPr>
          <w:p>
            <w:pPr>
              <w:spacing w:after="0" w:line="259" w:lineRule="auto"/>
            </w:pPr>
            <w:r>
              <w:rPr>
                <w:rFonts w:ascii="Calibri" w:hAnsi="Calibri"/>
                <w:color w:val="243B53"/>
                <w:sz w:val="16"/>
              </w:rPr>
              <w:t>Where are candidate models mapped?</w:t>
            </w:r>
          </w:p>
        </w:tc>
        <w:tc>
          <w:tcPr>
            <w:tcW w:type="dxa" w:w="6010"/>
            <w:tcMar>
              <w:top w:w="80" w:type="dxa"/>
              <w:bottom w:w="80" w:type="dxa"/>
              <w:start w:w="120" w:type="dxa"/>
              <w:end w:w="120" w:type="dxa"/>
            </w:tcMar>
            <w:vAlign w:val="center"/>
          </w:tcPr>
          <w:p>
            <w:pPr>
              <w:spacing w:after="0" w:line="259" w:lineRule="auto"/>
            </w:pPr>
            <w:r>
              <w:rPr>
                <w:rFonts w:ascii="Calibri" w:hAnsi="Calibri"/>
                <w:color w:val="243B53"/>
                <w:sz w:val="16"/>
              </w:rPr>
              <w:t>aml/training/application/ProductionCandidateTrainingService.java</w:t>
            </w:r>
          </w:p>
        </w:tc>
      </w:tr>
      <w:tr>
        <w:tc>
          <w:tcPr>
            <w:tcW w:type="dxa" w:w="3350"/>
            <w:shd w:fill="F8FAFC"/>
            <w:tcMar>
              <w:top w:w="80" w:type="dxa"/>
              <w:bottom w:w="80" w:type="dxa"/>
              <w:start w:w="120" w:type="dxa"/>
              <w:end w:w="120" w:type="dxa"/>
            </w:tcMar>
            <w:vAlign w:val="center"/>
          </w:tcPr>
          <w:p>
            <w:pPr>
              <w:spacing w:after="0" w:line="259" w:lineRule="auto"/>
            </w:pPr>
            <w:r>
              <w:rPr>
                <w:rFonts w:ascii="Calibri" w:hAnsi="Calibri"/>
                <w:color w:val="243B53"/>
                <w:sz w:val="16"/>
              </w:rPr>
              <w:t>Where is model lifecycle handled?</w:t>
            </w:r>
          </w:p>
        </w:tc>
        <w:tc>
          <w:tcPr>
            <w:tcW w:type="dxa" w:w="6010"/>
            <w:shd w:fill="F8FAFC"/>
            <w:tcMar>
              <w:top w:w="80" w:type="dxa"/>
              <w:bottom w:w="80" w:type="dxa"/>
              <w:start w:w="120" w:type="dxa"/>
              <w:end w:w="120" w:type="dxa"/>
            </w:tcMar>
            <w:vAlign w:val="center"/>
          </w:tcPr>
          <w:p>
            <w:pPr>
              <w:spacing w:after="0" w:line="259" w:lineRule="auto"/>
            </w:pPr>
            <w:r>
              <w:rPr>
                <w:rFonts w:ascii="Calibri" w:hAnsi="Calibri"/>
                <w:color w:val="243B53"/>
                <w:sz w:val="16"/>
              </w:rPr>
              <w:t>aml/training/application/AmlModelRegistryService.java; aml/deployment/application/ModelDeploymentService.java</w:t>
            </w:r>
          </w:p>
        </w:tc>
      </w:tr>
      <w:tr>
        <w:tc>
          <w:tcPr>
            <w:tcW w:type="dxa" w:w="3350"/>
            <w:tcMar>
              <w:top w:w="80" w:type="dxa"/>
              <w:bottom w:w="80" w:type="dxa"/>
              <w:start w:w="120" w:type="dxa"/>
              <w:end w:w="120" w:type="dxa"/>
            </w:tcMar>
            <w:vAlign w:val="center"/>
          </w:tcPr>
          <w:p>
            <w:pPr>
              <w:spacing w:after="0" w:line="259" w:lineRule="auto"/>
            </w:pPr>
            <w:r>
              <w:rPr>
                <w:rFonts w:ascii="Calibri" w:hAnsi="Calibri"/>
                <w:color w:val="243B53"/>
                <w:sz w:val="16"/>
              </w:rPr>
              <w:t>Where is unsupervised comparison?</w:t>
            </w:r>
          </w:p>
        </w:tc>
        <w:tc>
          <w:tcPr>
            <w:tcW w:type="dxa" w:w="6010"/>
            <w:tcMar>
              <w:top w:w="80" w:type="dxa"/>
              <w:bottom w:w="80" w:type="dxa"/>
              <w:start w:w="120" w:type="dxa"/>
              <w:end w:w="120" w:type="dxa"/>
            </w:tcMar>
            <w:vAlign w:val="center"/>
          </w:tcPr>
          <w:p>
            <w:pPr>
              <w:spacing w:after="0" w:line="259" w:lineRule="auto"/>
            </w:pPr>
            <w:r>
              <w:rPr>
                <w:rFonts w:ascii="Calibri" w:hAnsi="Calibri"/>
                <w:color w:val="243B53"/>
                <w:sz w:val="16"/>
              </w:rPr>
              <w:t>aml/research/application/GrowthAnalysisService.java; fraud-ml-service/app/research/growth_analysis.py</w:t>
            </w:r>
          </w:p>
        </w:tc>
      </w:tr>
      <w:tr>
        <w:tc>
          <w:tcPr>
            <w:tcW w:type="dxa" w:w="3350"/>
            <w:shd w:fill="F8FAFC"/>
            <w:tcMar>
              <w:top w:w="80" w:type="dxa"/>
              <w:bottom w:w="80" w:type="dxa"/>
              <w:start w:w="120" w:type="dxa"/>
              <w:end w:w="120" w:type="dxa"/>
            </w:tcMar>
            <w:vAlign w:val="center"/>
          </w:tcPr>
          <w:p>
            <w:pPr>
              <w:spacing w:after="0" w:line="259" w:lineRule="auto"/>
            </w:pPr>
            <w:r>
              <w:rPr>
                <w:rFonts w:ascii="Calibri" w:hAnsi="Calibri"/>
                <w:color w:val="243B53"/>
                <w:sz w:val="16"/>
              </w:rPr>
              <w:t>Where is supervised comparison?</w:t>
            </w:r>
          </w:p>
        </w:tc>
        <w:tc>
          <w:tcPr>
            <w:tcW w:type="dxa" w:w="6010"/>
            <w:shd w:fill="F8FAFC"/>
            <w:tcMar>
              <w:top w:w="80" w:type="dxa"/>
              <w:bottom w:w="80" w:type="dxa"/>
              <w:start w:w="120" w:type="dxa"/>
              <w:end w:w="120" w:type="dxa"/>
            </w:tcMar>
            <w:vAlign w:val="center"/>
          </w:tcPr>
          <w:p>
            <w:pPr>
              <w:spacing w:after="0" w:line="259" w:lineRule="auto"/>
            </w:pPr>
            <w:r>
              <w:rPr>
                <w:rFonts w:ascii="Calibri" w:hAnsi="Calibri"/>
                <w:color w:val="243B53"/>
                <w:sz w:val="16"/>
              </w:rPr>
              <w:t>aml/research/application/SupervisedGrowthStudyService.java; fraud-ml-service/app/research/supervised_growth_analysis.py</w:t>
            </w:r>
          </w:p>
        </w:tc>
      </w:tr>
      <w:tr>
        <w:tc>
          <w:tcPr>
            <w:tcW w:type="dxa" w:w="3350"/>
            <w:tcMar>
              <w:top w:w="80" w:type="dxa"/>
              <w:bottom w:w="80" w:type="dxa"/>
              <w:start w:w="120" w:type="dxa"/>
              <w:end w:w="120" w:type="dxa"/>
            </w:tcMar>
            <w:vAlign w:val="center"/>
          </w:tcPr>
          <w:p>
            <w:pPr>
              <w:spacing w:after="0" w:line="259" w:lineRule="auto"/>
            </w:pPr>
            <w:r>
              <w:rPr>
                <w:rFonts w:ascii="Calibri" w:hAnsi="Calibri"/>
                <w:color w:val="243B53"/>
                <w:sz w:val="16"/>
              </w:rPr>
              <w:t>Where is full policy backtested?</w:t>
            </w:r>
          </w:p>
        </w:tc>
        <w:tc>
          <w:tcPr>
            <w:tcW w:type="dxa" w:w="6010"/>
            <w:tcMar>
              <w:top w:w="80" w:type="dxa"/>
              <w:bottom w:w="80" w:type="dxa"/>
              <w:start w:w="120" w:type="dxa"/>
              <w:end w:w="120" w:type="dxa"/>
            </w:tcMar>
            <w:vAlign w:val="center"/>
          </w:tcPr>
          <w:p>
            <w:pPr>
              <w:spacing w:after="0" w:line="259" w:lineRule="auto"/>
            </w:pPr>
            <w:r>
              <w:rPr>
                <w:rFonts w:ascii="Calibri" w:hAnsi="Calibri"/>
                <w:color w:val="243B53"/>
                <w:sz w:val="16"/>
              </w:rPr>
              <w:t>fraud-ml-service/app/research/risk_policy_backtest.py</w:t>
            </w:r>
          </w:p>
        </w:tc>
      </w:tr>
      <w:tr>
        <w:tc>
          <w:tcPr>
            <w:tcW w:type="dxa" w:w="3350"/>
            <w:shd w:fill="F8FAFC"/>
            <w:tcMar>
              <w:top w:w="80" w:type="dxa"/>
              <w:bottom w:w="80" w:type="dxa"/>
              <w:start w:w="120" w:type="dxa"/>
              <w:end w:w="120" w:type="dxa"/>
            </w:tcMar>
            <w:vAlign w:val="center"/>
          </w:tcPr>
          <w:p>
            <w:pPr>
              <w:spacing w:after="0" w:line="259" w:lineRule="auto"/>
            </w:pPr>
            <w:r>
              <w:rPr>
                <w:rFonts w:ascii="Calibri" w:hAnsi="Calibri"/>
                <w:color w:val="243B53"/>
                <w:sz w:val="16"/>
              </w:rPr>
              <w:t>Where are models trained in Python?</w:t>
            </w:r>
          </w:p>
        </w:tc>
        <w:tc>
          <w:tcPr>
            <w:tcW w:type="dxa" w:w="6010"/>
            <w:shd w:fill="F8FAFC"/>
            <w:tcMar>
              <w:top w:w="80" w:type="dxa"/>
              <w:bottom w:w="80" w:type="dxa"/>
              <w:start w:w="120" w:type="dxa"/>
              <w:end w:w="120" w:type="dxa"/>
            </w:tcMar>
            <w:vAlign w:val="center"/>
          </w:tcPr>
          <w:p>
            <w:pPr>
              <w:spacing w:after="0" w:line="259" w:lineRule="auto"/>
            </w:pPr>
            <w:r>
              <w:rPr>
                <w:rFonts w:ascii="Calibri" w:hAnsi="Calibri"/>
                <w:color w:val="243B53"/>
                <w:sz w:val="16"/>
              </w:rPr>
              <w:t>fraud-ml-service/app/training.py; app/supervised_training.py</w:t>
            </w:r>
          </w:p>
        </w:tc>
      </w:tr>
      <w:tr>
        <w:tc>
          <w:tcPr>
            <w:tcW w:type="dxa" w:w="3350"/>
            <w:tcMar>
              <w:top w:w="80" w:type="dxa"/>
              <w:bottom w:w="80" w:type="dxa"/>
              <w:start w:w="120" w:type="dxa"/>
              <w:end w:w="120" w:type="dxa"/>
            </w:tcMar>
            <w:vAlign w:val="center"/>
          </w:tcPr>
          <w:p>
            <w:pPr>
              <w:spacing w:after="0" w:line="259" w:lineRule="auto"/>
            </w:pPr>
            <w:r>
              <w:rPr>
                <w:rFonts w:ascii="Calibri" w:hAnsi="Calibri"/>
                <w:color w:val="243B53"/>
                <w:sz w:val="16"/>
              </w:rPr>
              <w:t>Where are Python endpoints?</w:t>
            </w:r>
          </w:p>
        </w:tc>
        <w:tc>
          <w:tcPr>
            <w:tcW w:type="dxa" w:w="6010"/>
            <w:tcMar>
              <w:top w:w="80" w:type="dxa"/>
              <w:bottom w:w="80" w:type="dxa"/>
              <w:start w:w="120" w:type="dxa"/>
              <w:end w:w="120" w:type="dxa"/>
            </w:tcMar>
            <w:vAlign w:val="center"/>
          </w:tcPr>
          <w:p>
            <w:pPr>
              <w:spacing w:after="0" w:line="259" w:lineRule="auto"/>
            </w:pPr>
            <w:r>
              <w:rPr>
                <w:rFonts w:ascii="Calibri" w:hAnsi="Calibri"/>
                <w:color w:val="243B53"/>
                <w:sz w:val="16"/>
              </w:rPr>
              <w:t>fraud-ml-service/app/main.py</w:t>
            </w:r>
          </w:p>
        </w:tc>
      </w:tr>
      <w:tr>
        <w:tc>
          <w:tcPr>
            <w:tcW w:type="dxa" w:w="3350"/>
            <w:shd w:fill="F8FAFC"/>
            <w:tcMar>
              <w:top w:w="80" w:type="dxa"/>
              <w:bottom w:w="80" w:type="dxa"/>
              <w:start w:w="120" w:type="dxa"/>
              <w:end w:w="120" w:type="dxa"/>
            </w:tcMar>
            <w:vAlign w:val="center"/>
          </w:tcPr>
          <w:p>
            <w:pPr>
              <w:spacing w:after="0" w:line="259" w:lineRule="auto"/>
            </w:pPr>
            <w:r>
              <w:rPr>
                <w:rFonts w:ascii="Calibri" w:hAnsi="Calibri"/>
                <w:color w:val="243B53"/>
                <w:sz w:val="16"/>
              </w:rPr>
              <w:t>Where are Angular routes?</w:t>
            </w:r>
          </w:p>
        </w:tc>
        <w:tc>
          <w:tcPr>
            <w:tcW w:type="dxa" w:w="6010"/>
            <w:shd w:fill="F8FAFC"/>
            <w:tcMar>
              <w:top w:w="80" w:type="dxa"/>
              <w:bottom w:w="80" w:type="dxa"/>
              <w:start w:w="120" w:type="dxa"/>
              <w:end w:w="120" w:type="dxa"/>
            </w:tcMar>
            <w:vAlign w:val="center"/>
          </w:tcPr>
          <w:p>
            <w:pPr>
              <w:spacing w:after="0" w:line="259" w:lineRule="auto"/>
            </w:pPr>
            <w:r>
              <w:rPr>
                <w:rFonts w:ascii="Calibri" w:hAnsi="Calibri"/>
                <w:color w:val="243B53"/>
                <w:sz w:val="16"/>
              </w:rPr>
              <w:t>fraud-transaction-ui/src/app/app.routes.ts</w:t>
            </w:r>
          </w:p>
        </w:tc>
      </w:tr>
      <w:tr>
        <w:tc>
          <w:tcPr>
            <w:tcW w:type="dxa" w:w="3350"/>
            <w:tcMar>
              <w:top w:w="80" w:type="dxa"/>
              <w:bottom w:w="80" w:type="dxa"/>
              <w:start w:w="120" w:type="dxa"/>
              <w:end w:w="120" w:type="dxa"/>
            </w:tcMar>
            <w:vAlign w:val="center"/>
          </w:tcPr>
          <w:p>
            <w:pPr>
              <w:spacing w:after="0" w:line="259" w:lineRule="auto"/>
            </w:pPr>
            <w:r>
              <w:rPr>
                <w:rFonts w:ascii="Calibri" w:hAnsi="Calibri"/>
                <w:color w:val="243B53"/>
                <w:sz w:val="16"/>
              </w:rPr>
              <w:t>Where are Angular API calls/types?</w:t>
            </w:r>
          </w:p>
        </w:tc>
        <w:tc>
          <w:tcPr>
            <w:tcW w:type="dxa" w:w="6010"/>
            <w:tcMar>
              <w:top w:w="80" w:type="dxa"/>
              <w:bottom w:w="80" w:type="dxa"/>
              <w:start w:w="120" w:type="dxa"/>
              <w:end w:w="120" w:type="dxa"/>
            </w:tcMar>
            <w:vAlign w:val="center"/>
          </w:tcPr>
          <w:p>
            <w:pPr>
              <w:spacing w:after="0" w:line="259" w:lineRule="auto"/>
            </w:pPr>
            <w:r>
              <w:rPr>
                <w:rFonts w:ascii="Calibri" w:hAnsi="Calibri"/>
                <w:color w:val="243B53"/>
                <w:sz w:val="16"/>
              </w:rPr>
              <w:t>fraud-transaction-ui/src/app/core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9F7EF"/>
            <w:tcMar>
              <w:top w:w="80" w:type="dxa"/>
              <w:bottom w:w="80" w:type="dxa"/>
              <w:start w:w="120" w:type="dxa"/>
              <w:end w:w="120" w:type="dxa"/>
            </w:tcMar>
            <w:vAlign w:val="center"/>
          </w:tcPr>
          <w:p>
            <w:pPr>
              <w:spacing w:after="0"/>
            </w:pPr>
            <w:r>
              <w:rPr>
                <w:rFonts w:ascii="Calibri" w:hAnsi="Calibri"/>
                <w:b/>
                <w:color w:val="1B7F5A"/>
              </w:rPr>
              <w:t xml:space="preserve">Final defense rule: </w:t>
            </w:r>
            <w:r>
              <w:rPr>
                <w:rFonts w:ascii="Calibri" w:hAnsi="Calibri"/>
                <w:color w:val="243B53"/>
              </w:rPr>
              <w:t>If you are unsure, state what the current code proves, distinguish prototype behavior from production assurance, and avoid promising accuracy or scale that has not been measured on real bank data.</w:t>
            </w:r>
          </w:p>
        </w:tc>
      </w:tr>
    </w:tbl>
    <w:p>
      <w:pPr>
        <w:spacing w:after="0"/>
      </w:pPr>
    </w:p>
    <w:sectPr w:rsidR="00FC693F" w:rsidRPr="0006063C" w:rsidSect="00034616">
      <w:headerReference w:type="default" r:id="rId9"/>
      <w:footerReference w:type="default" r:id="rId10"/>
      <w:pgSz w:w="12240" w:h="15840"/>
      <w:pgMar w:top="1440" w:right="1440" w:bottom="1440"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27D98"/>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627D98"/>
        <w:sz w:val="16"/>
      </w:rPr>
      <w:t>FRAUD TRANSACTION DETECTOR  |  DEFENSE CODE &amp; BUSINESS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1"/>
      </w:pPr>
    </w:lvl>
  </w:abstractNum>
  <w:abstractNum w:abstractNumId="10">
    <w:multiLevelType w:val="singleLevel"/>
    <w:lvl w:ilvl="0">
      <w:start w:val="1"/>
      <w:numFmt w:val="decimal"/>
      <w:lvlText w:val="%1."/>
      <w:lvlJc w:val="left"/>
      <w:pPr>
        <w:tabs>
          <w:tab w:val="num" w:pos="540"/>
        </w:tabs>
        <w:ind w:left="540" w:hanging="271"/>
      </w:pPr>
    </w:lvl>
  </w:abstractNum>
  <w:abstractNum w:abstractNumId="11">
    <w:multiLevelType w:val="singleLevel"/>
    <w:lvl w:ilvl="0">
      <w:start w:val="1"/>
      <w:numFmt w:val="decimal"/>
      <w:lvlText w:val="%1."/>
      <w:lvlJc w:val="left"/>
      <w:pPr>
        <w:tabs>
          <w:tab w:val="num" w:pos="540"/>
        </w:tabs>
        <w:ind w:left="540" w:hanging="271"/>
      </w:pPr>
    </w:lvl>
  </w:abstractNum>
  <w:abstractNum w:abstractNumId="12">
    <w:multiLevelType w:val="singleLevel"/>
    <w:lvl w:ilvl="0">
      <w:start w:val="1"/>
      <w:numFmt w:val="decimal"/>
      <w:lvlText w:val="%1."/>
      <w:lvlJc w:val="left"/>
      <w:pPr>
        <w:tabs>
          <w:tab w:val="num" w:pos="540"/>
        </w:tabs>
        <w:ind w:left="540" w:hanging="271"/>
      </w:pPr>
    </w:lvl>
  </w:abstractNum>
  <w:abstractNum w:abstractNumId="13">
    <w:multiLevelType w:val="singleLevel"/>
    <w:lvl w:ilvl="0">
      <w:start w:val="1"/>
      <w:numFmt w:val="decimal"/>
      <w:lvlText w:val="%1."/>
      <w:lvlJc w:val="left"/>
      <w:pPr>
        <w:tabs>
          <w:tab w:val="num" w:pos="540"/>
        </w:tabs>
        <w:ind w:left="540" w:hanging="271"/>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B5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th">
    <w:name w:val="CodePath"/>
    <w:pPr>
      <w:spacing w:after="80" w:line="252" w:lineRule="auto"/>
    </w:pPr>
    <w:rPr>
      <w:rFonts w:ascii="Consolas" w:hAnsi="Consolas"/>
      <w:color w:val="1F4D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Transaction Detector - Defense Code and Business Guide</dc:title>
  <dc:subject>Authentication, authorization, business logic, ML, database, APIs, operations, and defense preparation</dc:subject>
  <dc:creator>Fraud Transaction Detector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