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120"/>
      </w:pPr>
      <w:r>
        <w:rPr>
          <w:b/>
          <w:color w:val="2563EB"/>
          <w:sz w:val="20"/>
        </w:rPr>
        <w:t>ANOMALY MODEL COMPARISON</w:t>
      </w:r>
    </w:p>
    <w:p>
      <w:pPr>
        <w:spacing w:after="160"/>
      </w:pPr>
      <w:r>
        <w:rPr>
          <w:rFonts w:ascii="Calibri" w:hAnsi="Calibri"/>
          <w:b/>
          <w:color w:val="17324D"/>
          <w:sz w:val="50"/>
        </w:rPr>
        <w:t>How the Models and Report Metrics Are Measured</w:t>
      </w:r>
    </w:p>
    <w:p>
      <w:pPr>
        <w:spacing w:after="360"/>
      </w:pPr>
      <w:r>
        <w:rPr>
          <w:color w:val="667085"/>
          <w:sz w:val="25"/>
        </w:rPr>
        <w:t>A professor-ready explanation of native anomaly scores, proxy quality, resampling stability, data-growth behavior, fit score, and assessment labels</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FFF5D6"/>
          </w:tcPr>
          <w:p>
            <w:pPr>
              <w:spacing w:after="0"/>
            </w:pPr>
            <w:r>
              <w:rPr>
                <w:b/>
                <w:color w:val="8A5A00"/>
              </w:rPr>
              <w:t xml:space="preserve">Central claim: </w:t>
            </w:r>
            <w:r>
              <w:t>Because the current dataset has no confirmed fraud labels, this system does not report real fraud accuracy, precision, recall, or F1. It reports label-free model-selection indicators that measure separation on controlled synthetic challenges, prediction consistency, and behavior as data grows.</w:t>
            </w:r>
          </w:p>
        </w:tc>
      </w:tr>
    </w:tbl>
    <w:p>
      <w:pPr>
        <w:spacing w:after="0"/>
      </w:pPr>
    </w:p>
    <w:p>
      <w:pPr>
        <w:pStyle w:val="Heading1"/>
      </w:pPr>
      <w:r>
        <w:t>1. The Three Measurement Layers</w:t>
      </w:r>
    </w:p>
    <w:p>
      <w:pPr>
        <w:spacing w:after="100"/>
      </w:pPr>
      <w:r>
        <w:rPr>
          <w:b/>
          <w:color w:val="17324D"/>
        </w:rPr>
        <w:t xml:space="preserve">Layer 1 - Native model score. </w:t>
      </w:r>
      <w:r>
        <w:t>Each algorithm produces its own score with its own meaning. These raw values are useful within one trained model, but their magnitudes must not be directly compared across different algorithms.</w:t>
      </w:r>
    </w:p>
    <w:p>
      <w:pPr>
        <w:spacing w:after="100"/>
      </w:pPr>
      <w:r>
        <w:rPr>
          <w:b/>
          <w:color w:val="17324D"/>
        </w:rPr>
        <w:t xml:space="preserve">Layer 2 - Common proxy evaluation. </w:t>
      </w:r>
      <w:r>
        <w:t>Every candidate model is tested on the same chronological validation rows and the same generated anomaly challenges. ROC AUC, average precision, anomaly-rate control, and bootstrap agreement convert the different models into common 0-100 indicators.</w:t>
      </w:r>
    </w:p>
    <w:p>
      <w:pPr>
        <w:spacing w:after="100"/>
      </w:pPr>
      <w:r>
        <w:rPr>
          <w:b/>
          <w:color w:val="17324D"/>
        </w:rPr>
        <w:t xml:space="preserve">Layer 3 - Data-growth comparison. </w:t>
      </w:r>
      <w:r>
        <w:t>The same process is repeated on the oldest 10%, 25%, 50%, and 100% of transactions. The UI averages the common indicators and measures how quality changes from 10% to 100%.</w:t>
      </w:r>
    </w:p>
    <w:p>
      <w:pPr>
        <w:pStyle w:val="Heading1"/>
      </w:pPr>
      <w:r>
        <w:t>2. Native Measurement Unit of Each Model</w:t>
      </w:r>
    </w:p>
    <w:p>
      <w:pPr>
        <w:spacing w:after="160"/>
      </w:pPr>
      <w:r>
        <w:t>All input features are standardized before fitting. Numeric variables are therefore expressed as z-scores, while one-hot categorical indicators are transformed by the same scaler. Except for PCA's reconstruction error, the native decision values are dimensionless, model-specific scores.</w:t>
      </w:r>
    </w:p>
    <w:tbl>
      <w:tblPr>
        <w:tblStyle w:val="TableGrid"/>
        <w:tblW w:type="dxa" w:w="9360"/>
        <w:jc w:val="center"/>
        <w:tblLayout w:type="fixed"/>
        <w:tblLook w:firstColumn="1" w:firstRow="1" w:lastColumn="0" w:lastRow="0" w:noHBand="0" w:noVBand="1" w:val="04A0"/>
        <w:tblInd w:w="120" w:type="dxa"/>
      </w:tblPr>
      <w:tblGrid>
        <w:gridCol w:w="1600"/>
        <w:gridCol w:w="2900"/>
        <w:gridCol w:w="2200"/>
        <w:gridCol w:w="2660"/>
      </w:tblGrid>
      <w:tr>
        <w:trPr>
          <w:tblHeader w:val="true"/>
          <w:tblHeader w:val="true"/>
        </w:trPr>
        <w:tc>
          <w:tcPr>
            <w:tcW w:type="dxa" w:w="1600"/>
            <w:vAlign w:val="center"/>
            <w:tcMar>
              <w:top w:w="100" w:type="dxa"/>
              <w:start w:w="120" w:type="dxa"/>
              <w:bottom w:w="100" w:type="dxa"/>
              <w:end w:w="120" w:type="dxa"/>
            </w:tcMar>
            <w:shd w:fill="17324D"/>
          </w:tcPr>
          <w:p>
            <w:pPr>
              <w:spacing w:after="0"/>
            </w:pPr>
            <w:r>
              <w:rPr>
                <w:rFonts w:ascii="Calibri" w:hAnsi="Calibri"/>
                <w:b/>
                <w:color w:val="FFFFFF"/>
                <w:sz w:val="19"/>
              </w:rPr>
              <w:t>Model</w:t>
            </w:r>
          </w:p>
        </w:tc>
        <w:tc>
          <w:tcPr>
            <w:tcW w:type="dxa" w:w="2900"/>
            <w:vAlign w:val="center"/>
            <w:tcMar>
              <w:top w:w="100" w:type="dxa"/>
              <w:start w:w="120" w:type="dxa"/>
              <w:bottom w:w="100" w:type="dxa"/>
              <w:end w:w="120" w:type="dxa"/>
            </w:tcMar>
            <w:shd w:fill="17324D"/>
          </w:tcPr>
          <w:p>
            <w:pPr>
              <w:spacing w:after="0"/>
            </w:pPr>
            <w:r>
              <w:rPr>
                <w:rFonts w:ascii="Calibri" w:hAnsi="Calibri"/>
                <w:b/>
                <w:color w:val="FFFFFF"/>
                <w:sz w:val="19"/>
              </w:rPr>
              <w:t>What it measures</w:t>
            </w:r>
          </w:p>
        </w:tc>
        <w:tc>
          <w:tcPr>
            <w:tcW w:type="dxa" w:w="2200"/>
            <w:vAlign w:val="center"/>
            <w:tcMar>
              <w:top w:w="100" w:type="dxa"/>
              <w:start w:w="120" w:type="dxa"/>
              <w:bottom w:w="100" w:type="dxa"/>
              <w:end w:w="120" w:type="dxa"/>
            </w:tcMar>
            <w:shd w:fill="17324D"/>
          </w:tcPr>
          <w:p>
            <w:pPr>
              <w:spacing w:after="0"/>
            </w:pPr>
            <w:r>
              <w:rPr>
                <w:rFonts w:ascii="Calibri" w:hAnsi="Calibri"/>
                <w:b/>
                <w:color w:val="FFFFFF"/>
                <w:sz w:val="19"/>
              </w:rPr>
              <w:t>Native output used</w:t>
            </w:r>
          </w:p>
        </w:tc>
        <w:tc>
          <w:tcPr>
            <w:tcW w:type="dxa" w:w="2660"/>
            <w:vAlign w:val="center"/>
            <w:tcMar>
              <w:top w:w="100" w:type="dxa"/>
              <w:start w:w="120" w:type="dxa"/>
              <w:bottom w:w="100" w:type="dxa"/>
              <w:end w:w="120" w:type="dxa"/>
            </w:tcMar>
            <w:shd w:fill="17324D"/>
          </w:tcPr>
          <w:p>
            <w:pPr>
              <w:spacing w:after="0"/>
            </w:pPr>
            <w:r>
              <w:rPr>
                <w:rFonts w:ascii="Calibri" w:hAnsi="Calibri"/>
                <w:b/>
                <w:color w:val="FFFFFF"/>
                <w:sz w:val="19"/>
              </w:rPr>
              <w:t>How to read it</w:t>
            </w:r>
          </w:p>
        </w:tc>
      </w:tr>
      <w:tr>
        <w:tc>
          <w:tcPr>
            <w:tcW w:type="dxa" w:w="1600"/>
            <w:vAlign w:val="center"/>
            <w:tcMar>
              <w:top w:w="100" w:type="dxa"/>
              <w:start w:w="120" w:type="dxa"/>
              <w:bottom w:w="100" w:type="dxa"/>
              <w:end w:w="120" w:type="dxa"/>
            </w:tcMar>
          </w:tcPr>
          <w:p>
            <w:pPr>
              <w:spacing w:after="20" w:line="252" w:lineRule="auto"/>
            </w:pPr>
            <w:r>
              <w:rPr>
                <w:rFonts w:ascii="Calibri" w:hAnsi="Calibri"/>
                <w:color w:val="111827"/>
                <w:sz w:val="18"/>
              </w:rPr>
              <w:t>Isolation Forest</w:t>
            </w:r>
          </w:p>
        </w:tc>
        <w:tc>
          <w:tcPr>
            <w:tcW w:type="dxa" w:w="2900"/>
            <w:vAlign w:val="center"/>
            <w:tcMar>
              <w:top w:w="100" w:type="dxa"/>
              <w:start w:w="120" w:type="dxa"/>
              <w:bottom w:w="100" w:type="dxa"/>
              <w:end w:w="120" w:type="dxa"/>
            </w:tcMar>
          </w:tcPr>
          <w:p>
            <w:pPr>
              <w:spacing w:after="20" w:line="252" w:lineRule="auto"/>
            </w:pPr>
            <w:r>
              <w:rPr>
                <w:rFonts w:ascii="Calibri" w:hAnsi="Calibri"/>
                <w:color w:val="111827"/>
                <w:sz w:val="18"/>
              </w:rPr>
              <w:t>How quickly random trees isolate a transaction. Shorter paths imply unusualness.</w:t>
            </w:r>
          </w:p>
        </w:tc>
        <w:tc>
          <w:tcPr>
            <w:tcW w:type="dxa" w:w="2200"/>
            <w:vAlign w:val="center"/>
            <w:tcMar>
              <w:top w:w="100" w:type="dxa"/>
              <w:start w:w="120" w:type="dxa"/>
              <w:bottom w:w="100" w:type="dxa"/>
              <w:end w:w="120" w:type="dxa"/>
            </w:tcMar>
          </w:tcPr>
          <w:p>
            <w:pPr>
              <w:spacing w:after="20" w:line="252" w:lineRule="auto"/>
            </w:pPr>
            <w:r>
              <w:rPr>
                <w:rFonts w:ascii="Calibri" w:hAnsi="Calibri"/>
                <w:color w:val="111827"/>
                <w:sz w:val="18"/>
              </w:rPr>
              <w:t>decision_function; dimensionless path-based score</w:t>
            </w:r>
          </w:p>
        </w:tc>
        <w:tc>
          <w:tcPr>
            <w:tcW w:type="dxa" w:w="2660"/>
            <w:vAlign w:val="center"/>
            <w:tcMar>
              <w:top w:w="100" w:type="dxa"/>
              <w:start w:w="120" w:type="dxa"/>
              <w:bottom w:w="100" w:type="dxa"/>
              <w:end w:w="120" w:type="dxa"/>
            </w:tcMar>
          </w:tcPr>
          <w:p>
            <w:pPr>
              <w:spacing w:after="20" w:line="252" w:lineRule="auto"/>
            </w:pPr>
            <w:r>
              <w:rPr>
                <w:rFonts w:ascii="Calibri" w:hAnsi="Calibri"/>
                <w:color w:val="111827"/>
                <w:sz w:val="18"/>
              </w:rPr>
              <w:t>Below 0 = anomaly; above 0 = inlier. Larger positive values are more normal.</w:t>
            </w:r>
          </w:p>
        </w:tc>
      </w:tr>
      <w:tr>
        <w:tc>
          <w:tcPr>
            <w:tcW w:type="dxa" w:w="1600"/>
            <w:vAlign w:val="center"/>
            <w:tcMar>
              <w:top w:w="100" w:type="dxa"/>
              <w:start w:w="120" w:type="dxa"/>
              <w:bottom w:w="100" w:type="dxa"/>
              <w:end w:w="120" w:type="dxa"/>
            </w:tcMar>
          </w:tcPr>
          <w:p>
            <w:pPr>
              <w:spacing w:after="20" w:line="252" w:lineRule="auto"/>
            </w:pPr>
            <w:r>
              <w:rPr>
                <w:rFonts w:ascii="Calibri" w:hAnsi="Calibri"/>
                <w:color w:val="111827"/>
                <w:sz w:val="18"/>
              </w:rPr>
              <w:t>Local Outlier Factor (LOF)</w:t>
            </w:r>
          </w:p>
        </w:tc>
        <w:tc>
          <w:tcPr>
            <w:tcW w:type="dxa" w:w="2900"/>
            <w:vAlign w:val="center"/>
            <w:tcMar>
              <w:top w:w="100" w:type="dxa"/>
              <w:start w:w="120" w:type="dxa"/>
              <w:bottom w:w="100" w:type="dxa"/>
              <w:end w:w="120" w:type="dxa"/>
            </w:tcMar>
          </w:tcPr>
          <w:p>
            <w:pPr>
              <w:spacing w:after="20" w:line="252" w:lineRule="auto"/>
            </w:pPr>
            <w:r>
              <w:rPr>
                <w:rFonts w:ascii="Calibri" w:hAnsi="Calibri"/>
                <w:color w:val="111827"/>
                <w:sz w:val="18"/>
              </w:rPr>
              <w:t>Local density relative to nearby transactions.</w:t>
            </w:r>
          </w:p>
        </w:tc>
        <w:tc>
          <w:tcPr>
            <w:tcW w:type="dxa" w:w="2200"/>
            <w:vAlign w:val="center"/>
            <w:tcMar>
              <w:top w:w="100" w:type="dxa"/>
              <w:start w:w="120" w:type="dxa"/>
              <w:bottom w:w="100" w:type="dxa"/>
              <w:end w:w="120" w:type="dxa"/>
            </w:tcMar>
          </w:tcPr>
          <w:p>
            <w:pPr>
              <w:spacing w:after="20" w:line="252" w:lineRule="auto"/>
            </w:pPr>
            <w:r>
              <w:rPr>
                <w:rFonts w:ascii="Calibri" w:hAnsi="Calibri"/>
                <w:color w:val="111827"/>
                <w:sz w:val="18"/>
              </w:rPr>
              <w:t>decision_function; shifted local-density score</w:t>
            </w:r>
          </w:p>
        </w:tc>
        <w:tc>
          <w:tcPr>
            <w:tcW w:type="dxa" w:w="2660"/>
            <w:vAlign w:val="center"/>
            <w:tcMar>
              <w:top w:w="100" w:type="dxa"/>
              <w:start w:w="120" w:type="dxa"/>
              <w:bottom w:w="100" w:type="dxa"/>
              <w:end w:w="120" w:type="dxa"/>
            </w:tcMar>
          </w:tcPr>
          <w:p>
            <w:pPr>
              <w:spacing w:after="20" w:line="252" w:lineRule="auto"/>
            </w:pPr>
            <w:r>
              <w:rPr>
                <w:rFonts w:ascii="Calibri" w:hAnsi="Calibri"/>
                <w:color w:val="111827"/>
                <w:sz w:val="18"/>
              </w:rPr>
              <w:t>Below 0 = anomaly. The underlying LOF factor is near 1 for typical local density and larger for outliers.</w:t>
            </w:r>
          </w:p>
        </w:tc>
      </w:tr>
      <w:tr>
        <w:tc>
          <w:tcPr>
            <w:tcW w:type="dxa" w:w="1600"/>
            <w:vAlign w:val="center"/>
            <w:tcMar>
              <w:top w:w="100" w:type="dxa"/>
              <w:start w:w="120" w:type="dxa"/>
              <w:bottom w:w="100" w:type="dxa"/>
              <w:end w:w="120" w:type="dxa"/>
            </w:tcMar>
          </w:tcPr>
          <w:p>
            <w:pPr>
              <w:spacing w:after="20" w:line="252" w:lineRule="auto"/>
            </w:pPr>
            <w:r>
              <w:rPr>
                <w:rFonts w:ascii="Calibri" w:hAnsi="Calibri"/>
                <w:color w:val="111827"/>
                <w:sz w:val="18"/>
              </w:rPr>
              <w:t>One-Class SVM</w:t>
            </w:r>
          </w:p>
        </w:tc>
        <w:tc>
          <w:tcPr>
            <w:tcW w:type="dxa" w:w="2900"/>
            <w:vAlign w:val="center"/>
            <w:tcMar>
              <w:top w:w="100" w:type="dxa"/>
              <w:start w:w="120" w:type="dxa"/>
              <w:bottom w:w="100" w:type="dxa"/>
              <w:end w:w="120" w:type="dxa"/>
            </w:tcMar>
          </w:tcPr>
          <w:p>
            <w:pPr>
              <w:spacing w:after="20" w:line="252" w:lineRule="auto"/>
            </w:pPr>
            <w:r>
              <w:rPr>
                <w:rFonts w:ascii="Calibri" w:hAnsi="Calibri"/>
                <w:color w:val="111827"/>
                <w:sz w:val="18"/>
              </w:rPr>
              <w:t>Position relative to a learned boundary around normal data in kernel space.</w:t>
            </w:r>
          </w:p>
        </w:tc>
        <w:tc>
          <w:tcPr>
            <w:tcW w:type="dxa" w:w="2200"/>
            <w:vAlign w:val="center"/>
            <w:tcMar>
              <w:top w:w="100" w:type="dxa"/>
              <w:start w:w="120" w:type="dxa"/>
              <w:bottom w:w="100" w:type="dxa"/>
              <w:end w:w="120" w:type="dxa"/>
            </w:tcMar>
          </w:tcPr>
          <w:p>
            <w:pPr>
              <w:spacing w:after="20" w:line="252" w:lineRule="auto"/>
            </w:pPr>
            <w:r>
              <w:rPr>
                <w:rFonts w:ascii="Calibri" w:hAnsi="Calibri"/>
                <w:color w:val="111827"/>
                <w:sz w:val="18"/>
              </w:rPr>
              <w:t>decision_function; signed boundary value</w:t>
            </w:r>
          </w:p>
        </w:tc>
        <w:tc>
          <w:tcPr>
            <w:tcW w:type="dxa" w:w="2660"/>
            <w:vAlign w:val="center"/>
            <w:tcMar>
              <w:top w:w="100" w:type="dxa"/>
              <w:start w:w="120" w:type="dxa"/>
              <w:bottom w:w="100" w:type="dxa"/>
              <w:end w:w="120" w:type="dxa"/>
            </w:tcMar>
          </w:tcPr>
          <w:p>
            <w:pPr>
              <w:spacing w:after="20" w:line="252" w:lineRule="auto"/>
            </w:pPr>
            <w:r>
              <w:rPr>
                <w:rFonts w:ascii="Calibri" w:hAnsi="Calibri"/>
                <w:color w:val="111827"/>
                <w:sz w:val="18"/>
              </w:rPr>
              <w:t>Below 0 = anomaly; above 0 = inlier. Magnitude is not a probability.</w:t>
            </w:r>
          </w:p>
        </w:tc>
      </w:tr>
      <w:tr>
        <w:tc>
          <w:tcPr>
            <w:tcW w:type="dxa" w:w="1600"/>
            <w:vAlign w:val="center"/>
            <w:tcMar>
              <w:top w:w="100" w:type="dxa"/>
              <w:start w:w="120" w:type="dxa"/>
              <w:bottom w:w="100" w:type="dxa"/>
              <w:end w:w="120" w:type="dxa"/>
            </w:tcMar>
          </w:tcPr>
          <w:p>
            <w:pPr>
              <w:spacing w:after="20" w:line="252" w:lineRule="auto"/>
            </w:pPr>
            <w:r>
              <w:rPr>
                <w:rFonts w:ascii="Calibri" w:hAnsi="Calibri"/>
                <w:color w:val="111827"/>
                <w:sz w:val="18"/>
              </w:rPr>
              <w:t>Elliptic Envelope</w:t>
            </w:r>
          </w:p>
        </w:tc>
        <w:tc>
          <w:tcPr>
            <w:tcW w:type="dxa" w:w="2900"/>
            <w:vAlign w:val="center"/>
            <w:tcMar>
              <w:top w:w="100" w:type="dxa"/>
              <w:start w:w="120" w:type="dxa"/>
              <w:bottom w:w="100" w:type="dxa"/>
              <w:end w:w="120" w:type="dxa"/>
            </w:tcMar>
          </w:tcPr>
          <w:p>
            <w:pPr>
              <w:spacing w:after="20" w:line="252" w:lineRule="auto"/>
            </w:pPr>
            <w:r>
              <w:rPr>
                <w:rFonts w:ascii="Calibri" w:hAnsi="Calibri"/>
                <w:color w:val="111827"/>
                <w:sz w:val="18"/>
              </w:rPr>
              <w:t>Robust covariance distance from an assumed elliptical normal-data region.</w:t>
            </w:r>
          </w:p>
        </w:tc>
        <w:tc>
          <w:tcPr>
            <w:tcW w:type="dxa" w:w="2200"/>
            <w:vAlign w:val="center"/>
            <w:tcMar>
              <w:top w:w="100" w:type="dxa"/>
              <w:start w:w="120" w:type="dxa"/>
              <w:bottom w:w="100" w:type="dxa"/>
              <w:end w:w="120" w:type="dxa"/>
            </w:tcMar>
          </w:tcPr>
          <w:p>
            <w:pPr>
              <w:spacing w:after="20" w:line="252" w:lineRule="auto"/>
            </w:pPr>
            <w:r>
              <w:rPr>
                <w:rFonts w:ascii="Calibri" w:hAnsi="Calibri"/>
                <w:color w:val="111827"/>
                <w:sz w:val="18"/>
              </w:rPr>
              <w:t>decision_function; shifted robust distance score</w:t>
            </w:r>
          </w:p>
        </w:tc>
        <w:tc>
          <w:tcPr>
            <w:tcW w:type="dxa" w:w="2660"/>
            <w:vAlign w:val="center"/>
            <w:tcMar>
              <w:top w:w="100" w:type="dxa"/>
              <w:start w:w="120" w:type="dxa"/>
              <w:bottom w:w="100" w:type="dxa"/>
              <w:end w:w="120" w:type="dxa"/>
            </w:tcMar>
          </w:tcPr>
          <w:p>
            <w:pPr>
              <w:spacing w:after="20" w:line="252" w:lineRule="auto"/>
            </w:pPr>
            <w:r>
              <w:rPr>
                <w:rFonts w:ascii="Calibri" w:hAnsi="Calibri"/>
                <w:color w:val="111827"/>
                <w:sz w:val="18"/>
              </w:rPr>
              <w:t>Below 0 = anomaly. Best suited when standardized data is approximately elliptical.</w:t>
            </w:r>
          </w:p>
        </w:tc>
      </w:tr>
      <w:tr>
        <w:tc>
          <w:tcPr>
            <w:tcW w:type="dxa" w:w="1600"/>
            <w:vAlign w:val="center"/>
            <w:tcMar>
              <w:top w:w="100" w:type="dxa"/>
              <w:start w:w="120" w:type="dxa"/>
              <w:bottom w:w="100" w:type="dxa"/>
              <w:end w:w="120" w:type="dxa"/>
            </w:tcMar>
          </w:tcPr>
          <w:p>
            <w:pPr>
              <w:spacing w:after="20" w:line="252" w:lineRule="auto"/>
            </w:pPr>
            <w:r>
              <w:rPr>
                <w:rFonts w:ascii="Calibri" w:hAnsi="Calibri"/>
                <w:color w:val="111827"/>
                <w:sz w:val="18"/>
              </w:rPr>
              <w:t>PCA Reconstruction</w:t>
            </w:r>
          </w:p>
        </w:tc>
        <w:tc>
          <w:tcPr>
            <w:tcW w:type="dxa" w:w="2900"/>
            <w:vAlign w:val="center"/>
            <w:tcMar>
              <w:top w:w="100" w:type="dxa"/>
              <w:start w:w="120" w:type="dxa"/>
              <w:bottom w:w="100" w:type="dxa"/>
              <w:end w:w="120" w:type="dxa"/>
            </w:tcMar>
          </w:tcPr>
          <w:p>
            <w:pPr>
              <w:spacing w:after="20" w:line="252" w:lineRule="auto"/>
            </w:pPr>
            <w:r>
              <w:rPr>
                <w:rFonts w:ascii="Calibri" w:hAnsi="Calibri"/>
                <w:color w:val="111827"/>
                <w:sz w:val="18"/>
              </w:rPr>
              <w:t>Information lost when a transaction is compressed and reconstructed.</w:t>
            </w:r>
          </w:p>
        </w:tc>
        <w:tc>
          <w:tcPr>
            <w:tcW w:type="dxa" w:w="2200"/>
            <w:vAlign w:val="center"/>
            <w:tcMar>
              <w:top w:w="100" w:type="dxa"/>
              <w:start w:w="120" w:type="dxa"/>
              <w:bottom w:w="100" w:type="dxa"/>
              <w:end w:w="120" w:type="dxa"/>
            </w:tcMar>
          </w:tcPr>
          <w:p>
            <w:pPr>
              <w:spacing w:after="20" w:line="252" w:lineRule="auto"/>
            </w:pPr>
            <w:r>
              <w:rPr>
                <w:rFonts w:ascii="Calibri" w:hAnsi="Calibri"/>
                <w:color w:val="111827"/>
                <w:sz w:val="18"/>
              </w:rPr>
              <w:t>Mean squared reconstruction error; squared standardized-feature units</w:t>
            </w:r>
          </w:p>
        </w:tc>
        <w:tc>
          <w:tcPr>
            <w:tcW w:type="dxa" w:w="2660"/>
            <w:vAlign w:val="center"/>
            <w:tcMar>
              <w:top w:w="100" w:type="dxa"/>
              <w:start w:w="120" w:type="dxa"/>
              <w:bottom w:w="100" w:type="dxa"/>
              <w:end w:w="120" w:type="dxa"/>
            </w:tcMar>
          </w:tcPr>
          <w:p>
            <w:pPr>
              <w:spacing w:after="20" w:line="252" w:lineRule="auto"/>
            </w:pPr>
            <w:r>
              <w:rPr>
                <w:rFonts w:ascii="Calibri" w:hAnsi="Calibri"/>
                <w:color w:val="111827"/>
                <w:sz w:val="18"/>
              </w:rPr>
              <w:t>Error above the learned percentile threshold = anomaly. UI decision value = threshold minus error.</w:t>
            </w:r>
          </w:p>
        </w:tc>
      </w:tr>
    </w:tbl>
    <w:p>
      <w:pPr>
        <w:spacing w:after="0"/>
      </w:pP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EAF2FF"/>
          </w:tcPr>
          <w:p>
            <w:pPr>
              <w:spacing w:after="0"/>
            </w:pPr>
            <w:r>
              <w:rPr>
                <w:b/>
                <w:color w:val="2563EB"/>
              </w:rPr>
              <w:t xml:space="preserve">Do not compare raw scores: </w:t>
            </w:r>
            <w:r>
              <w:t>For example, an SVM decision value of -2 is not automatically more anomalous than an Isolation Forest value of -0.2. Each value is calibrated only against that model's own zero boundary and score distribution.</w:t>
            </w:r>
          </w:p>
        </w:tc>
      </w:tr>
    </w:tbl>
    <w:p>
      <w:pPr>
        <w:spacing w:after="0"/>
      </w:pPr>
    </w:p>
    <w:p>
      <w:pPr>
        <w:pStyle w:val="Heading1"/>
      </w:pPr>
      <w:r>
        <w:t>3. How Training and Evaluation Work</w:t>
      </w:r>
    </w:p>
    <w:tbl>
      <w:tblPr>
        <w:tblStyle w:val="TableGrid"/>
        <w:tblW w:type="dxa" w:w="9360"/>
        <w:jc w:val="center"/>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100" w:type="dxa"/>
              <w:start w:w="120" w:type="dxa"/>
              <w:bottom w:w="100" w:type="dxa"/>
              <w:end w:w="120" w:type="dxa"/>
            </w:tcMar>
            <w:shd w:fill="17324D"/>
          </w:tcPr>
          <w:p>
            <w:pPr>
              <w:spacing w:after="0"/>
            </w:pPr>
            <w:r>
              <w:rPr>
                <w:rFonts w:ascii="Calibri" w:hAnsi="Calibri"/>
                <w:b/>
                <w:color w:val="FFFFFF"/>
                <w:sz w:val="19"/>
              </w:rPr>
              <w:t>Stage</w:t>
            </w:r>
          </w:p>
        </w:tc>
        <w:tc>
          <w:tcPr>
            <w:tcW w:type="dxa" w:w="7260"/>
            <w:vAlign w:val="center"/>
            <w:tcMar>
              <w:top w:w="100" w:type="dxa"/>
              <w:start w:w="120" w:type="dxa"/>
              <w:bottom w:w="100" w:type="dxa"/>
              <w:end w:w="120" w:type="dxa"/>
            </w:tcMar>
            <w:shd w:fill="17324D"/>
          </w:tcPr>
          <w:p>
            <w:pPr>
              <w:spacing w:after="0"/>
            </w:pPr>
            <w:r>
              <w:rPr>
                <w:rFonts w:ascii="Calibri" w:hAnsi="Calibri"/>
                <w:b/>
                <w:color w:val="FFFFFF"/>
                <w:sz w:val="19"/>
              </w:rPr>
              <w:t>Current implementation</w:t>
            </w:r>
          </w:p>
        </w:tc>
      </w:tr>
      <w:tr>
        <w:tc>
          <w:tcPr>
            <w:tcW w:type="dxa" w:w="2100"/>
            <w:vAlign w:val="center"/>
            <w:tcMar>
              <w:top w:w="100" w:type="dxa"/>
              <w:start w:w="120" w:type="dxa"/>
              <w:bottom w:w="100" w:type="dxa"/>
              <w:end w:w="120" w:type="dxa"/>
            </w:tcMar>
          </w:tcPr>
          <w:p>
            <w:pPr>
              <w:spacing w:after="20" w:line="252" w:lineRule="auto"/>
            </w:pPr>
            <w:r>
              <w:rPr>
                <w:rFonts w:ascii="Calibri" w:hAnsi="Calibri"/>
                <w:color w:val="111827"/>
                <w:sz w:val="18"/>
              </w:rPr>
              <w:t>Chronological partitions</w:t>
            </w:r>
          </w:p>
        </w:tc>
        <w:tc>
          <w:tcPr>
            <w:tcW w:type="dxa" w:w="7260"/>
            <w:vAlign w:val="center"/>
            <w:tcMar>
              <w:top w:w="100" w:type="dxa"/>
              <w:start w:w="120" w:type="dxa"/>
              <w:bottom w:w="100" w:type="dxa"/>
              <w:end w:w="120" w:type="dxa"/>
            </w:tcMar>
          </w:tcPr>
          <w:p>
            <w:pPr>
              <w:spacing w:after="20" w:line="252" w:lineRule="auto"/>
            </w:pPr>
            <w:r>
              <w:rPr>
                <w:rFonts w:ascii="Calibri" w:hAnsi="Calibri"/>
                <w:color w:val="111827"/>
                <w:sz w:val="18"/>
              </w:rPr>
              <w:t>Oldest 10%, 25%, 50%, and 100% of transactions by transaction_date.</w:t>
            </w:r>
          </w:p>
        </w:tc>
      </w:tr>
      <w:tr>
        <w:tc>
          <w:tcPr>
            <w:tcW w:type="dxa" w:w="2100"/>
            <w:vAlign w:val="center"/>
            <w:tcMar>
              <w:top w:w="100" w:type="dxa"/>
              <w:start w:w="120" w:type="dxa"/>
              <w:bottom w:w="100" w:type="dxa"/>
              <w:end w:w="120" w:type="dxa"/>
            </w:tcMar>
          </w:tcPr>
          <w:p>
            <w:pPr>
              <w:spacing w:after="20" w:line="252" w:lineRule="auto"/>
            </w:pPr>
            <w:r>
              <w:rPr>
                <w:rFonts w:ascii="Calibri" w:hAnsi="Calibri"/>
                <w:color w:val="111827"/>
                <w:sz w:val="18"/>
              </w:rPr>
              <w:t>Chronological holdout</w:t>
            </w:r>
          </w:p>
        </w:tc>
        <w:tc>
          <w:tcPr>
            <w:tcW w:type="dxa" w:w="7260"/>
            <w:vAlign w:val="center"/>
            <w:tcMar>
              <w:top w:w="100" w:type="dxa"/>
              <w:start w:w="120" w:type="dxa"/>
              <w:bottom w:w="100" w:type="dxa"/>
              <w:end w:w="120" w:type="dxa"/>
            </w:tcMar>
          </w:tcPr>
          <w:p>
            <w:pPr>
              <w:spacing w:after="20" w:line="252" w:lineRule="auto"/>
            </w:pPr>
            <w:r>
              <w:rPr>
                <w:rFonts w:ascii="Calibri" w:hAnsi="Calibri"/>
                <w:color w:val="111827"/>
                <w:sz w:val="18"/>
              </w:rPr>
              <w:t>The newest part inside each partition is validation data. Default size is 20%, bounded between 50 and 2,000 rows.</w:t>
            </w:r>
          </w:p>
        </w:tc>
      </w:tr>
      <w:tr>
        <w:tc>
          <w:tcPr>
            <w:tcW w:type="dxa" w:w="2100"/>
            <w:vAlign w:val="center"/>
            <w:tcMar>
              <w:top w:w="100" w:type="dxa"/>
              <w:start w:w="120" w:type="dxa"/>
              <w:bottom w:w="100" w:type="dxa"/>
              <w:end w:w="120" w:type="dxa"/>
            </w:tcMar>
          </w:tcPr>
          <w:p>
            <w:pPr>
              <w:spacing w:after="20" w:line="252" w:lineRule="auto"/>
            </w:pPr>
            <w:r>
              <w:rPr>
                <w:rFonts w:ascii="Calibri" w:hAnsi="Calibri"/>
                <w:color w:val="111827"/>
                <w:sz w:val="18"/>
              </w:rPr>
              <w:t>Optimization training limit</w:t>
            </w:r>
          </w:p>
        </w:tc>
        <w:tc>
          <w:tcPr>
            <w:tcW w:type="dxa" w:w="7260"/>
            <w:vAlign w:val="center"/>
            <w:tcMar>
              <w:top w:w="100" w:type="dxa"/>
              <w:start w:w="120" w:type="dxa"/>
              <w:bottom w:w="100" w:type="dxa"/>
              <w:end w:w="120" w:type="dxa"/>
            </w:tcMar>
          </w:tcPr>
          <w:p>
            <w:pPr>
              <w:spacing w:after="20" w:line="252" w:lineRule="auto"/>
            </w:pPr>
            <w:r>
              <w:rPr>
                <w:rFonts w:ascii="Calibri" w:hAnsi="Calibri"/>
                <w:color w:val="111827"/>
                <w:sz w:val="18"/>
              </w:rPr>
              <w:t>Candidate tuning uses at most the latest 5,000 pre-validation rows to control training cost.</w:t>
            </w:r>
          </w:p>
        </w:tc>
      </w:tr>
      <w:tr>
        <w:tc>
          <w:tcPr>
            <w:tcW w:type="dxa" w:w="2100"/>
            <w:vAlign w:val="center"/>
            <w:tcMar>
              <w:top w:w="100" w:type="dxa"/>
              <w:start w:w="120" w:type="dxa"/>
              <w:bottom w:w="100" w:type="dxa"/>
              <w:end w:w="120" w:type="dxa"/>
            </w:tcMar>
          </w:tcPr>
          <w:p>
            <w:pPr>
              <w:spacing w:after="20" w:line="252" w:lineRule="auto"/>
            </w:pPr>
            <w:r>
              <w:rPr>
                <w:rFonts w:ascii="Calibri" w:hAnsi="Calibri"/>
                <w:color w:val="111827"/>
                <w:sz w:val="18"/>
              </w:rPr>
              <w:t>Synthetic anomaly challenge</w:t>
            </w:r>
          </w:p>
        </w:tc>
        <w:tc>
          <w:tcPr>
            <w:tcW w:type="dxa" w:w="7260"/>
            <w:vAlign w:val="center"/>
            <w:tcMar>
              <w:top w:w="100" w:type="dxa"/>
              <w:start w:w="120" w:type="dxa"/>
              <w:bottom w:w="100" w:type="dxa"/>
              <w:end w:w="120" w:type="dxa"/>
            </w:tcMar>
          </w:tcPr>
          <w:p>
            <w:pPr>
              <w:spacing w:after="20" w:line="252" w:lineRule="auto"/>
            </w:pPr>
            <w:r>
              <w:rPr>
                <w:rFonts w:ascii="Calibri" w:hAnsi="Calibri"/>
                <w:color w:val="111827"/>
                <w:sz w:val="18"/>
              </w:rPr>
              <w:t>A copy of every validation row is perturbed in 20% of features by 3 to 6 standardized units in random directions.</w:t>
            </w:r>
          </w:p>
        </w:tc>
      </w:tr>
      <w:tr>
        <w:tc>
          <w:tcPr>
            <w:tcW w:type="dxa" w:w="2100"/>
            <w:vAlign w:val="center"/>
            <w:tcMar>
              <w:top w:w="100" w:type="dxa"/>
              <w:start w:w="120" w:type="dxa"/>
              <w:bottom w:w="100" w:type="dxa"/>
              <w:end w:w="120" w:type="dxa"/>
            </w:tcMar>
          </w:tcPr>
          <w:p>
            <w:pPr>
              <w:spacing w:after="20" w:line="252" w:lineRule="auto"/>
            </w:pPr>
            <w:r>
              <w:rPr>
                <w:rFonts w:ascii="Calibri" w:hAnsi="Calibri"/>
                <w:color w:val="111827"/>
                <w:sz w:val="18"/>
              </w:rPr>
              <w:t>Candidate selection</w:t>
            </w:r>
          </w:p>
        </w:tc>
        <w:tc>
          <w:tcPr>
            <w:tcW w:type="dxa" w:w="7260"/>
            <w:vAlign w:val="center"/>
            <w:tcMar>
              <w:top w:w="100" w:type="dxa"/>
              <w:start w:w="120" w:type="dxa"/>
              <w:bottom w:w="100" w:type="dxa"/>
              <w:end w:w="120" w:type="dxa"/>
            </w:tcMar>
          </w:tcPr>
          <w:p>
            <w:pPr>
              <w:spacing w:after="20" w:line="252" w:lineRule="auto"/>
            </w:pPr>
            <w:r>
              <w:rPr>
                <w:rFonts w:ascii="Calibri" w:hAnsi="Calibri"/>
                <w:color w:val="111827"/>
                <w:sz w:val="18"/>
              </w:rPr>
              <w:t>Several hyperparameter combinations are fitted; the candidate with the highest proxy score is selected.</w:t>
            </w:r>
          </w:p>
        </w:tc>
      </w:tr>
      <w:tr>
        <w:tc>
          <w:tcPr>
            <w:tcW w:type="dxa" w:w="2100"/>
            <w:vAlign w:val="center"/>
            <w:tcMar>
              <w:top w:w="100" w:type="dxa"/>
              <w:start w:w="120" w:type="dxa"/>
              <w:bottom w:w="100" w:type="dxa"/>
              <w:end w:w="120" w:type="dxa"/>
            </w:tcMar>
          </w:tcPr>
          <w:p>
            <w:pPr>
              <w:spacing w:after="20" w:line="252" w:lineRule="auto"/>
            </w:pPr>
            <w:r>
              <w:rPr>
                <w:rFonts w:ascii="Calibri" w:hAnsi="Calibri"/>
                <w:color w:val="111827"/>
                <w:sz w:val="18"/>
              </w:rPr>
              <w:t>Stability test</w:t>
            </w:r>
          </w:p>
        </w:tc>
        <w:tc>
          <w:tcPr>
            <w:tcW w:type="dxa" w:w="7260"/>
            <w:vAlign w:val="center"/>
            <w:tcMar>
              <w:top w:w="100" w:type="dxa"/>
              <w:start w:w="120" w:type="dxa"/>
              <w:bottom w:w="100" w:type="dxa"/>
              <w:end w:w="120" w:type="dxa"/>
            </w:tcMar>
          </w:tcPr>
          <w:p>
            <w:pPr>
              <w:spacing w:after="20" w:line="252" w:lineRule="auto"/>
            </w:pPr>
            <w:r>
              <w:rPr>
                <w:rFonts w:ascii="Calibri" w:hAnsi="Calibri"/>
                <w:color w:val="111827"/>
                <w:sz w:val="18"/>
              </w:rPr>
              <w:t>The selected candidate is refitted three times on bootstrap samples containing 85% of training-row count.</w:t>
            </w:r>
          </w:p>
        </w:tc>
      </w:tr>
      <w:tr>
        <w:tc>
          <w:tcPr>
            <w:tcW w:type="dxa" w:w="2100"/>
            <w:vAlign w:val="center"/>
            <w:tcMar>
              <w:top w:w="100" w:type="dxa"/>
              <w:start w:w="120" w:type="dxa"/>
              <w:bottom w:w="100" w:type="dxa"/>
              <w:end w:w="120" w:type="dxa"/>
            </w:tcMar>
          </w:tcPr>
          <w:p>
            <w:pPr>
              <w:spacing w:after="20" w:line="252" w:lineRule="auto"/>
            </w:pPr>
            <w:r>
              <w:rPr>
                <w:rFonts w:ascii="Calibri" w:hAnsi="Calibri"/>
                <w:color w:val="111827"/>
                <w:sz w:val="18"/>
              </w:rPr>
              <w:t>Final partition model</w:t>
            </w:r>
          </w:p>
        </w:tc>
        <w:tc>
          <w:tcPr>
            <w:tcW w:type="dxa" w:w="7260"/>
            <w:vAlign w:val="center"/>
            <w:tcMar>
              <w:top w:w="100" w:type="dxa"/>
              <w:start w:w="120" w:type="dxa"/>
              <w:bottom w:w="100" w:type="dxa"/>
              <w:end w:w="120" w:type="dxa"/>
            </w:tcMar>
          </w:tcPr>
          <w:p>
            <w:pPr>
              <w:spacing w:after="20" w:line="252" w:lineRule="auto"/>
            </w:pPr>
            <w:r>
              <w:rPr>
                <w:rFonts w:ascii="Calibri" w:hAnsi="Calibri"/>
                <w:color w:val="111827"/>
                <w:sz w:val="18"/>
              </w:rPr>
              <w:t>The selected hyperparameters are used to train the model artifact for that partition.</w:t>
            </w:r>
          </w:p>
        </w:tc>
      </w:tr>
    </w:tbl>
    <w:p>
      <w:pPr>
        <w:spacing w:after="0"/>
      </w:pPr>
    </w:p>
    <w:p>
      <w:pPr>
        <w:pStyle w:val="Heading1"/>
      </w:pPr>
      <w:r>
        <w:t>4. Proxy Quality Metrics</w:t>
      </w:r>
    </w:p>
    <w:p>
      <w:pPr>
        <w:spacing w:after="100"/>
      </w:pPr>
      <w:r>
        <w:rPr>
          <w:b/>
          <w:color w:val="17324D"/>
        </w:rPr>
        <w:t xml:space="preserve">Proxy Average Precision (AP), range 0 to 1. </w:t>
      </w:r>
      <w:r>
        <w:t>Ranks the generated anomaly challenges ahead of original validation rows, emphasizing precision-recall behavior. Higher is better. It is a proxy because the positive class is generated, not reviewer-confirmed fraud.</w:t>
      </w:r>
    </w:p>
    <w:p>
      <w:pPr>
        <w:spacing w:after="100"/>
      </w:pPr>
      <w:r>
        <w:rPr>
          <w:b/>
          <w:color w:val="17324D"/>
        </w:rPr>
        <w:t xml:space="preserve">Proxy ROC AUC, range 0 to 1. </w:t>
      </w:r>
      <w:r>
        <w:t>The probability that a randomly selected generated anomaly receives a more anomalous score than a randomly selected original validation row. A value near 0.5 indicates chance ranking; 1.0 indicates perfect proxy separation.</w:t>
      </w:r>
    </w:p>
    <w:p>
      <w:pPr>
        <w:spacing w:after="100"/>
      </w:pPr>
      <w:r>
        <w:rPr>
          <w:b/>
          <w:color w:val="17324D"/>
        </w:rPr>
        <w:t xml:space="preserve">Validation anomaly rate, fraction 0 to 1. </w:t>
      </w:r>
      <w:r>
        <w:t>The share of original validation rows predicted as anomalies. This behaves like a proxy false-positive rate, but it cannot be called a true false-positive rate because original rows may contain unknown real anomalies.</w:t>
      </w:r>
    </w:p>
    <w:p>
      <w:pPr>
        <w:spacing w:after="100"/>
      </w:pPr>
      <w:r>
        <w:rPr>
          <w:b/>
          <w:color w:val="17324D"/>
        </w:rPr>
        <w:t xml:space="preserve">Rate-control score, range 0 to 100. </w:t>
      </w:r>
      <w:r>
        <w:t>Rewards a validation anomaly rate near the configured target, currently 5%. It is calculated as 100 x max(0, 1 - |observed rate - target rate| / max(target rate, 0.01)).</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E9F8F1"/>
          </w:tcPr>
          <w:p>
            <w:pPr>
              <w:spacing w:after="0"/>
            </w:pPr>
            <w:r>
              <w:rPr>
                <w:b/>
                <w:color w:val="087A55"/>
              </w:rPr>
              <w:t xml:space="preserve">Proxy score equation: </w:t>
            </w:r>
            <w:r>
              <w:t>ProxyScore = 100 x (0.50 x AveragePrecision + 0.35 x ROC_AUC + 0.15 x RateControlFraction). The result is on a 0-100 scale.</w:t>
            </w:r>
          </w:p>
        </w:tc>
      </w:tr>
    </w:tbl>
    <w:p>
      <w:pPr>
        <w:spacing w:after="0"/>
      </w:pPr>
    </w:p>
    <w:p>
      <w:pPr>
        <w:pStyle w:val="Heading1"/>
      </w:pPr>
      <w:r>
        <w:t>5. Resampling Stability</w:t>
      </w:r>
    </w:p>
    <w:p>
      <w:pPr>
        <w:spacing w:after="100"/>
      </w:pPr>
      <w:r>
        <w:t>Stability asks: if the available training rows change slightly, does the model still classify the same validation transactions in the same way?</w:t>
      </w:r>
    </w:p>
    <w:p>
      <w:pPr>
        <w:spacing w:after="100"/>
      </w:pPr>
      <w:r>
        <w:rPr>
          <w:b/>
          <w:color w:val="17324D"/>
        </w:rPr>
        <w:t xml:space="preserve">Procedure. </w:t>
      </w:r>
      <w:r>
        <w:t>Create three bootstrap training samples. Each sample draws with replacement and has a size equal to 85% of the original training-row count, with at least 20 rows. Fit three copies of the selected model and predict the same chronological validation set.</w:t>
      </w:r>
    </w:p>
    <w:p>
      <w:pPr>
        <w:spacing w:after="100"/>
      </w:pPr>
      <w:r>
        <w:rPr>
          <w:b/>
          <w:color w:val="17324D"/>
        </w:rPr>
        <w:t xml:space="preserve">Agreement calculation. </w:t>
      </w:r>
      <w:r>
        <w:t>For each validation row, compare the binary anomaly/inlier decisions for model pairs (1,2), (1,3), and (2,3). Compute the fraction of equal decisions for each pair and take the mean.</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EAF2FF"/>
          </w:tcPr>
          <w:p>
            <w:pPr>
              <w:spacing w:after="0"/>
            </w:pPr>
            <w:r>
              <w:rPr>
                <w:b/>
                <w:color w:val="2563EB"/>
              </w:rPr>
              <w:t xml:space="preserve">Stability equation: </w:t>
            </w:r>
            <w:r>
              <w:t>StabilityScore = 100 x mean(pairwise prediction agreement across the three bootstrap fits). 100 means identical decisions; 80 means 80% average agreement.</w:t>
            </w:r>
          </w:p>
        </w:tc>
      </w:tr>
    </w:tbl>
    <w:p>
      <w:pPr>
        <w:spacing w:after="0"/>
      </w:pP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FFF5D6"/>
          </w:tcPr>
          <w:p>
            <w:pPr>
              <w:spacing w:after="0"/>
            </w:pPr>
            <w:r>
              <w:rPr>
                <w:b/>
                <w:color w:val="8A5A00"/>
              </w:rPr>
              <w:t xml:space="preserve">Interpretation limit: </w:t>
            </w:r>
            <w:r>
              <w:t>High stability means repeatability, not correctness. A consistently wrong model can still be highly stable.</w:t>
            </w:r>
          </w:p>
        </w:tc>
      </w:tr>
    </w:tbl>
    <w:p>
      <w:pPr>
        <w:spacing w:after="0"/>
      </w:pPr>
    </w:p>
    <w:p>
      <w:pPr>
        <w:pStyle w:val="Heading1"/>
      </w:pPr>
      <w:r>
        <w:t>6. What the Training Report Columns Mean</w:t>
      </w:r>
    </w:p>
    <w:tbl>
      <w:tblPr>
        <w:tblStyle w:val="TableGrid"/>
        <w:tblW w:type="dxa" w:w="9360"/>
        <w:jc w:val="center"/>
        <w:tblLayout w:type="fixed"/>
        <w:tblLook w:firstColumn="1" w:firstRow="1" w:lastColumn="0" w:lastRow="0" w:noHBand="0" w:noVBand="1" w:val="04A0"/>
        <w:tblInd w:w="120" w:type="dxa"/>
      </w:tblPr>
      <w:tblGrid>
        <w:gridCol w:w="1550"/>
        <w:gridCol w:w="3550"/>
        <w:gridCol w:w="4260"/>
      </w:tblGrid>
      <w:tr>
        <w:trPr>
          <w:tblHeader w:val="true"/>
          <w:tblHeader w:val="true"/>
        </w:trPr>
        <w:tc>
          <w:tcPr>
            <w:tcW w:type="dxa" w:w="1550"/>
            <w:vAlign w:val="center"/>
            <w:tcMar>
              <w:top w:w="100" w:type="dxa"/>
              <w:start w:w="120" w:type="dxa"/>
              <w:bottom w:w="100" w:type="dxa"/>
              <w:end w:w="120" w:type="dxa"/>
            </w:tcMar>
            <w:shd w:fill="17324D"/>
          </w:tcPr>
          <w:p>
            <w:pPr>
              <w:spacing w:after="0"/>
            </w:pPr>
            <w:r>
              <w:rPr>
                <w:rFonts w:ascii="Calibri" w:hAnsi="Calibri"/>
                <w:b/>
                <w:color w:val="FFFFFF"/>
                <w:sz w:val="19"/>
              </w:rPr>
              <w:t>UI column</w:t>
            </w:r>
          </w:p>
        </w:tc>
        <w:tc>
          <w:tcPr>
            <w:tcW w:type="dxa" w:w="3550"/>
            <w:vAlign w:val="center"/>
            <w:tcMar>
              <w:top w:w="100" w:type="dxa"/>
              <w:start w:w="120" w:type="dxa"/>
              <w:bottom w:w="100" w:type="dxa"/>
              <w:end w:w="120" w:type="dxa"/>
            </w:tcMar>
            <w:shd w:fill="17324D"/>
          </w:tcPr>
          <w:p>
            <w:pPr>
              <w:spacing w:after="0"/>
            </w:pPr>
            <w:r>
              <w:rPr>
                <w:rFonts w:ascii="Calibri" w:hAnsi="Calibri"/>
                <w:b/>
                <w:color w:val="FFFFFF"/>
                <w:sz w:val="19"/>
              </w:rPr>
              <w:t>Unit and formula</w:t>
            </w:r>
          </w:p>
        </w:tc>
        <w:tc>
          <w:tcPr>
            <w:tcW w:type="dxa" w:w="4260"/>
            <w:vAlign w:val="center"/>
            <w:tcMar>
              <w:top w:w="100" w:type="dxa"/>
              <w:start w:w="120" w:type="dxa"/>
              <w:bottom w:w="100" w:type="dxa"/>
              <w:end w:w="120" w:type="dxa"/>
            </w:tcMar>
            <w:shd w:fill="17324D"/>
          </w:tcPr>
          <w:p>
            <w:pPr>
              <w:spacing w:after="0"/>
            </w:pPr>
            <w:r>
              <w:rPr>
                <w:rFonts w:ascii="Calibri" w:hAnsi="Calibri"/>
                <w:b/>
                <w:color w:val="FFFFFF"/>
                <w:sz w:val="19"/>
              </w:rPr>
              <w:t>Interpretation</w:t>
            </w:r>
          </w:p>
        </w:tc>
      </w:tr>
      <w:tr>
        <w:tc>
          <w:tcPr>
            <w:tcW w:type="dxa" w:w="1550"/>
            <w:vAlign w:val="center"/>
            <w:tcMar>
              <w:top w:w="100" w:type="dxa"/>
              <w:start w:w="120" w:type="dxa"/>
              <w:bottom w:w="100" w:type="dxa"/>
              <w:end w:w="120" w:type="dxa"/>
            </w:tcMar>
          </w:tcPr>
          <w:p>
            <w:pPr>
              <w:spacing w:after="20" w:line="252" w:lineRule="auto"/>
            </w:pPr>
            <w:r>
              <w:rPr>
                <w:rFonts w:ascii="Calibri" w:hAnsi="Calibri"/>
                <w:color w:val="111827"/>
                <w:sz w:val="18"/>
              </w:rPr>
              <w:t>Fit score</w:t>
            </w:r>
          </w:p>
        </w:tc>
        <w:tc>
          <w:tcPr>
            <w:tcW w:type="dxa" w:w="3550"/>
            <w:vAlign w:val="center"/>
            <w:tcMar>
              <w:top w:w="100" w:type="dxa"/>
              <w:start w:w="120" w:type="dxa"/>
              <w:bottom w:w="100" w:type="dxa"/>
              <w:end w:w="120" w:type="dxa"/>
            </w:tcMar>
          </w:tcPr>
          <w:p>
            <w:pPr>
              <w:spacing w:after="20" w:line="252" w:lineRule="auto"/>
            </w:pPr>
            <w:r>
              <w:rPr>
                <w:rFonts w:ascii="Calibri" w:hAnsi="Calibri"/>
                <w:color w:val="111827"/>
                <w:sz w:val="18"/>
              </w:rPr>
              <w:t>0-100 points. 0.65 x AvgQuality + 0.35 x AvgStability.</w:t>
            </w:r>
          </w:p>
        </w:tc>
        <w:tc>
          <w:tcPr>
            <w:tcW w:type="dxa" w:w="4260"/>
            <w:vAlign w:val="center"/>
            <w:tcMar>
              <w:top w:w="100" w:type="dxa"/>
              <w:start w:w="120" w:type="dxa"/>
              <w:bottom w:w="100" w:type="dxa"/>
              <w:end w:w="120" w:type="dxa"/>
            </w:tcMar>
          </w:tcPr>
          <w:p>
            <w:pPr>
              <w:spacing w:after="20" w:line="252" w:lineRule="auto"/>
            </w:pPr>
            <w:r>
              <w:rPr>
                <w:rFonts w:ascii="Calibri" w:hAnsi="Calibri"/>
                <w:color w:val="111827"/>
                <w:sz w:val="18"/>
              </w:rPr>
              <w:t>Overall ranking score used to sort models. Higher is preferred under the current label-free policy.</w:t>
            </w:r>
          </w:p>
        </w:tc>
      </w:tr>
      <w:tr>
        <w:tc>
          <w:tcPr>
            <w:tcW w:type="dxa" w:w="1550"/>
            <w:vAlign w:val="center"/>
            <w:tcMar>
              <w:top w:w="100" w:type="dxa"/>
              <w:start w:w="120" w:type="dxa"/>
              <w:bottom w:w="100" w:type="dxa"/>
              <w:end w:w="120" w:type="dxa"/>
            </w:tcMar>
          </w:tcPr>
          <w:p>
            <w:pPr>
              <w:spacing w:after="20" w:line="252" w:lineRule="auto"/>
            </w:pPr>
            <w:r>
              <w:rPr>
                <w:rFonts w:ascii="Calibri" w:hAnsi="Calibri"/>
                <w:color w:val="111827"/>
                <w:sz w:val="18"/>
              </w:rPr>
              <w:t>Avg. quality</w:t>
            </w:r>
          </w:p>
        </w:tc>
        <w:tc>
          <w:tcPr>
            <w:tcW w:type="dxa" w:w="3550"/>
            <w:vAlign w:val="center"/>
            <w:tcMar>
              <w:top w:w="100" w:type="dxa"/>
              <w:start w:w="120" w:type="dxa"/>
              <w:bottom w:w="100" w:type="dxa"/>
              <w:end w:w="120" w:type="dxa"/>
            </w:tcMar>
          </w:tcPr>
          <w:p>
            <w:pPr>
              <w:spacing w:after="20" w:line="252" w:lineRule="auto"/>
            </w:pPr>
            <w:r>
              <w:rPr>
                <w:rFonts w:ascii="Calibri" w:hAnsi="Calibri"/>
                <w:color w:val="111827"/>
                <w:sz w:val="18"/>
              </w:rPr>
              <w:t>0-100 points. Arithmetic mean of qualityScore across 10%, 25%, 50%, and 100%.</w:t>
            </w:r>
          </w:p>
        </w:tc>
        <w:tc>
          <w:tcPr>
            <w:tcW w:type="dxa" w:w="4260"/>
            <w:vAlign w:val="center"/>
            <w:tcMar>
              <w:top w:w="100" w:type="dxa"/>
              <w:start w:w="120" w:type="dxa"/>
              <w:bottom w:w="100" w:type="dxa"/>
              <w:end w:w="120" w:type="dxa"/>
            </w:tcMar>
          </w:tcPr>
          <w:p>
            <w:pPr>
              <w:spacing w:after="20" w:line="252" w:lineRule="auto"/>
            </w:pPr>
            <w:r>
              <w:rPr>
                <w:rFonts w:ascii="Calibri" w:hAnsi="Calibri"/>
                <w:color w:val="111827"/>
                <w:sz w:val="18"/>
              </w:rPr>
              <w:t>Average candidate quality over increasing data volumes.</w:t>
            </w:r>
          </w:p>
        </w:tc>
      </w:tr>
      <w:tr>
        <w:tc>
          <w:tcPr>
            <w:tcW w:type="dxa" w:w="1550"/>
            <w:vAlign w:val="center"/>
            <w:tcMar>
              <w:top w:w="100" w:type="dxa"/>
              <w:start w:w="120" w:type="dxa"/>
              <w:bottom w:w="100" w:type="dxa"/>
              <w:end w:w="120" w:type="dxa"/>
            </w:tcMar>
          </w:tcPr>
          <w:p>
            <w:pPr>
              <w:spacing w:after="20" w:line="252" w:lineRule="auto"/>
            </w:pPr>
            <w:r>
              <w:rPr>
                <w:rFonts w:ascii="Calibri" w:hAnsi="Calibri"/>
                <w:color w:val="111827"/>
                <w:sz w:val="18"/>
              </w:rPr>
              <w:t>Avg. stability</w:t>
            </w:r>
          </w:p>
        </w:tc>
        <w:tc>
          <w:tcPr>
            <w:tcW w:type="dxa" w:w="3550"/>
            <w:vAlign w:val="center"/>
            <w:tcMar>
              <w:top w:w="100" w:type="dxa"/>
              <w:start w:w="120" w:type="dxa"/>
              <w:bottom w:w="100" w:type="dxa"/>
              <w:end w:w="120" w:type="dxa"/>
            </w:tcMar>
          </w:tcPr>
          <w:p>
            <w:pPr>
              <w:spacing w:after="20" w:line="252" w:lineRule="auto"/>
            </w:pPr>
            <w:r>
              <w:rPr>
                <w:rFonts w:ascii="Calibri" w:hAnsi="Calibri"/>
                <w:color w:val="111827"/>
                <w:sz w:val="18"/>
              </w:rPr>
              <w:t>Percent. Arithmetic mean of bootstrap agreement scores across all four partitions.</w:t>
            </w:r>
          </w:p>
        </w:tc>
        <w:tc>
          <w:tcPr>
            <w:tcW w:type="dxa" w:w="4260"/>
            <w:vAlign w:val="center"/>
            <w:tcMar>
              <w:top w:w="100" w:type="dxa"/>
              <w:start w:w="120" w:type="dxa"/>
              <w:bottom w:w="100" w:type="dxa"/>
              <w:end w:w="120" w:type="dxa"/>
            </w:tcMar>
          </w:tcPr>
          <w:p>
            <w:pPr>
              <w:spacing w:after="20" w:line="252" w:lineRule="auto"/>
            </w:pPr>
            <w:r>
              <w:rPr>
                <w:rFonts w:ascii="Calibri" w:hAnsi="Calibri"/>
                <w:color w:val="111827"/>
                <w:sz w:val="18"/>
              </w:rPr>
              <w:t>How repeatable the model's binary decisions are when training data is resampled.</w:t>
            </w:r>
          </w:p>
        </w:tc>
      </w:tr>
      <w:tr>
        <w:tc>
          <w:tcPr>
            <w:tcW w:type="dxa" w:w="1550"/>
            <w:vAlign w:val="center"/>
            <w:tcMar>
              <w:top w:w="100" w:type="dxa"/>
              <w:start w:w="120" w:type="dxa"/>
              <w:bottom w:w="100" w:type="dxa"/>
              <w:end w:w="120" w:type="dxa"/>
            </w:tcMar>
          </w:tcPr>
          <w:p>
            <w:pPr>
              <w:spacing w:after="20" w:line="252" w:lineRule="auto"/>
            </w:pPr>
            <w:r>
              <w:rPr>
                <w:rFonts w:ascii="Calibri" w:hAnsi="Calibri"/>
                <w:color w:val="111827"/>
                <w:sz w:val="18"/>
              </w:rPr>
              <w:t>Avg. anomaly rate</w:t>
            </w:r>
          </w:p>
        </w:tc>
        <w:tc>
          <w:tcPr>
            <w:tcW w:type="dxa" w:w="3550"/>
            <w:vAlign w:val="center"/>
            <w:tcMar>
              <w:top w:w="100" w:type="dxa"/>
              <w:start w:w="120" w:type="dxa"/>
              <w:bottom w:w="100" w:type="dxa"/>
              <w:end w:w="120" w:type="dxa"/>
            </w:tcMar>
          </w:tcPr>
          <w:p>
            <w:pPr>
              <w:spacing w:after="20" w:line="252" w:lineRule="auto"/>
            </w:pPr>
            <w:r>
              <w:rPr>
                <w:rFonts w:ascii="Calibri" w:hAnsi="Calibri"/>
                <w:color w:val="111827"/>
                <w:sz w:val="18"/>
              </w:rPr>
              <w:t>Percent. Mean of anomaly_count / partition_rows across all four trained partitions.</w:t>
            </w:r>
          </w:p>
        </w:tc>
        <w:tc>
          <w:tcPr>
            <w:tcW w:type="dxa" w:w="4260"/>
            <w:vAlign w:val="center"/>
            <w:tcMar>
              <w:top w:w="100" w:type="dxa"/>
              <w:start w:w="120" w:type="dxa"/>
              <w:bottom w:w="100" w:type="dxa"/>
              <w:end w:w="120" w:type="dxa"/>
            </w:tcMar>
          </w:tcPr>
          <w:p>
            <w:pPr>
              <w:spacing w:after="20" w:line="252" w:lineRule="auto"/>
            </w:pPr>
            <w:r>
              <w:rPr>
                <w:rFonts w:ascii="Calibri" w:hAnsi="Calibri"/>
                <w:color w:val="111827"/>
                <w:sz w:val="18"/>
              </w:rPr>
              <w:t>Operational alert volume. It is not accuracy and is not automatically better when lower.</w:t>
            </w:r>
          </w:p>
        </w:tc>
      </w:tr>
      <w:tr>
        <w:tc>
          <w:tcPr>
            <w:tcW w:type="dxa" w:w="1550"/>
            <w:vAlign w:val="center"/>
            <w:tcMar>
              <w:top w:w="100" w:type="dxa"/>
              <w:start w:w="120" w:type="dxa"/>
              <w:bottom w:w="100" w:type="dxa"/>
              <w:end w:w="120" w:type="dxa"/>
            </w:tcMar>
          </w:tcPr>
          <w:p>
            <w:pPr>
              <w:spacing w:after="20" w:line="252" w:lineRule="auto"/>
            </w:pPr>
            <w:r>
              <w:rPr>
                <w:rFonts w:ascii="Calibri" w:hAnsi="Calibri"/>
                <w:color w:val="111827"/>
                <w:sz w:val="18"/>
              </w:rPr>
              <w:t>10% to 100%</w:t>
            </w:r>
          </w:p>
        </w:tc>
        <w:tc>
          <w:tcPr>
            <w:tcW w:type="dxa" w:w="3550"/>
            <w:vAlign w:val="center"/>
            <w:tcMar>
              <w:top w:w="100" w:type="dxa"/>
              <w:start w:w="120" w:type="dxa"/>
              <w:bottom w:w="100" w:type="dxa"/>
              <w:end w:w="120" w:type="dxa"/>
            </w:tcMar>
          </w:tcPr>
          <w:p>
            <w:pPr>
              <w:spacing w:after="20" w:line="252" w:lineRule="auto"/>
            </w:pPr>
            <w:r>
              <w:rPr>
                <w:rFonts w:ascii="Calibri" w:hAnsi="Calibri"/>
                <w:color w:val="111827"/>
                <w:sz w:val="18"/>
              </w:rPr>
              <w:t>Percentage-point change: Quality_100% - Quality_10%.</w:t>
            </w:r>
          </w:p>
        </w:tc>
        <w:tc>
          <w:tcPr>
            <w:tcW w:type="dxa" w:w="4260"/>
            <w:vAlign w:val="center"/>
            <w:tcMar>
              <w:top w:w="100" w:type="dxa"/>
              <w:start w:w="120" w:type="dxa"/>
              <w:bottom w:w="100" w:type="dxa"/>
              <w:end w:w="120" w:type="dxa"/>
            </w:tcMar>
          </w:tcPr>
          <w:p>
            <w:pPr>
              <w:spacing w:after="20" w:line="252" w:lineRule="auto"/>
            </w:pPr>
            <w:r>
              <w:rPr>
                <w:rFonts w:ascii="Calibri" w:hAnsi="Calibri"/>
                <w:color w:val="111827"/>
                <w:sz w:val="18"/>
              </w:rPr>
              <w:t>Positive means measured quality improved with more data; negative means it declined.</w:t>
            </w:r>
          </w:p>
        </w:tc>
      </w:tr>
      <w:tr>
        <w:tc>
          <w:tcPr>
            <w:tcW w:type="dxa" w:w="1550"/>
            <w:vAlign w:val="center"/>
            <w:tcMar>
              <w:top w:w="100" w:type="dxa"/>
              <w:start w:w="120" w:type="dxa"/>
              <w:bottom w:w="100" w:type="dxa"/>
              <w:end w:w="120" w:type="dxa"/>
            </w:tcMar>
          </w:tcPr>
          <w:p>
            <w:pPr>
              <w:spacing w:after="20" w:line="252" w:lineRule="auto"/>
            </w:pPr>
            <w:r>
              <w:rPr>
                <w:rFonts w:ascii="Calibri" w:hAnsi="Calibri"/>
                <w:color w:val="111827"/>
                <w:sz w:val="18"/>
              </w:rPr>
              <w:t>Assessment</w:t>
            </w:r>
          </w:p>
        </w:tc>
        <w:tc>
          <w:tcPr>
            <w:tcW w:type="dxa" w:w="3550"/>
            <w:vAlign w:val="center"/>
            <w:tcMar>
              <w:top w:w="100" w:type="dxa"/>
              <w:start w:w="120" w:type="dxa"/>
              <w:bottom w:w="100" w:type="dxa"/>
              <w:end w:w="120" w:type="dxa"/>
            </w:tcMar>
          </w:tcPr>
          <w:p>
            <w:pPr>
              <w:spacing w:after="20" w:line="252" w:lineRule="auto"/>
            </w:pPr>
            <w:r>
              <w:rPr>
                <w:rFonts w:ascii="Calibri" w:hAnsi="Calibri"/>
                <w:color w:val="111827"/>
                <w:sz w:val="18"/>
              </w:rPr>
              <w:t>Rule-based label from stability and 10%-to-100% quality change.</w:t>
            </w:r>
          </w:p>
        </w:tc>
        <w:tc>
          <w:tcPr>
            <w:tcW w:type="dxa" w:w="4260"/>
            <w:vAlign w:val="center"/>
            <w:tcMar>
              <w:top w:w="100" w:type="dxa"/>
              <w:start w:w="120" w:type="dxa"/>
              <w:bottom w:w="100" w:type="dxa"/>
              <w:end w:w="120" w:type="dxa"/>
            </w:tcMar>
          </w:tcPr>
          <w:p>
            <w:pPr>
              <w:spacing w:after="20" w:line="252" w:lineRule="auto"/>
            </w:pPr>
            <w:r>
              <w:rPr>
                <w:rFonts w:ascii="Calibri" w:hAnsi="Calibri"/>
                <w:color w:val="111827"/>
                <w:sz w:val="18"/>
              </w:rPr>
              <w:t>Strong and stable, Moderately stable, Needs review, or Insufficient metrics.</w:t>
            </w:r>
          </w:p>
        </w:tc>
      </w:tr>
    </w:tbl>
    <w:p>
      <w:pPr>
        <w:spacing w:after="0"/>
      </w:pPr>
    </w:p>
    <w:p>
      <w:pPr>
        <w:pStyle w:val="Heading1"/>
      </w:pPr>
      <w:r>
        <w:t>7. The Exact Meaning of 'Avg. Quality'</w:t>
      </w:r>
    </w:p>
    <w:p>
      <w:pPr>
        <w:spacing w:after="100"/>
      </w:pPr>
      <w:r>
        <w:t>In the current code, the metric stored as qualityScore is not the raw ProxyScore alone. It is already a composite that includes stability and rate control:</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E9F8F1"/>
          </w:tcPr>
          <w:p>
            <w:pPr>
              <w:spacing w:after="0"/>
            </w:pPr>
            <w:r>
              <w:rPr>
                <w:b/>
                <w:color w:val="087A55"/>
              </w:rPr>
              <w:t xml:space="preserve">Current partition quality equation: </w:t>
            </w:r>
            <w:r>
              <w:t>QualityScore = 0.65 x ProxyScore + 0.25 x StabilityScore + 0.10 x RateControlScore.</w:t>
            </w:r>
          </w:p>
        </w:tc>
      </w:tr>
    </w:tbl>
    <w:p>
      <w:pPr>
        <w:spacing w:after="0"/>
      </w:pPr>
    </w:p>
    <w:p>
      <w:pPr>
        <w:spacing w:after="120"/>
      </w:pPr>
      <w:r>
        <w:t>The UI then computes FitScore = 0.65 x AvgQuality + 0.35 x AvgStability. Therefore, stability contributes inside AvgQuality and again directly in FitScore. The page wording 'proxy quality (65%) and resampling stability (35%)' is a simplified description, but technically the first component is composite quality.</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FFF5D6"/>
          </w:tcPr>
          <w:p>
            <w:pPr>
              <w:spacing w:after="0"/>
            </w:pPr>
            <w:r>
              <w:rPr>
                <w:b/>
                <w:color w:val="8A5A00"/>
              </w:rPr>
              <w:t xml:space="preserve">Expanded fit equation: </w:t>
            </w:r>
            <w:r>
              <w:t>FitScore = 0.4225 x AvgProxyScore + 0.5125 x AvgStability + 0.065 x AvgRateControl. This follows by substituting the current QualityScore equation.</w:t>
            </w:r>
          </w:p>
        </w:tc>
      </w:tr>
    </w:tbl>
    <w:p>
      <w:pPr>
        <w:spacing w:after="0"/>
      </w:pP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EAF2FF"/>
          </w:tcPr>
          <w:p>
            <w:pPr>
              <w:spacing w:after="0"/>
            </w:pPr>
            <w:r>
              <w:rPr>
                <w:b/>
                <w:color w:val="2563EB"/>
              </w:rPr>
              <w:t xml:space="preserve">Recommended professor wording: </w:t>
            </w:r>
            <w:r>
              <w:t>Say: 'The current fit score is a label-free composite dominated by resampling stability, with additional synthetic-challenge separation and anomaly-rate calibration.' Do not describe it as fraud accuracy.</w:t>
            </w:r>
          </w:p>
        </w:tc>
      </w:tr>
    </w:tbl>
    <w:p>
      <w:pPr>
        <w:spacing w:after="0"/>
      </w:pPr>
    </w:p>
    <w:p>
      <w:pPr>
        <w:pStyle w:val="Heading1"/>
      </w:pPr>
      <w:r>
        <w:t>8. Assessment Rules</w:t>
      </w:r>
    </w:p>
    <w:tbl>
      <w:tblPr>
        <w:tblStyle w:val="TableGrid"/>
        <w:tblW w:type="dxa" w:w="9360"/>
        <w:jc w:val="center"/>
        <w:tblLayout w:type="fixed"/>
        <w:tblLook w:firstColumn="1" w:firstRow="1" w:lastColumn="0" w:lastRow="0" w:noHBand="0" w:noVBand="1" w:val="04A0"/>
        <w:tblInd w:w="120" w:type="dxa"/>
      </w:tblPr>
      <w:tblGrid>
        <w:gridCol w:w="1900"/>
        <w:gridCol w:w="3350"/>
        <w:gridCol w:w="4110"/>
      </w:tblGrid>
      <w:tr>
        <w:trPr>
          <w:tblHeader w:val="true"/>
          <w:tblHeader w:val="true"/>
        </w:trPr>
        <w:tc>
          <w:tcPr>
            <w:tcW w:type="dxa" w:w="1900"/>
            <w:vAlign w:val="center"/>
            <w:tcMar>
              <w:top w:w="100" w:type="dxa"/>
              <w:start w:w="120" w:type="dxa"/>
              <w:bottom w:w="100" w:type="dxa"/>
              <w:end w:w="120" w:type="dxa"/>
            </w:tcMar>
            <w:shd w:fill="17324D"/>
          </w:tcPr>
          <w:p>
            <w:pPr>
              <w:spacing w:after="0"/>
            </w:pPr>
            <w:r>
              <w:rPr>
                <w:rFonts w:ascii="Calibri" w:hAnsi="Calibri"/>
                <w:b/>
                <w:color w:val="FFFFFF"/>
                <w:sz w:val="19"/>
              </w:rPr>
              <w:t>Assessment</w:t>
            </w:r>
          </w:p>
        </w:tc>
        <w:tc>
          <w:tcPr>
            <w:tcW w:type="dxa" w:w="3350"/>
            <w:vAlign w:val="center"/>
            <w:tcMar>
              <w:top w:w="100" w:type="dxa"/>
              <w:start w:w="120" w:type="dxa"/>
              <w:bottom w:w="100" w:type="dxa"/>
              <w:end w:w="120" w:type="dxa"/>
            </w:tcMar>
            <w:shd w:fill="17324D"/>
          </w:tcPr>
          <w:p>
            <w:pPr>
              <w:spacing w:after="0"/>
            </w:pPr>
            <w:r>
              <w:rPr>
                <w:rFonts w:ascii="Calibri" w:hAnsi="Calibri"/>
                <w:b/>
                <w:color w:val="FFFFFF"/>
                <w:sz w:val="19"/>
              </w:rPr>
              <w:t>Rule used by the UI</w:t>
            </w:r>
          </w:p>
        </w:tc>
        <w:tc>
          <w:tcPr>
            <w:tcW w:type="dxa" w:w="4110"/>
            <w:vAlign w:val="center"/>
            <w:tcMar>
              <w:top w:w="100" w:type="dxa"/>
              <w:start w:w="120" w:type="dxa"/>
              <w:bottom w:w="100" w:type="dxa"/>
              <w:end w:w="120" w:type="dxa"/>
            </w:tcMar>
            <w:shd w:fill="17324D"/>
          </w:tcPr>
          <w:p>
            <w:pPr>
              <w:spacing w:after="0"/>
            </w:pPr>
            <w:r>
              <w:rPr>
                <w:rFonts w:ascii="Calibri" w:hAnsi="Calibri"/>
                <w:b/>
                <w:color w:val="FFFFFF"/>
                <w:sz w:val="19"/>
              </w:rPr>
              <w:t>Plain-language meaning</w:t>
            </w:r>
          </w:p>
        </w:tc>
      </w:tr>
      <w:tr>
        <w:tc>
          <w:tcPr>
            <w:tcW w:type="dxa" w:w="1900"/>
            <w:vAlign w:val="center"/>
            <w:tcMar>
              <w:top w:w="100" w:type="dxa"/>
              <w:start w:w="120" w:type="dxa"/>
              <w:bottom w:w="100" w:type="dxa"/>
              <w:end w:w="120" w:type="dxa"/>
            </w:tcMar>
          </w:tcPr>
          <w:p>
            <w:pPr>
              <w:spacing w:after="20" w:line="252" w:lineRule="auto"/>
            </w:pPr>
            <w:r>
              <w:rPr>
                <w:rFonts w:ascii="Calibri" w:hAnsi="Calibri"/>
                <w:color w:val="111827"/>
                <w:sz w:val="18"/>
              </w:rPr>
              <w:t>Strong and stable</w:t>
            </w:r>
          </w:p>
        </w:tc>
        <w:tc>
          <w:tcPr>
            <w:tcW w:type="dxa" w:w="3350"/>
            <w:vAlign w:val="center"/>
            <w:tcMar>
              <w:top w:w="100" w:type="dxa"/>
              <w:start w:w="120" w:type="dxa"/>
              <w:bottom w:w="100" w:type="dxa"/>
              <w:end w:w="120" w:type="dxa"/>
            </w:tcMar>
          </w:tcPr>
          <w:p>
            <w:pPr>
              <w:spacing w:after="20" w:line="252" w:lineRule="auto"/>
            </w:pPr>
            <w:r>
              <w:rPr>
                <w:rFonts w:ascii="Calibri" w:hAnsi="Calibri"/>
                <w:color w:val="111827"/>
                <w:sz w:val="18"/>
              </w:rPr>
              <w:t>AvgStability &gt;= 80 and quality change &gt;= -5 points.</w:t>
            </w:r>
          </w:p>
        </w:tc>
        <w:tc>
          <w:tcPr>
            <w:tcW w:type="dxa" w:w="4110"/>
            <w:vAlign w:val="center"/>
            <w:tcMar>
              <w:top w:w="100" w:type="dxa"/>
              <w:start w:w="120" w:type="dxa"/>
              <w:bottom w:w="100" w:type="dxa"/>
              <w:end w:w="120" w:type="dxa"/>
            </w:tcMar>
          </w:tcPr>
          <w:p>
            <w:pPr>
              <w:spacing w:after="20" w:line="252" w:lineRule="auto"/>
            </w:pPr>
            <w:r>
              <w:rPr>
                <w:rFonts w:ascii="Calibri" w:hAnsi="Calibri"/>
                <w:color w:val="111827"/>
                <w:sz w:val="18"/>
              </w:rPr>
              <w:t>Highly repeatable and does not materially deteriorate as data grows.</w:t>
            </w:r>
          </w:p>
        </w:tc>
      </w:tr>
      <w:tr>
        <w:tc>
          <w:tcPr>
            <w:tcW w:type="dxa" w:w="1900"/>
            <w:vAlign w:val="center"/>
            <w:tcMar>
              <w:top w:w="100" w:type="dxa"/>
              <w:start w:w="120" w:type="dxa"/>
              <w:bottom w:w="100" w:type="dxa"/>
              <w:end w:w="120" w:type="dxa"/>
            </w:tcMar>
          </w:tcPr>
          <w:p>
            <w:pPr>
              <w:spacing w:after="20" w:line="252" w:lineRule="auto"/>
            </w:pPr>
            <w:r>
              <w:rPr>
                <w:rFonts w:ascii="Calibri" w:hAnsi="Calibri"/>
                <w:color w:val="111827"/>
                <w:sz w:val="18"/>
              </w:rPr>
              <w:t>Moderately stable</w:t>
            </w:r>
          </w:p>
        </w:tc>
        <w:tc>
          <w:tcPr>
            <w:tcW w:type="dxa" w:w="3350"/>
            <w:vAlign w:val="center"/>
            <w:tcMar>
              <w:top w:w="100" w:type="dxa"/>
              <w:start w:w="120" w:type="dxa"/>
              <w:bottom w:w="100" w:type="dxa"/>
              <w:end w:w="120" w:type="dxa"/>
            </w:tcMar>
          </w:tcPr>
          <w:p>
            <w:pPr>
              <w:spacing w:after="20" w:line="252" w:lineRule="auto"/>
            </w:pPr>
            <w:r>
              <w:rPr>
                <w:rFonts w:ascii="Calibri" w:hAnsi="Calibri"/>
                <w:color w:val="111827"/>
                <w:sz w:val="18"/>
              </w:rPr>
              <w:t>AvgStability &gt;= 65 and quality change &gt;= -10 points.</w:t>
            </w:r>
          </w:p>
        </w:tc>
        <w:tc>
          <w:tcPr>
            <w:tcW w:type="dxa" w:w="4110"/>
            <w:vAlign w:val="center"/>
            <w:tcMar>
              <w:top w:w="100" w:type="dxa"/>
              <w:start w:w="120" w:type="dxa"/>
              <w:bottom w:w="100" w:type="dxa"/>
              <w:end w:w="120" w:type="dxa"/>
            </w:tcMar>
          </w:tcPr>
          <w:p>
            <w:pPr>
              <w:spacing w:after="20" w:line="252" w:lineRule="auto"/>
            </w:pPr>
            <w:r>
              <w:rPr>
                <w:rFonts w:ascii="Calibri" w:hAnsi="Calibri"/>
                <w:color w:val="111827"/>
                <w:sz w:val="18"/>
              </w:rPr>
              <w:t>Reasonably repeatable with tolerable data-growth degradation.</w:t>
            </w:r>
          </w:p>
        </w:tc>
      </w:tr>
      <w:tr>
        <w:tc>
          <w:tcPr>
            <w:tcW w:type="dxa" w:w="1900"/>
            <w:vAlign w:val="center"/>
            <w:tcMar>
              <w:top w:w="100" w:type="dxa"/>
              <w:start w:w="120" w:type="dxa"/>
              <w:bottom w:w="100" w:type="dxa"/>
              <w:end w:w="120" w:type="dxa"/>
            </w:tcMar>
          </w:tcPr>
          <w:p>
            <w:pPr>
              <w:spacing w:after="20" w:line="252" w:lineRule="auto"/>
            </w:pPr>
            <w:r>
              <w:rPr>
                <w:rFonts w:ascii="Calibri" w:hAnsi="Calibri"/>
                <w:color w:val="111827"/>
                <w:sz w:val="18"/>
              </w:rPr>
              <w:t>Needs review</w:t>
            </w:r>
          </w:p>
        </w:tc>
        <w:tc>
          <w:tcPr>
            <w:tcW w:type="dxa" w:w="3350"/>
            <w:vAlign w:val="center"/>
            <w:tcMar>
              <w:top w:w="100" w:type="dxa"/>
              <w:start w:w="120" w:type="dxa"/>
              <w:bottom w:w="100" w:type="dxa"/>
              <w:end w:w="120" w:type="dxa"/>
            </w:tcMar>
          </w:tcPr>
          <w:p>
            <w:pPr>
              <w:spacing w:after="20" w:line="252" w:lineRule="auto"/>
            </w:pPr>
            <w:r>
              <w:rPr>
                <w:rFonts w:ascii="Calibri" w:hAnsi="Calibri"/>
                <w:color w:val="111827"/>
                <w:sz w:val="18"/>
              </w:rPr>
              <w:t>Any result below the moderate thresholds.</w:t>
            </w:r>
          </w:p>
        </w:tc>
        <w:tc>
          <w:tcPr>
            <w:tcW w:type="dxa" w:w="4110"/>
            <w:vAlign w:val="center"/>
            <w:tcMar>
              <w:top w:w="100" w:type="dxa"/>
              <w:start w:w="120" w:type="dxa"/>
              <w:bottom w:w="100" w:type="dxa"/>
              <w:end w:w="120" w:type="dxa"/>
            </w:tcMar>
          </w:tcPr>
          <w:p>
            <w:pPr>
              <w:spacing w:after="20" w:line="252" w:lineRule="auto"/>
            </w:pPr>
            <w:r>
              <w:rPr>
                <w:rFonts w:ascii="Calibri" w:hAnsi="Calibri"/>
                <w:color w:val="111827"/>
                <w:sz w:val="18"/>
              </w:rPr>
              <w:t>Predictions vary too much or quality falls too sharply as data grows.</w:t>
            </w:r>
          </w:p>
        </w:tc>
      </w:tr>
      <w:tr>
        <w:tc>
          <w:tcPr>
            <w:tcW w:type="dxa" w:w="1900"/>
            <w:vAlign w:val="center"/>
            <w:tcMar>
              <w:top w:w="100" w:type="dxa"/>
              <w:start w:w="120" w:type="dxa"/>
              <w:bottom w:w="100" w:type="dxa"/>
              <w:end w:w="120" w:type="dxa"/>
            </w:tcMar>
          </w:tcPr>
          <w:p>
            <w:pPr>
              <w:spacing w:after="20" w:line="252" w:lineRule="auto"/>
            </w:pPr>
            <w:r>
              <w:rPr>
                <w:rFonts w:ascii="Calibri" w:hAnsi="Calibri"/>
                <w:color w:val="111827"/>
                <w:sz w:val="18"/>
              </w:rPr>
              <w:t>Insufficient metrics</w:t>
            </w:r>
          </w:p>
        </w:tc>
        <w:tc>
          <w:tcPr>
            <w:tcW w:type="dxa" w:w="3350"/>
            <w:vAlign w:val="center"/>
            <w:tcMar>
              <w:top w:w="100" w:type="dxa"/>
              <w:start w:w="120" w:type="dxa"/>
              <w:bottom w:w="100" w:type="dxa"/>
              <w:end w:w="120" w:type="dxa"/>
            </w:tcMar>
          </w:tcPr>
          <w:p>
            <w:pPr>
              <w:spacing w:after="20" w:line="252" w:lineRule="auto"/>
            </w:pPr>
            <w:r>
              <w:rPr>
                <w:rFonts w:ascii="Calibri" w:hAnsi="Calibri"/>
                <w:color w:val="111827"/>
                <w:sz w:val="18"/>
              </w:rPr>
              <w:t>Stability is unavailable.</w:t>
            </w:r>
          </w:p>
        </w:tc>
        <w:tc>
          <w:tcPr>
            <w:tcW w:type="dxa" w:w="4110"/>
            <w:vAlign w:val="center"/>
            <w:tcMar>
              <w:top w:w="100" w:type="dxa"/>
              <w:start w:w="120" w:type="dxa"/>
              <w:bottom w:w="100" w:type="dxa"/>
              <w:end w:w="120" w:type="dxa"/>
            </w:tcMar>
          </w:tcPr>
          <w:p>
            <w:pPr>
              <w:spacing w:after="20" w:line="252" w:lineRule="auto"/>
            </w:pPr>
            <w:r>
              <w:rPr>
                <w:rFonts w:ascii="Calibri" w:hAnsi="Calibri"/>
                <w:color w:val="111827"/>
                <w:sz w:val="18"/>
              </w:rPr>
              <w:t>The system cannot produce a defensible assessment.</w:t>
            </w:r>
          </w:p>
        </w:tc>
      </w:tr>
    </w:tbl>
    <w:p>
      <w:pPr>
        <w:spacing w:after="0"/>
      </w:pPr>
    </w:p>
    <w:p>
      <w:pPr>
        <w:pStyle w:val="Heading1"/>
      </w:pPr>
      <w:r>
        <w:t>9. Worked Example</w:t>
      </w:r>
    </w:p>
    <w:p>
      <w:r>
        <w:t>Suppose one model has partition quality scores of 76, 79, 82, and 84; stability scores of 80%, 82%, 84%, and 86%; and anomaly rates of 5%, 5.5%, 4.8%, and 5.2%.</w:t>
      </w:r>
    </w:p>
    <w:tbl>
      <w:tblPr>
        <w:tblStyle w:val="TableGrid"/>
        <w:tblW w:type="dxa" w:w="9360"/>
        <w:jc w:val="center"/>
        <w:tblLayout w:type="fixed"/>
        <w:tblLook w:firstColumn="1" w:firstRow="1" w:lastColumn="0" w:lastRow="0" w:noHBand="0" w:noVBand="1" w:val="04A0"/>
        <w:tblInd w:w="120" w:type="dxa"/>
      </w:tblPr>
      <w:tblGrid>
        <w:gridCol w:w="6200"/>
        <w:gridCol w:w="3160"/>
      </w:tblGrid>
      <w:tr>
        <w:trPr>
          <w:tblHeader w:val="true"/>
        </w:trPr>
        <w:tc>
          <w:tcPr>
            <w:tcW w:type="dxa" w:w="6200"/>
            <w:vAlign w:val="center"/>
            <w:tcMar>
              <w:top w:w="100" w:type="dxa"/>
              <w:start w:w="120" w:type="dxa"/>
              <w:bottom w:w="100" w:type="dxa"/>
              <w:end w:w="120" w:type="dxa"/>
            </w:tcMar>
            <w:shd w:fill="2563EB"/>
          </w:tcPr>
          <w:p>
            <w:pPr>
              <w:spacing w:after="0"/>
            </w:pPr>
            <w:r>
              <w:rPr>
                <w:rFonts w:ascii="Calibri" w:hAnsi="Calibri"/>
                <w:b/>
                <w:color w:val="FFFFFF"/>
                <w:sz w:val="19"/>
              </w:rPr>
              <w:t>Calculation</w:t>
            </w:r>
          </w:p>
        </w:tc>
        <w:tc>
          <w:tcPr>
            <w:tcW w:type="dxa" w:w="3160"/>
            <w:vAlign w:val="center"/>
            <w:tcMar>
              <w:top w:w="100" w:type="dxa"/>
              <w:start w:w="120" w:type="dxa"/>
              <w:bottom w:w="100" w:type="dxa"/>
              <w:end w:w="120" w:type="dxa"/>
            </w:tcMar>
            <w:shd w:fill="2563EB"/>
          </w:tcPr>
          <w:p>
            <w:pPr>
              <w:spacing w:after="0"/>
            </w:pPr>
            <w:r>
              <w:rPr>
                <w:rFonts w:ascii="Calibri" w:hAnsi="Calibri"/>
                <w:b/>
                <w:color w:val="FFFFFF"/>
                <w:sz w:val="19"/>
              </w:rPr>
              <w:t>Result</w:t>
            </w:r>
          </w:p>
        </w:tc>
      </w:tr>
      <w:tr>
        <w:tc>
          <w:tcPr>
            <w:tcW w:type="dxa" w:w="6200"/>
            <w:vAlign w:val="center"/>
            <w:tcMar>
              <w:top w:w="100" w:type="dxa"/>
              <w:start w:w="120" w:type="dxa"/>
              <w:bottom w:w="100" w:type="dxa"/>
              <w:end w:w="120" w:type="dxa"/>
            </w:tcMar>
          </w:tcPr>
          <w:p>
            <w:pPr>
              <w:spacing w:after="20" w:line="252" w:lineRule="auto"/>
            </w:pPr>
            <w:r>
              <w:rPr>
                <w:rFonts w:ascii="Calibri" w:hAnsi="Calibri"/>
                <w:color w:val="111827"/>
                <w:sz w:val="18"/>
              </w:rPr>
              <w:t>AvgQuality = (76 + 79 + 82 + 84) / 4</w:t>
            </w:r>
          </w:p>
        </w:tc>
        <w:tc>
          <w:tcPr>
            <w:tcW w:type="dxa" w:w="3160"/>
            <w:vAlign w:val="center"/>
            <w:tcMar>
              <w:top w:w="100" w:type="dxa"/>
              <w:start w:w="120" w:type="dxa"/>
              <w:bottom w:w="100" w:type="dxa"/>
              <w:end w:w="120" w:type="dxa"/>
            </w:tcMar>
          </w:tcPr>
          <w:p>
            <w:pPr>
              <w:spacing w:after="20" w:line="252" w:lineRule="auto"/>
            </w:pPr>
            <w:r>
              <w:rPr>
                <w:rFonts w:ascii="Calibri" w:hAnsi="Calibri"/>
                <w:color w:val="111827"/>
                <w:sz w:val="18"/>
              </w:rPr>
              <w:t>80.25 points</w:t>
            </w:r>
          </w:p>
        </w:tc>
      </w:tr>
      <w:tr>
        <w:tc>
          <w:tcPr>
            <w:tcW w:type="dxa" w:w="6200"/>
            <w:vAlign w:val="center"/>
            <w:tcMar>
              <w:top w:w="100" w:type="dxa"/>
              <w:start w:w="120" w:type="dxa"/>
              <w:bottom w:w="100" w:type="dxa"/>
              <w:end w:w="120" w:type="dxa"/>
            </w:tcMar>
          </w:tcPr>
          <w:p>
            <w:pPr>
              <w:spacing w:after="20" w:line="252" w:lineRule="auto"/>
            </w:pPr>
            <w:r>
              <w:rPr>
                <w:rFonts w:ascii="Calibri" w:hAnsi="Calibri"/>
                <w:color w:val="111827"/>
                <w:sz w:val="18"/>
              </w:rPr>
              <w:t>AvgStability = (80 + 82 + 84 + 86) / 4</w:t>
            </w:r>
          </w:p>
        </w:tc>
        <w:tc>
          <w:tcPr>
            <w:tcW w:type="dxa" w:w="3160"/>
            <w:vAlign w:val="center"/>
            <w:tcMar>
              <w:top w:w="100" w:type="dxa"/>
              <w:start w:w="120" w:type="dxa"/>
              <w:bottom w:w="100" w:type="dxa"/>
              <w:end w:w="120" w:type="dxa"/>
            </w:tcMar>
          </w:tcPr>
          <w:p>
            <w:pPr>
              <w:spacing w:after="20" w:line="252" w:lineRule="auto"/>
            </w:pPr>
            <w:r>
              <w:rPr>
                <w:rFonts w:ascii="Calibri" w:hAnsi="Calibri"/>
                <w:color w:val="111827"/>
                <w:sz w:val="18"/>
              </w:rPr>
              <w:t>83.00%</w:t>
            </w:r>
          </w:p>
        </w:tc>
      </w:tr>
      <w:tr>
        <w:tc>
          <w:tcPr>
            <w:tcW w:type="dxa" w:w="6200"/>
            <w:vAlign w:val="center"/>
            <w:tcMar>
              <w:top w:w="100" w:type="dxa"/>
              <w:start w:w="120" w:type="dxa"/>
              <w:bottom w:w="100" w:type="dxa"/>
              <w:end w:w="120" w:type="dxa"/>
            </w:tcMar>
          </w:tcPr>
          <w:p>
            <w:pPr>
              <w:spacing w:after="20" w:line="252" w:lineRule="auto"/>
            </w:pPr>
            <w:r>
              <w:rPr>
                <w:rFonts w:ascii="Calibri" w:hAnsi="Calibri"/>
                <w:color w:val="111827"/>
                <w:sz w:val="18"/>
              </w:rPr>
              <w:t>AvgAnomalyRate = (5 + 5.5 + 4.8 + 5.2) / 4</w:t>
            </w:r>
          </w:p>
        </w:tc>
        <w:tc>
          <w:tcPr>
            <w:tcW w:type="dxa" w:w="3160"/>
            <w:vAlign w:val="center"/>
            <w:tcMar>
              <w:top w:w="100" w:type="dxa"/>
              <w:start w:w="120" w:type="dxa"/>
              <w:bottom w:w="100" w:type="dxa"/>
              <w:end w:w="120" w:type="dxa"/>
            </w:tcMar>
          </w:tcPr>
          <w:p>
            <w:pPr>
              <w:spacing w:after="20" w:line="252" w:lineRule="auto"/>
            </w:pPr>
            <w:r>
              <w:rPr>
                <w:rFonts w:ascii="Calibri" w:hAnsi="Calibri"/>
                <w:color w:val="111827"/>
                <w:sz w:val="18"/>
              </w:rPr>
              <w:t>5.125%</w:t>
            </w:r>
          </w:p>
        </w:tc>
      </w:tr>
      <w:tr>
        <w:tc>
          <w:tcPr>
            <w:tcW w:type="dxa" w:w="6200"/>
            <w:vAlign w:val="center"/>
            <w:tcMar>
              <w:top w:w="100" w:type="dxa"/>
              <w:start w:w="120" w:type="dxa"/>
              <w:bottom w:w="100" w:type="dxa"/>
              <w:end w:w="120" w:type="dxa"/>
            </w:tcMar>
          </w:tcPr>
          <w:p>
            <w:pPr>
              <w:spacing w:after="20" w:line="252" w:lineRule="auto"/>
            </w:pPr>
            <w:r>
              <w:rPr>
                <w:rFonts w:ascii="Calibri" w:hAnsi="Calibri"/>
                <w:color w:val="111827"/>
                <w:sz w:val="18"/>
              </w:rPr>
              <w:t>10% to 100% = 84 - 76</w:t>
            </w:r>
          </w:p>
        </w:tc>
        <w:tc>
          <w:tcPr>
            <w:tcW w:type="dxa" w:w="3160"/>
            <w:vAlign w:val="center"/>
            <w:tcMar>
              <w:top w:w="100" w:type="dxa"/>
              <w:start w:w="120" w:type="dxa"/>
              <w:bottom w:w="100" w:type="dxa"/>
              <w:end w:w="120" w:type="dxa"/>
            </w:tcMar>
          </w:tcPr>
          <w:p>
            <w:pPr>
              <w:spacing w:after="20" w:line="252" w:lineRule="auto"/>
            </w:pPr>
            <w:r>
              <w:rPr>
                <w:rFonts w:ascii="Calibri" w:hAnsi="Calibri"/>
                <w:color w:val="111827"/>
                <w:sz w:val="18"/>
              </w:rPr>
              <w:t>+8.00 points</w:t>
            </w:r>
          </w:p>
        </w:tc>
      </w:tr>
      <w:tr>
        <w:tc>
          <w:tcPr>
            <w:tcW w:type="dxa" w:w="6200"/>
            <w:vAlign w:val="center"/>
            <w:tcMar>
              <w:top w:w="100" w:type="dxa"/>
              <w:start w:w="120" w:type="dxa"/>
              <w:bottom w:w="100" w:type="dxa"/>
              <w:end w:w="120" w:type="dxa"/>
            </w:tcMar>
          </w:tcPr>
          <w:p>
            <w:pPr>
              <w:spacing w:after="20" w:line="252" w:lineRule="auto"/>
            </w:pPr>
            <w:r>
              <w:rPr>
                <w:rFonts w:ascii="Calibri" w:hAnsi="Calibri"/>
                <w:color w:val="111827"/>
                <w:sz w:val="18"/>
              </w:rPr>
              <w:t>FitScore = 0.65 x 80.25 + 0.35 x 83.00</w:t>
            </w:r>
          </w:p>
        </w:tc>
        <w:tc>
          <w:tcPr>
            <w:tcW w:type="dxa" w:w="3160"/>
            <w:vAlign w:val="center"/>
            <w:tcMar>
              <w:top w:w="100" w:type="dxa"/>
              <w:start w:w="120" w:type="dxa"/>
              <w:bottom w:w="100" w:type="dxa"/>
              <w:end w:w="120" w:type="dxa"/>
            </w:tcMar>
          </w:tcPr>
          <w:p>
            <w:pPr>
              <w:spacing w:after="20" w:line="252" w:lineRule="auto"/>
            </w:pPr>
            <w:r>
              <w:rPr>
                <w:rFonts w:ascii="Calibri" w:hAnsi="Calibri"/>
                <w:color w:val="111827"/>
                <w:sz w:val="18"/>
              </w:rPr>
              <w:t>81.21 / 100</w:t>
            </w:r>
          </w:p>
        </w:tc>
      </w:tr>
      <w:tr>
        <w:tc>
          <w:tcPr>
            <w:tcW w:type="dxa" w:w="6200"/>
            <w:vAlign w:val="center"/>
            <w:tcMar>
              <w:top w:w="100" w:type="dxa"/>
              <w:start w:w="120" w:type="dxa"/>
              <w:bottom w:w="100" w:type="dxa"/>
              <w:end w:w="120" w:type="dxa"/>
            </w:tcMar>
          </w:tcPr>
          <w:p>
            <w:pPr>
              <w:spacing w:after="20" w:line="252" w:lineRule="auto"/>
            </w:pPr>
            <w:r>
              <w:rPr>
                <w:rFonts w:ascii="Calibri" w:hAnsi="Calibri"/>
                <w:color w:val="111827"/>
                <w:sz w:val="18"/>
              </w:rPr>
              <w:t>Assessment</w:t>
            </w:r>
          </w:p>
        </w:tc>
        <w:tc>
          <w:tcPr>
            <w:tcW w:type="dxa" w:w="3160"/>
            <w:vAlign w:val="center"/>
            <w:tcMar>
              <w:top w:w="100" w:type="dxa"/>
              <w:start w:w="120" w:type="dxa"/>
              <w:bottom w:w="100" w:type="dxa"/>
              <w:end w:w="120" w:type="dxa"/>
            </w:tcMar>
          </w:tcPr>
          <w:p>
            <w:pPr>
              <w:spacing w:after="20" w:line="252" w:lineRule="auto"/>
            </w:pPr>
            <w:r>
              <w:rPr>
                <w:rFonts w:ascii="Calibri" w:hAnsi="Calibri"/>
                <w:color w:val="111827"/>
                <w:sz w:val="18"/>
              </w:rPr>
              <w:t>Strong and stable</w:t>
            </w:r>
          </w:p>
        </w:tc>
      </w:tr>
    </w:tbl>
    <w:p>
      <w:pPr>
        <w:spacing w:after="0"/>
      </w:pPr>
    </w:p>
    <w:p>
      <w:r>
        <w:t>Conclusion: the model is ranked strongly because its quality rises as data grows, its decisions remain consistent across resampled training sets, and its anomaly volume remains close to the target. This still does not prove that the flagged transactions are real fraud.</w:t>
      </w:r>
    </w:p>
    <w:p>
      <w:pPr>
        <w:pStyle w:val="Heading1"/>
      </w:pPr>
      <w:r>
        <w:t>10. How to Explain the Five Models to a Professor</w:t>
      </w:r>
    </w:p>
    <w:tbl>
      <w:tblPr>
        <w:tblStyle w:val="TableGrid"/>
        <w:tblW w:type="dxa" w:w="9360"/>
        <w:jc w:val="center"/>
        <w:tblLayout w:type="fixed"/>
        <w:tblLook w:firstColumn="1" w:firstRow="1" w:lastColumn="0" w:lastRow="0" w:noHBand="0" w:noVBand="1" w:val="04A0"/>
        <w:tblInd w:w="120" w:type="dxa"/>
      </w:tblPr>
      <w:tblGrid>
        <w:gridCol w:w="1500"/>
        <w:gridCol w:w="3150"/>
        <w:gridCol w:w="2200"/>
        <w:gridCol w:w="2510"/>
      </w:tblGrid>
      <w:tr>
        <w:trPr>
          <w:tblHeader w:val="true"/>
          <w:tblHeader w:val="true"/>
        </w:trPr>
        <w:tc>
          <w:tcPr>
            <w:tcW w:type="dxa" w:w="1500"/>
            <w:vAlign w:val="center"/>
            <w:tcMar>
              <w:top w:w="100" w:type="dxa"/>
              <w:start w:w="120" w:type="dxa"/>
              <w:bottom w:w="100" w:type="dxa"/>
              <w:end w:w="120" w:type="dxa"/>
            </w:tcMar>
            <w:shd w:fill="17324D"/>
          </w:tcPr>
          <w:p>
            <w:pPr>
              <w:spacing w:after="0"/>
            </w:pPr>
            <w:r>
              <w:rPr>
                <w:rFonts w:ascii="Calibri" w:hAnsi="Calibri"/>
                <w:b/>
                <w:color w:val="FFFFFF"/>
                <w:sz w:val="19"/>
              </w:rPr>
              <w:t>Model</w:t>
            </w:r>
          </w:p>
        </w:tc>
        <w:tc>
          <w:tcPr>
            <w:tcW w:type="dxa" w:w="3150"/>
            <w:vAlign w:val="center"/>
            <w:tcMar>
              <w:top w:w="100" w:type="dxa"/>
              <w:start w:w="120" w:type="dxa"/>
              <w:bottom w:w="100" w:type="dxa"/>
              <w:end w:w="120" w:type="dxa"/>
            </w:tcMar>
            <w:shd w:fill="17324D"/>
          </w:tcPr>
          <w:p>
            <w:pPr>
              <w:spacing w:after="0"/>
            </w:pPr>
            <w:r>
              <w:rPr>
                <w:rFonts w:ascii="Calibri" w:hAnsi="Calibri"/>
                <w:b/>
                <w:color w:val="FFFFFF"/>
                <w:sz w:val="19"/>
              </w:rPr>
              <w:t>One-sentence explanation</w:t>
            </w:r>
          </w:p>
        </w:tc>
        <w:tc>
          <w:tcPr>
            <w:tcW w:type="dxa" w:w="2200"/>
            <w:vAlign w:val="center"/>
            <w:tcMar>
              <w:top w:w="100" w:type="dxa"/>
              <w:start w:w="120" w:type="dxa"/>
              <w:bottom w:w="100" w:type="dxa"/>
              <w:end w:w="120" w:type="dxa"/>
            </w:tcMar>
            <w:shd w:fill="17324D"/>
          </w:tcPr>
          <w:p>
            <w:pPr>
              <w:spacing w:after="0"/>
            </w:pPr>
            <w:r>
              <w:rPr>
                <w:rFonts w:ascii="Calibri" w:hAnsi="Calibri"/>
                <w:b/>
                <w:color w:val="FFFFFF"/>
                <w:sz w:val="19"/>
              </w:rPr>
              <w:t>Main strength</w:t>
            </w:r>
          </w:p>
        </w:tc>
        <w:tc>
          <w:tcPr>
            <w:tcW w:type="dxa" w:w="2510"/>
            <w:vAlign w:val="center"/>
            <w:tcMar>
              <w:top w:w="100" w:type="dxa"/>
              <w:start w:w="120" w:type="dxa"/>
              <w:bottom w:w="100" w:type="dxa"/>
              <w:end w:w="120" w:type="dxa"/>
            </w:tcMar>
            <w:shd w:fill="17324D"/>
          </w:tcPr>
          <w:p>
            <w:pPr>
              <w:spacing w:after="0"/>
            </w:pPr>
            <w:r>
              <w:rPr>
                <w:rFonts w:ascii="Calibri" w:hAnsi="Calibri"/>
                <w:b/>
                <w:color w:val="FFFFFF"/>
                <w:sz w:val="19"/>
              </w:rPr>
              <w:t>Main risk</w:t>
            </w:r>
          </w:p>
        </w:tc>
      </w:tr>
      <w:tr>
        <w:tc>
          <w:tcPr>
            <w:tcW w:type="dxa" w:w="1500"/>
            <w:vAlign w:val="center"/>
            <w:tcMar>
              <w:top w:w="100" w:type="dxa"/>
              <w:start w:w="120" w:type="dxa"/>
              <w:bottom w:w="100" w:type="dxa"/>
              <w:end w:w="120" w:type="dxa"/>
            </w:tcMar>
          </w:tcPr>
          <w:p>
            <w:pPr>
              <w:spacing w:after="20" w:line="252" w:lineRule="auto"/>
            </w:pPr>
            <w:r>
              <w:rPr>
                <w:rFonts w:ascii="Calibri" w:hAnsi="Calibri"/>
                <w:color w:val="111827"/>
                <w:sz w:val="18"/>
              </w:rPr>
              <w:t>Isolation Forest</w:t>
            </w:r>
          </w:p>
        </w:tc>
        <w:tc>
          <w:tcPr>
            <w:tcW w:type="dxa" w:w="3150"/>
            <w:vAlign w:val="center"/>
            <w:tcMar>
              <w:top w:w="100" w:type="dxa"/>
              <w:start w:w="120" w:type="dxa"/>
              <w:bottom w:w="100" w:type="dxa"/>
              <w:end w:w="120" w:type="dxa"/>
            </w:tcMar>
          </w:tcPr>
          <w:p>
            <w:pPr>
              <w:spacing w:after="20" w:line="252" w:lineRule="auto"/>
            </w:pPr>
            <w:r>
              <w:rPr>
                <w:rFonts w:ascii="Calibri" w:hAnsi="Calibri"/>
                <w:color w:val="111827"/>
                <w:sz w:val="18"/>
              </w:rPr>
              <w:t>Anomalies are transactions that random trees isolate using fewer splits.</w:t>
            </w:r>
          </w:p>
        </w:tc>
        <w:tc>
          <w:tcPr>
            <w:tcW w:type="dxa" w:w="2200"/>
            <w:vAlign w:val="center"/>
            <w:tcMar>
              <w:top w:w="100" w:type="dxa"/>
              <w:start w:w="120" w:type="dxa"/>
              <w:bottom w:w="100" w:type="dxa"/>
              <w:end w:w="120" w:type="dxa"/>
            </w:tcMar>
          </w:tcPr>
          <w:p>
            <w:pPr>
              <w:spacing w:after="20" w:line="252" w:lineRule="auto"/>
            </w:pPr>
            <w:r>
              <w:rPr>
                <w:rFonts w:ascii="Calibri" w:hAnsi="Calibri"/>
                <w:color w:val="111827"/>
                <w:sz w:val="18"/>
              </w:rPr>
              <w:t>Scales well and detects global anomalies.</w:t>
            </w:r>
          </w:p>
        </w:tc>
        <w:tc>
          <w:tcPr>
            <w:tcW w:type="dxa" w:w="2510"/>
            <w:vAlign w:val="center"/>
            <w:tcMar>
              <w:top w:w="100" w:type="dxa"/>
              <w:start w:w="120" w:type="dxa"/>
              <w:bottom w:w="100" w:type="dxa"/>
              <w:end w:w="120" w:type="dxa"/>
            </w:tcMar>
          </w:tcPr>
          <w:p>
            <w:pPr>
              <w:spacing w:after="20" w:line="252" w:lineRule="auto"/>
            </w:pPr>
            <w:r>
              <w:rPr>
                <w:rFonts w:ascii="Calibri" w:hAnsi="Calibri"/>
                <w:color w:val="111827"/>
                <w:sz w:val="18"/>
              </w:rPr>
              <w:t>Contamination and random sampling affect the boundary.</w:t>
            </w:r>
          </w:p>
        </w:tc>
      </w:tr>
      <w:tr>
        <w:tc>
          <w:tcPr>
            <w:tcW w:type="dxa" w:w="1500"/>
            <w:vAlign w:val="center"/>
            <w:tcMar>
              <w:top w:w="100" w:type="dxa"/>
              <w:start w:w="120" w:type="dxa"/>
              <w:bottom w:w="100" w:type="dxa"/>
              <w:end w:w="120" w:type="dxa"/>
            </w:tcMar>
          </w:tcPr>
          <w:p>
            <w:pPr>
              <w:spacing w:after="20" w:line="252" w:lineRule="auto"/>
            </w:pPr>
            <w:r>
              <w:rPr>
                <w:rFonts w:ascii="Calibri" w:hAnsi="Calibri"/>
                <w:color w:val="111827"/>
                <w:sz w:val="18"/>
              </w:rPr>
              <w:t>LOF</w:t>
            </w:r>
          </w:p>
        </w:tc>
        <w:tc>
          <w:tcPr>
            <w:tcW w:type="dxa" w:w="3150"/>
            <w:vAlign w:val="center"/>
            <w:tcMar>
              <w:top w:w="100" w:type="dxa"/>
              <w:start w:w="120" w:type="dxa"/>
              <w:bottom w:w="100" w:type="dxa"/>
              <w:end w:w="120" w:type="dxa"/>
            </w:tcMar>
          </w:tcPr>
          <w:p>
            <w:pPr>
              <w:spacing w:after="20" w:line="252" w:lineRule="auto"/>
            </w:pPr>
            <w:r>
              <w:rPr>
                <w:rFonts w:ascii="Calibri" w:hAnsi="Calibri"/>
                <w:color w:val="111827"/>
                <w:sz w:val="18"/>
              </w:rPr>
              <w:t>Anomalies have much lower local density than their nearest neighbors.</w:t>
            </w:r>
          </w:p>
        </w:tc>
        <w:tc>
          <w:tcPr>
            <w:tcW w:type="dxa" w:w="2200"/>
            <w:vAlign w:val="center"/>
            <w:tcMar>
              <w:top w:w="100" w:type="dxa"/>
              <w:start w:w="120" w:type="dxa"/>
              <w:bottom w:w="100" w:type="dxa"/>
              <w:end w:w="120" w:type="dxa"/>
            </w:tcMar>
          </w:tcPr>
          <w:p>
            <w:pPr>
              <w:spacing w:after="20" w:line="252" w:lineRule="auto"/>
            </w:pPr>
            <w:r>
              <w:rPr>
                <w:rFonts w:ascii="Calibri" w:hAnsi="Calibri"/>
                <w:color w:val="111827"/>
                <w:sz w:val="18"/>
              </w:rPr>
              <w:t>Finds anomalies hidden inside different local groups.</w:t>
            </w:r>
          </w:p>
        </w:tc>
        <w:tc>
          <w:tcPr>
            <w:tcW w:type="dxa" w:w="2510"/>
            <w:vAlign w:val="center"/>
            <w:tcMar>
              <w:top w:w="100" w:type="dxa"/>
              <w:start w:w="120" w:type="dxa"/>
              <w:bottom w:w="100" w:type="dxa"/>
              <w:end w:w="120" w:type="dxa"/>
            </w:tcMar>
          </w:tcPr>
          <w:p>
            <w:pPr>
              <w:spacing w:after="20" w:line="252" w:lineRule="auto"/>
            </w:pPr>
            <w:r>
              <w:rPr>
                <w:rFonts w:ascii="Calibri" w:hAnsi="Calibri"/>
                <w:color w:val="111827"/>
                <w:sz w:val="18"/>
              </w:rPr>
              <w:t>Sensitive to neighborhood size and high-dimensional distance.</w:t>
            </w:r>
          </w:p>
        </w:tc>
      </w:tr>
      <w:tr>
        <w:tc>
          <w:tcPr>
            <w:tcW w:type="dxa" w:w="1500"/>
            <w:vAlign w:val="center"/>
            <w:tcMar>
              <w:top w:w="100" w:type="dxa"/>
              <w:start w:w="120" w:type="dxa"/>
              <w:bottom w:w="100" w:type="dxa"/>
              <w:end w:w="120" w:type="dxa"/>
            </w:tcMar>
          </w:tcPr>
          <w:p>
            <w:pPr>
              <w:spacing w:after="20" w:line="252" w:lineRule="auto"/>
            </w:pPr>
            <w:r>
              <w:rPr>
                <w:rFonts w:ascii="Calibri" w:hAnsi="Calibri"/>
                <w:color w:val="111827"/>
                <w:sz w:val="18"/>
              </w:rPr>
              <w:t>One-Class SVM</w:t>
            </w:r>
          </w:p>
        </w:tc>
        <w:tc>
          <w:tcPr>
            <w:tcW w:type="dxa" w:w="3150"/>
            <w:vAlign w:val="center"/>
            <w:tcMar>
              <w:top w:w="100" w:type="dxa"/>
              <w:start w:w="120" w:type="dxa"/>
              <w:bottom w:w="100" w:type="dxa"/>
              <w:end w:w="120" w:type="dxa"/>
            </w:tcMar>
          </w:tcPr>
          <w:p>
            <w:pPr>
              <w:spacing w:after="20" w:line="252" w:lineRule="auto"/>
            </w:pPr>
            <w:r>
              <w:rPr>
                <w:rFonts w:ascii="Calibri" w:hAnsi="Calibri"/>
                <w:color w:val="111827"/>
                <w:sz w:val="18"/>
              </w:rPr>
              <w:t>Anomalies lie outside a nonlinear boundary learned around normal behavior.</w:t>
            </w:r>
          </w:p>
        </w:tc>
        <w:tc>
          <w:tcPr>
            <w:tcW w:type="dxa" w:w="2200"/>
            <w:vAlign w:val="center"/>
            <w:tcMar>
              <w:top w:w="100" w:type="dxa"/>
              <w:start w:w="120" w:type="dxa"/>
              <w:bottom w:w="100" w:type="dxa"/>
              <w:end w:w="120" w:type="dxa"/>
            </w:tcMar>
          </w:tcPr>
          <w:p>
            <w:pPr>
              <w:spacing w:after="20" w:line="252" w:lineRule="auto"/>
            </w:pPr>
            <w:r>
              <w:rPr>
                <w:rFonts w:ascii="Calibri" w:hAnsi="Calibri"/>
                <w:color w:val="111827"/>
                <w:sz w:val="18"/>
              </w:rPr>
              <w:t>Flexible nonlinear boundary.</w:t>
            </w:r>
          </w:p>
        </w:tc>
        <w:tc>
          <w:tcPr>
            <w:tcW w:type="dxa" w:w="2510"/>
            <w:vAlign w:val="center"/>
            <w:tcMar>
              <w:top w:w="100" w:type="dxa"/>
              <w:start w:w="120" w:type="dxa"/>
              <w:bottom w:w="100" w:type="dxa"/>
              <w:end w:w="120" w:type="dxa"/>
            </w:tcMar>
          </w:tcPr>
          <w:p>
            <w:pPr>
              <w:spacing w:after="20" w:line="252" w:lineRule="auto"/>
            </w:pPr>
            <w:r>
              <w:rPr>
                <w:rFonts w:ascii="Calibri" w:hAnsi="Calibri"/>
                <w:color w:val="111827"/>
                <w:sz w:val="18"/>
              </w:rPr>
              <w:t>Sensitive to scaling, gamma, nu, and dataset size.</w:t>
            </w:r>
          </w:p>
        </w:tc>
      </w:tr>
      <w:tr>
        <w:tc>
          <w:tcPr>
            <w:tcW w:type="dxa" w:w="1500"/>
            <w:vAlign w:val="center"/>
            <w:tcMar>
              <w:top w:w="100" w:type="dxa"/>
              <w:start w:w="120" w:type="dxa"/>
              <w:bottom w:w="100" w:type="dxa"/>
              <w:end w:w="120" w:type="dxa"/>
            </w:tcMar>
          </w:tcPr>
          <w:p>
            <w:pPr>
              <w:spacing w:after="20" w:line="252" w:lineRule="auto"/>
            </w:pPr>
            <w:r>
              <w:rPr>
                <w:rFonts w:ascii="Calibri" w:hAnsi="Calibri"/>
                <w:color w:val="111827"/>
                <w:sz w:val="18"/>
              </w:rPr>
              <w:t>Elliptic Envelope</w:t>
            </w:r>
          </w:p>
        </w:tc>
        <w:tc>
          <w:tcPr>
            <w:tcW w:type="dxa" w:w="3150"/>
            <w:vAlign w:val="center"/>
            <w:tcMar>
              <w:top w:w="100" w:type="dxa"/>
              <w:start w:w="120" w:type="dxa"/>
              <w:bottom w:w="100" w:type="dxa"/>
              <w:end w:w="120" w:type="dxa"/>
            </w:tcMar>
          </w:tcPr>
          <w:p>
            <w:pPr>
              <w:spacing w:after="20" w:line="252" w:lineRule="auto"/>
            </w:pPr>
            <w:r>
              <w:rPr>
                <w:rFonts w:ascii="Calibri" w:hAnsi="Calibri"/>
                <w:color w:val="111827"/>
                <w:sz w:val="18"/>
              </w:rPr>
              <w:t>Anomalies are far from a robust multivariate center under an elliptical assumption.</w:t>
            </w:r>
          </w:p>
        </w:tc>
        <w:tc>
          <w:tcPr>
            <w:tcW w:type="dxa" w:w="2200"/>
            <w:vAlign w:val="center"/>
            <w:tcMar>
              <w:top w:w="100" w:type="dxa"/>
              <w:start w:w="120" w:type="dxa"/>
              <w:bottom w:w="100" w:type="dxa"/>
              <w:end w:w="120" w:type="dxa"/>
            </w:tcMar>
          </w:tcPr>
          <w:p>
            <w:pPr>
              <w:spacing w:after="20" w:line="252" w:lineRule="auto"/>
            </w:pPr>
            <w:r>
              <w:rPr>
                <w:rFonts w:ascii="Calibri" w:hAnsi="Calibri"/>
                <w:color w:val="111827"/>
                <w:sz w:val="18"/>
              </w:rPr>
              <w:t>Interpretable covariance-based distance.</w:t>
            </w:r>
          </w:p>
        </w:tc>
        <w:tc>
          <w:tcPr>
            <w:tcW w:type="dxa" w:w="2510"/>
            <w:vAlign w:val="center"/>
            <w:tcMar>
              <w:top w:w="100" w:type="dxa"/>
              <w:start w:w="120" w:type="dxa"/>
              <w:bottom w:w="100" w:type="dxa"/>
              <w:end w:w="120" w:type="dxa"/>
            </w:tcMar>
          </w:tcPr>
          <w:p>
            <w:pPr>
              <w:spacing w:after="20" w:line="252" w:lineRule="auto"/>
            </w:pPr>
            <w:r>
              <w:rPr>
                <w:rFonts w:ascii="Calibri" w:hAnsi="Calibri"/>
                <w:color w:val="111827"/>
                <w:sz w:val="18"/>
              </w:rPr>
              <w:t>Weak fit when the data is strongly non-elliptical or multimodal.</w:t>
            </w:r>
          </w:p>
        </w:tc>
      </w:tr>
      <w:tr>
        <w:tc>
          <w:tcPr>
            <w:tcW w:type="dxa" w:w="1500"/>
            <w:vAlign w:val="center"/>
            <w:tcMar>
              <w:top w:w="100" w:type="dxa"/>
              <w:start w:w="120" w:type="dxa"/>
              <w:bottom w:w="100" w:type="dxa"/>
              <w:end w:w="120" w:type="dxa"/>
            </w:tcMar>
          </w:tcPr>
          <w:p>
            <w:pPr>
              <w:spacing w:after="20" w:line="252" w:lineRule="auto"/>
            </w:pPr>
            <w:r>
              <w:rPr>
                <w:rFonts w:ascii="Calibri" w:hAnsi="Calibri"/>
                <w:color w:val="111827"/>
                <w:sz w:val="18"/>
              </w:rPr>
              <w:t>PCA Reconstruction</w:t>
            </w:r>
          </w:p>
        </w:tc>
        <w:tc>
          <w:tcPr>
            <w:tcW w:type="dxa" w:w="3150"/>
            <w:vAlign w:val="center"/>
            <w:tcMar>
              <w:top w:w="100" w:type="dxa"/>
              <w:start w:w="120" w:type="dxa"/>
              <w:bottom w:w="100" w:type="dxa"/>
              <w:end w:w="120" w:type="dxa"/>
            </w:tcMar>
          </w:tcPr>
          <w:p>
            <w:pPr>
              <w:spacing w:after="20" w:line="252" w:lineRule="auto"/>
            </w:pPr>
            <w:r>
              <w:rPr>
                <w:rFonts w:ascii="Calibri" w:hAnsi="Calibri"/>
                <w:color w:val="111827"/>
                <w:sz w:val="18"/>
              </w:rPr>
              <w:t>Anomalies cannot be reconstructed well from the dominant normal-data components.</w:t>
            </w:r>
          </w:p>
        </w:tc>
        <w:tc>
          <w:tcPr>
            <w:tcW w:type="dxa" w:w="2200"/>
            <w:vAlign w:val="center"/>
            <w:tcMar>
              <w:top w:w="100" w:type="dxa"/>
              <w:start w:w="120" w:type="dxa"/>
              <w:bottom w:w="100" w:type="dxa"/>
              <w:end w:w="120" w:type="dxa"/>
            </w:tcMar>
          </w:tcPr>
          <w:p>
            <w:pPr>
              <w:spacing w:after="20" w:line="252" w:lineRule="auto"/>
            </w:pPr>
            <w:r>
              <w:rPr>
                <w:rFonts w:ascii="Calibri" w:hAnsi="Calibri"/>
                <w:color w:val="111827"/>
                <w:sz w:val="18"/>
              </w:rPr>
              <w:t>Captures unusual combinations of correlated features.</w:t>
            </w:r>
          </w:p>
        </w:tc>
        <w:tc>
          <w:tcPr>
            <w:tcW w:type="dxa" w:w="2510"/>
            <w:vAlign w:val="center"/>
            <w:tcMar>
              <w:top w:w="100" w:type="dxa"/>
              <w:start w:w="120" w:type="dxa"/>
              <w:bottom w:w="100" w:type="dxa"/>
              <w:end w:w="120" w:type="dxa"/>
            </w:tcMar>
          </w:tcPr>
          <w:p>
            <w:pPr>
              <w:spacing w:after="20" w:line="252" w:lineRule="auto"/>
            </w:pPr>
            <w:r>
              <w:rPr>
                <w:rFonts w:ascii="Calibri" w:hAnsi="Calibri"/>
                <w:color w:val="111827"/>
                <w:sz w:val="18"/>
              </w:rPr>
              <w:t>Linear PCA can miss nonlinear patterns.</w:t>
            </w:r>
          </w:p>
        </w:tc>
      </w:tr>
    </w:tbl>
    <w:p>
      <w:pPr>
        <w:spacing w:after="0"/>
      </w:pPr>
    </w:p>
    <w:p>
      <w:pPr>
        <w:pStyle w:val="Heading1"/>
      </w:pPr>
      <w:r>
        <w:t>11. What Can and Cannot Be Claimed</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tblHeader w:val="true"/>
        </w:trPr>
        <w:tc>
          <w:tcPr>
            <w:tcW w:type="dxa" w:w="4680"/>
            <w:vAlign w:val="center"/>
            <w:tcMar>
              <w:top w:w="100" w:type="dxa"/>
              <w:start w:w="120" w:type="dxa"/>
              <w:bottom w:w="100" w:type="dxa"/>
              <w:end w:w="120" w:type="dxa"/>
            </w:tcMar>
            <w:shd w:fill="2563EB"/>
          </w:tcPr>
          <w:p>
            <w:pPr>
              <w:spacing w:after="0"/>
            </w:pPr>
            <w:r>
              <w:rPr>
                <w:rFonts w:ascii="Calibri" w:hAnsi="Calibri"/>
                <w:b/>
                <w:color w:val="FFFFFF"/>
                <w:sz w:val="19"/>
              </w:rPr>
              <w:t>Safe claims now</w:t>
            </w:r>
          </w:p>
        </w:tc>
        <w:tc>
          <w:tcPr>
            <w:tcW w:type="dxa" w:w="4680"/>
            <w:vAlign w:val="center"/>
            <w:tcMar>
              <w:top w:w="100" w:type="dxa"/>
              <w:start w:w="120" w:type="dxa"/>
              <w:bottom w:w="100" w:type="dxa"/>
              <w:end w:w="120" w:type="dxa"/>
            </w:tcMar>
            <w:shd w:fill="2563EB"/>
          </w:tcPr>
          <w:p>
            <w:pPr>
              <w:spacing w:after="0"/>
            </w:pPr>
            <w:r>
              <w:rPr>
                <w:rFonts w:ascii="Calibri" w:hAnsi="Calibri"/>
                <w:b/>
                <w:color w:val="FFFFFF"/>
                <w:sz w:val="19"/>
              </w:rPr>
              <w:t>Claims that require reviewer-confirmed labels</w:t>
            </w:r>
          </w:p>
        </w:tc>
      </w:tr>
      <w:tr>
        <w:tc>
          <w:tcPr>
            <w:tcW w:type="dxa" w:w="4680"/>
            <w:vAlign w:val="center"/>
            <w:tcMar>
              <w:top w:w="100" w:type="dxa"/>
              <w:start w:w="120" w:type="dxa"/>
              <w:bottom w:w="100" w:type="dxa"/>
              <w:end w:w="120" w:type="dxa"/>
            </w:tcMar>
          </w:tcPr>
          <w:p>
            <w:pPr>
              <w:spacing w:after="20" w:line="252" w:lineRule="auto"/>
            </w:pPr>
            <w:r>
              <w:rPr>
                <w:rFonts w:ascii="Calibri" w:hAnsi="Calibri"/>
                <w:color w:val="111827"/>
                <w:sz w:val="18"/>
              </w:rPr>
              <w:t>Model A is more stable under bootstrap resampling.</w:t>
            </w:r>
          </w:p>
        </w:tc>
        <w:tc>
          <w:tcPr>
            <w:tcW w:type="dxa" w:w="4680"/>
            <w:vAlign w:val="center"/>
            <w:tcMar>
              <w:top w:w="100" w:type="dxa"/>
              <w:start w:w="120" w:type="dxa"/>
              <w:bottom w:w="100" w:type="dxa"/>
              <w:end w:w="120" w:type="dxa"/>
            </w:tcMar>
          </w:tcPr>
          <w:p>
            <w:pPr>
              <w:spacing w:after="20" w:line="252" w:lineRule="auto"/>
            </w:pPr>
            <w:r>
              <w:rPr>
                <w:rFonts w:ascii="Calibri" w:hAnsi="Calibri"/>
                <w:color w:val="111827"/>
                <w:sz w:val="18"/>
              </w:rPr>
              <w:t>Model A has higher real fraud precision.</w:t>
            </w:r>
          </w:p>
        </w:tc>
      </w:tr>
      <w:tr>
        <w:tc>
          <w:tcPr>
            <w:tcW w:type="dxa" w:w="4680"/>
            <w:vAlign w:val="center"/>
            <w:tcMar>
              <w:top w:w="100" w:type="dxa"/>
              <w:start w:w="120" w:type="dxa"/>
              <w:bottom w:w="100" w:type="dxa"/>
              <w:end w:w="120" w:type="dxa"/>
            </w:tcMar>
          </w:tcPr>
          <w:p>
            <w:pPr>
              <w:spacing w:after="20" w:line="252" w:lineRule="auto"/>
            </w:pPr>
            <w:r>
              <w:rPr>
                <w:rFonts w:ascii="Calibri" w:hAnsi="Calibri"/>
                <w:color w:val="111827"/>
                <w:sz w:val="18"/>
              </w:rPr>
              <w:t>Model A separates generated anomaly challenges more strongly.</w:t>
            </w:r>
          </w:p>
        </w:tc>
        <w:tc>
          <w:tcPr>
            <w:tcW w:type="dxa" w:w="4680"/>
            <w:vAlign w:val="center"/>
            <w:tcMar>
              <w:top w:w="100" w:type="dxa"/>
              <w:start w:w="120" w:type="dxa"/>
              <w:bottom w:w="100" w:type="dxa"/>
              <w:end w:w="120" w:type="dxa"/>
            </w:tcMar>
          </w:tcPr>
          <w:p>
            <w:pPr>
              <w:spacing w:after="20" w:line="252" w:lineRule="auto"/>
            </w:pPr>
            <w:r>
              <w:rPr>
                <w:rFonts w:ascii="Calibri" w:hAnsi="Calibri"/>
                <w:color w:val="111827"/>
                <w:sz w:val="18"/>
              </w:rPr>
              <w:t>Model A catches more actual fraud.</w:t>
            </w:r>
          </w:p>
        </w:tc>
      </w:tr>
      <w:tr>
        <w:tc>
          <w:tcPr>
            <w:tcW w:type="dxa" w:w="4680"/>
            <w:vAlign w:val="center"/>
            <w:tcMar>
              <w:top w:w="100" w:type="dxa"/>
              <w:start w:w="120" w:type="dxa"/>
              <w:bottom w:w="100" w:type="dxa"/>
              <w:end w:w="120" w:type="dxa"/>
            </w:tcMar>
          </w:tcPr>
          <w:p>
            <w:pPr>
              <w:spacing w:after="20" w:line="252" w:lineRule="auto"/>
            </w:pPr>
            <w:r>
              <w:rPr>
                <w:rFonts w:ascii="Calibri" w:hAnsi="Calibri"/>
                <w:color w:val="111827"/>
                <w:sz w:val="18"/>
              </w:rPr>
              <w:t>Model A's anomaly rate is near the configured operating target.</w:t>
            </w:r>
          </w:p>
        </w:tc>
        <w:tc>
          <w:tcPr>
            <w:tcW w:type="dxa" w:w="4680"/>
            <w:vAlign w:val="center"/>
            <w:tcMar>
              <w:top w:w="100" w:type="dxa"/>
              <w:start w:w="120" w:type="dxa"/>
              <w:bottom w:w="100" w:type="dxa"/>
              <w:end w:w="120" w:type="dxa"/>
            </w:tcMar>
          </w:tcPr>
          <w:p>
            <w:pPr>
              <w:spacing w:after="20" w:line="252" w:lineRule="auto"/>
            </w:pPr>
            <w:r>
              <w:rPr>
                <w:rFonts w:ascii="Calibri" w:hAnsi="Calibri"/>
                <w:color w:val="111827"/>
                <w:sz w:val="18"/>
              </w:rPr>
              <w:t>The reported anomaly rate is a true false-positive rate.</w:t>
            </w:r>
          </w:p>
        </w:tc>
      </w:tr>
      <w:tr>
        <w:tc>
          <w:tcPr>
            <w:tcW w:type="dxa" w:w="4680"/>
            <w:vAlign w:val="center"/>
            <w:tcMar>
              <w:top w:w="100" w:type="dxa"/>
              <w:start w:w="120" w:type="dxa"/>
              <w:bottom w:w="100" w:type="dxa"/>
              <w:end w:w="120" w:type="dxa"/>
            </w:tcMar>
          </w:tcPr>
          <w:p>
            <w:pPr>
              <w:spacing w:after="20" w:line="252" w:lineRule="auto"/>
            </w:pPr>
            <w:r>
              <w:rPr>
                <w:rFonts w:ascii="Calibri" w:hAnsi="Calibri"/>
                <w:color w:val="111827"/>
                <w:sz w:val="18"/>
              </w:rPr>
              <w:t>Model A improves or deteriorates as training data grows.</w:t>
            </w:r>
          </w:p>
        </w:tc>
        <w:tc>
          <w:tcPr>
            <w:tcW w:type="dxa" w:w="4680"/>
            <w:vAlign w:val="center"/>
            <w:tcMar>
              <w:top w:w="100" w:type="dxa"/>
              <w:start w:w="120" w:type="dxa"/>
              <w:bottom w:w="100" w:type="dxa"/>
              <w:end w:w="120" w:type="dxa"/>
            </w:tcMar>
          </w:tcPr>
          <w:p>
            <w:pPr>
              <w:spacing w:after="20" w:line="252" w:lineRule="auto"/>
            </w:pPr>
            <w:r>
              <w:rPr>
                <w:rFonts w:ascii="Calibri" w:hAnsi="Calibri"/>
                <w:color w:val="111827"/>
                <w:sz w:val="18"/>
              </w:rPr>
              <w:t>Model A has validated production accuracy or F1.</w:t>
            </w:r>
          </w:p>
        </w:tc>
      </w:tr>
      <w:tr>
        <w:tc>
          <w:tcPr>
            <w:tcW w:type="dxa" w:w="4680"/>
            <w:vAlign w:val="center"/>
            <w:tcMar>
              <w:top w:w="100" w:type="dxa"/>
              <w:start w:w="120" w:type="dxa"/>
              <w:bottom w:w="100" w:type="dxa"/>
              <w:end w:w="120" w:type="dxa"/>
            </w:tcMar>
          </w:tcPr>
          <w:p>
            <w:pPr>
              <w:spacing w:after="20" w:line="252" w:lineRule="auto"/>
            </w:pPr>
            <w:r>
              <w:rPr>
                <w:rFonts w:ascii="Calibri" w:hAnsi="Calibri"/>
                <w:color w:val="111827"/>
                <w:sz w:val="18"/>
              </w:rPr>
              <w:t>The ensemble creates cases when configured votes reach the threshold.</w:t>
            </w:r>
          </w:p>
        </w:tc>
        <w:tc>
          <w:tcPr>
            <w:tcW w:type="dxa" w:w="4680"/>
            <w:vAlign w:val="center"/>
            <w:tcMar>
              <w:top w:w="100" w:type="dxa"/>
              <w:start w:w="120" w:type="dxa"/>
              <w:bottom w:w="100" w:type="dxa"/>
              <w:end w:w="120" w:type="dxa"/>
            </w:tcMar>
          </w:tcPr>
          <w:p>
            <w:pPr>
              <w:spacing w:after="20" w:line="252" w:lineRule="auto"/>
            </w:pPr>
            <w:r>
              <w:rPr>
                <w:rFonts w:ascii="Calibri" w:hAnsi="Calibri"/>
                <w:color w:val="111827"/>
                <w:sz w:val="18"/>
              </w:rPr>
              <w:t>A generated case confirms that fraud occurred.</w:t>
            </w:r>
          </w:p>
        </w:tc>
      </w:tr>
    </w:tbl>
    <w:p>
      <w:pPr>
        <w:spacing w:after="0"/>
      </w:pP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E9F8F1"/>
          </w:tcPr>
          <w:p>
            <w:pPr>
              <w:spacing w:after="0"/>
            </w:pPr>
            <w:r>
              <w:rPr>
                <w:b/>
                <w:color w:val="087A55"/>
              </w:rPr>
              <w:t xml:space="preserve">Future validation: </w:t>
            </w:r>
            <w:r>
              <w:t>After reviewers label alerts as suspicious or false positive, report precision, recall, F1, false-positive rate, confusion matrix, precision-recall curves, calibration, subgroup checks, and time-based backtesting.</w:t>
            </w:r>
          </w:p>
        </w:tc>
      </w:tr>
    </w:tbl>
    <w:p>
      <w:pPr>
        <w:spacing w:after="0"/>
      </w:pPr>
    </w:p>
    <w:p>
      <w:pPr>
        <w:pStyle w:val="Heading1"/>
      </w:pPr>
      <w:r>
        <w:t>12. Short Viva Script</w:t>
      </w:r>
    </w:p>
    <w:p>
      <w:pPr>
        <w:spacing w:after="100"/>
      </w:pPr>
      <w:r>
        <w:rPr>
          <w:b/>
          <w:color w:val="17324D"/>
        </w:rPr>
        <w:t xml:space="preserve">Why unsupervised models?. </w:t>
      </w:r>
      <w:r>
        <w:t>The dataset does not contain confirmed fraud labels, so supervised fraud accuracy cannot yet be estimated.</w:t>
      </w:r>
    </w:p>
    <w:p>
      <w:pPr>
        <w:spacing w:after="100"/>
      </w:pPr>
      <w:r>
        <w:rPr>
          <w:b/>
          <w:color w:val="17324D"/>
        </w:rPr>
        <w:t xml:space="preserve">How do you compare different algorithms?. </w:t>
      </w:r>
      <w:r>
        <w:t>Native scores are not compared directly. Every model is evaluated on a shared chronological holdout and shared synthetic anomaly challenges, then converted to common 0-100 quality and stability indicators.</w:t>
      </w:r>
    </w:p>
    <w:p>
      <w:pPr>
        <w:spacing w:after="100"/>
      </w:pPr>
      <w:r>
        <w:rPr>
          <w:b/>
          <w:color w:val="17324D"/>
        </w:rPr>
        <w:t xml:space="preserve">Why use four dataset sizes?. </w:t>
      </w:r>
      <w:r>
        <w:t>The 10%, 25%, 50%, and 100% partitions reveal whether a model remains stable and improves when more historical data becomes available.</w:t>
      </w:r>
    </w:p>
    <w:p>
      <w:pPr>
        <w:spacing w:after="100"/>
      </w:pPr>
      <w:r>
        <w:rPr>
          <w:b/>
          <w:color w:val="17324D"/>
        </w:rPr>
        <w:t xml:space="preserve">What does the best-fit model mean?. </w:t>
      </w:r>
      <w:r>
        <w:t>It is the model with the highest current label-free composite score, not necessarily the model with the highest real fraud-detection accuracy.</w:t>
      </w:r>
    </w:p>
    <w:p>
      <w:pPr>
        <w:spacing w:after="100"/>
      </w:pPr>
      <w:r>
        <w:rPr>
          <w:b/>
          <w:color w:val="17324D"/>
        </w:rPr>
        <w:t xml:space="preserve">Why use voting?. </w:t>
      </w:r>
      <w:r>
        <w:t>Different anomaly models capture different structures. Voting reduces dependence on one algorithm and lets the business choose how much agreement is required before creating a case.</w:t>
      </w:r>
    </w:p>
    <w:p>
      <w:pPr>
        <w:pStyle w:val="Heading1"/>
      </w:pPr>
      <w:r>
        <w:t>13. References and Implementation Basis</w:t>
      </w:r>
    </w:p>
    <w:p>
      <w:pPr>
        <w:spacing w:after="80"/>
        <w:ind w:left="360" w:hanging="360"/>
      </w:pPr>
      <w:r>
        <w:rPr>
          <w:b/>
        </w:rPr>
        <w:t xml:space="preserve">1. </w:t>
      </w:r>
      <w:r>
        <w:t>Project implementation: fraud-ml-service/app/training.py - candidate evaluation, synthetic anomalies, stability, quality score, anomaly rate, and decision percentiles.</w:t>
      </w:r>
    </w:p>
    <w:p>
      <w:pPr>
        <w:spacing w:after="80"/>
        <w:ind w:left="360" w:hanging="360"/>
      </w:pPr>
      <w:r>
        <w:rPr>
          <w:b/>
        </w:rPr>
        <w:t xml:space="preserve">2. </w:t>
      </w:r>
      <w:r>
        <w:t>Project implementation: fraud-transaction-ui/src/app/pages/datasets-page.component.ts - averages, fit score, 10%-to-100% change, sorting, and assessment thresholds.</w:t>
      </w:r>
    </w:p>
    <w:p>
      <w:pPr>
        <w:spacing w:after="80"/>
        <w:ind w:left="360" w:hanging="360"/>
      </w:pPr>
      <w:r>
        <w:rPr>
          <w:b/>
        </w:rPr>
        <w:t xml:space="preserve">3. </w:t>
      </w:r>
      <w:r>
        <w:t>Scikit-learn User Guide: Novelty and Outlier Detection, including Isolation Forest, LOF, One-Class SVM, and Elliptic Envelope. https://scikit-learn.org/stable/modules/outlier_detection.html</w:t>
      </w:r>
    </w:p>
    <w:p>
      <w:pPr>
        <w:spacing w:after="80"/>
        <w:ind w:left="360" w:hanging="360"/>
      </w:pPr>
      <w:r>
        <w:rPr>
          <w:b/>
        </w:rPr>
        <w:t xml:space="preserve">4. </w:t>
      </w:r>
      <w:r>
        <w:t>Scikit-learn API documentation: IsolationForest. https://scikit-learn.org/stable/modules/generated/sklearn.ensemble.IsolationForest.html</w:t>
      </w:r>
    </w:p>
    <w:p>
      <w:pPr>
        <w:spacing w:after="80"/>
        <w:ind w:left="360" w:hanging="360"/>
      </w:pPr>
      <w:r>
        <w:rPr>
          <w:b/>
        </w:rPr>
        <w:t xml:space="preserve">5. </w:t>
      </w:r>
      <w:r>
        <w:t>Scikit-learn API documentation: LocalOutlierFactor. https://scikit-learn.org/stable/modules/generated/sklearn.neighbors.LocalOutlierFactor.html</w:t>
      </w:r>
    </w:p>
    <w:p>
      <w:pPr>
        <w:spacing w:after="80"/>
        <w:ind w:left="360" w:hanging="360"/>
      </w:pPr>
      <w:r>
        <w:rPr>
          <w:b/>
        </w:rPr>
        <w:t xml:space="preserve">6. </w:t>
      </w:r>
      <w:r>
        <w:t>Scikit-learn API documentation: OneClassSVM. https://scikit-learn.org/stable/modules/generated/sklearn.svm.OneClassSVM.html</w:t>
      </w:r>
    </w:p>
    <w:p>
      <w:pPr>
        <w:spacing w:after="80"/>
        <w:ind w:left="360" w:hanging="360"/>
      </w:pPr>
      <w:r>
        <w:rPr>
          <w:b/>
        </w:rPr>
        <w:t xml:space="preserve">7. </w:t>
      </w:r>
      <w:r>
        <w:t>Mihelich et al. (2024), Interplay of ROC and Precision-Recall AUCs, Proceedings of Machine Learning Research 235.</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F5F8FC"/>
          </w:tcPr>
          <w:p>
            <w:pPr>
              <w:spacing w:after="0"/>
            </w:pPr>
            <w:r>
              <w:rPr>
                <w:b/>
                <w:color w:val="2563EB"/>
              </w:rPr>
              <w:t xml:space="preserve">Final takeaway: </w:t>
            </w:r>
            <w:r>
              <w:t>The report is a defensible engineering comparison for model selection under missing labels. Its strongest scientific language is 'proxy quality and robustness assessment.' Real fraud effectiveness must be added later using reviewer-confirmed outcomes.</w:t>
            </w:r>
          </w:p>
        </w:tc>
      </w:tr>
    </w:tbl>
    <w:p>
      <w:pPr>
        <w:spacing w:after="0"/>
      </w:pPr>
    </w:p>
    <w:sectPr w:rsidR="00FC693F" w:rsidRPr="0006063C" w:rsidSect="00034616">
      <w:headerReference w:type="default" r:id="rId9"/>
      <w:footerReference w:type="default" r:id="rId10"/>
      <w:pgSz w:w="12240" w:h="15840"/>
      <w:pgMar w:top="1181" w:right="1440" w:bottom="1123"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6"/>
      </w:rPr>
      <w:t xml:space="preserve">Anomaly model measurement methodology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7085"/>
        <w:sz w:val="16"/>
      </w:rPr>
      <w:t>FRAUD TRANSACTION DETECTOR | TECHNICAL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20"/>
    </w:pPr>
    <w:rPr>
      <w:rFonts w:ascii="Calibri" w:hAnsi="Calibri"/>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Anomaly Model Measurement Guide</dc:title>
  <dc:subject>Fraud transaction detector model comparison methodology</dc:subject>
  <dc:creator>Fraud Transaction Detector Project</dc:creator>
  <cp:keywords>anomaly detection, model comparison, stability, proxy quality</cp:keywords>
  <dc:description>generated by python-docx</dc:description>
  <cp:lastModifiedBy/>
  <cp:revision>1</cp:revision>
  <dcterms:created xsi:type="dcterms:W3CDTF">2013-12-23T23:15:00Z</dcterms:created>
  <dcterms:modified xsi:type="dcterms:W3CDTF">2013-12-23T23:15:00Z</dcterms:modified>
  <cp:category/>
</cp:coreProperties>
</file>