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360"/>
        <w:jc w:val="center"/>
      </w:pPr>
      <w:r>
        <w:rPr>
          <w:rFonts w:ascii="Calibri" w:hAnsi="Calibri"/>
          <w:b/>
          <w:color w:val="2563EB"/>
          <w:sz w:val="20"/>
        </w:rPr>
        <w:t>PLAIN-LANGUAGE LEARNING GUIDE</w:t>
      </w:r>
    </w:p>
    <w:p>
      <w:pPr>
        <w:spacing w:after="200"/>
        <w:jc w:val="center"/>
      </w:pPr>
      <w:r>
        <w:rPr>
          <w:rFonts w:ascii="Calibri" w:hAnsi="Calibri"/>
          <w:b/>
          <w:color w:val="0F2747"/>
          <w:sz w:val="60"/>
        </w:rPr>
        <w:t>How the AML Anomaly Detection System Works</w:t>
      </w:r>
    </w:p>
    <w:p>
      <w:pPr>
        <w:spacing w:after="560"/>
        <w:jc w:val="center"/>
      </w:pPr>
      <w:r>
        <w:rPr>
          <w:rFonts w:ascii="Calibri" w:hAnsi="Calibri"/>
          <w:color w:val="64748B"/>
          <w:sz w:val="28"/>
        </w:rPr>
        <w:t>A simple explanation of the transaction flow, models, training, scalability, safety controls, and case management</w:t>
      </w:r>
    </w:p>
    <w:tbl>
      <w:tblPr>
        <w:tblStyle w:val="TableGrid"/>
        <w:tblW w:type="dxa" w:w="9360"/>
        <w:jc w:val="left"/>
        <w:tblLayout w:type="fixed"/>
        <w:tblLook w:firstColumn="1" w:firstRow="1" w:lastColumn="0" w:lastRow="0" w:noHBand="0" w:noVBand="1" w:val="04A0"/>
        <w:tblInd w:w="120" w:type="dxa"/>
      </w:tblPr>
      <w:tblGrid>
        <w:gridCol w:w="1800"/>
        <w:gridCol w:w="7560"/>
      </w:tblGrid>
      <w:tr>
        <w:tc>
          <w:tcPr>
            <w:tcW w:type="dxa" w:w="1800"/>
            <w:shd w:fill="0F2747"/>
            <w:tcMar>
              <w:top w:w="90" w:type="dxa"/>
              <w:start w:w="120" w:type="dxa"/>
              <w:bottom w:w="90" w:type="dxa"/>
              <w:end w:w="120" w:type="dxa"/>
            </w:tcMar>
            <w:vAlign w:val="center"/>
          </w:tcPr>
          <w:p>
            <w:r>
              <w:rPr>
                <w:rFonts w:ascii="Calibri" w:hAnsi="Calibri"/>
                <w:b/>
                <w:color w:val="FFFFFF"/>
                <w:sz w:val="19"/>
              </w:rPr>
              <w:t>Audience</w:t>
            </w:r>
          </w:p>
        </w:tc>
        <w:tc>
          <w:tcPr>
            <w:tcW w:type="dxa" w:w="7560"/>
            <w:shd w:fill="F7FAFF"/>
            <w:tcMar>
              <w:top w:w="90" w:type="dxa"/>
              <w:start w:w="120" w:type="dxa"/>
              <w:bottom w:w="90" w:type="dxa"/>
              <w:end w:w="120" w:type="dxa"/>
            </w:tcMar>
            <w:vAlign w:val="center"/>
          </w:tcPr>
          <w:p>
            <w:r>
              <w:rPr>
                <w:rFonts w:ascii="Calibri" w:hAnsi="Calibri"/>
                <w:color w:val="1E293B"/>
                <w:sz w:val="19"/>
              </w:rPr>
              <w:t>Students, professors, project evaluators, AML users, and new technical team members</w:t>
            </w:r>
          </w:p>
        </w:tc>
      </w:tr>
      <w:tr>
        <w:tc>
          <w:tcPr>
            <w:tcW w:type="dxa" w:w="1800"/>
            <w:shd w:fill="0F2747"/>
            <w:tcMar>
              <w:top w:w="90" w:type="dxa"/>
              <w:start w:w="120" w:type="dxa"/>
              <w:bottom w:w="90" w:type="dxa"/>
              <w:end w:w="120" w:type="dxa"/>
            </w:tcMar>
            <w:vAlign w:val="center"/>
          </w:tcPr>
          <w:p>
            <w:r>
              <w:rPr>
                <w:rFonts w:ascii="Calibri" w:hAnsi="Calibri"/>
                <w:b/>
                <w:color w:val="FFFFFF"/>
                <w:sz w:val="19"/>
              </w:rPr>
              <w:t>Version</w:t>
            </w:r>
          </w:p>
        </w:tc>
        <w:tc>
          <w:tcPr>
            <w:tcW w:type="dxa" w:w="7560"/>
            <w:shd w:fill="F7FAFF"/>
            <w:tcMar>
              <w:top w:w="90" w:type="dxa"/>
              <w:start w:w="120" w:type="dxa"/>
              <w:bottom w:w="90" w:type="dxa"/>
              <w:end w:w="120" w:type="dxa"/>
            </w:tcMar>
            <w:vAlign w:val="center"/>
          </w:tcPr>
          <w:p>
            <w:r>
              <w:rPr>
                <w:rFonts w:ascii="Calibri" w:hAnsi="Calibri"/>
                <w:color w:val="1E293B"/>
                <w:sz w:val="19"/>
              </w:rPr>
              <w:t>1.0</w:t>
            </w:r>
          </w:p>
        </w:tc>
      </w:tr>
      <w:tr>
        <w:tc>
          <w:tcPr>
            <w:tcW w:type="dxa" w:w="1800"/>
            <w:shd w:fill="0F2747"/>
            <w:tcMar>
              <w:top w:w="90" w:type="dxa"/>
              <w:start w:w="120" w:type="dxa"/>
              <w:bottom w:w="90" w:type="dxa"/>
              <w:end w:w="120" w:type="dxa"/>
            </w:tcMar>
            <w:vAlign w:val="center"/>
          </w:tcPr>
          <w:p>
            <w:r>
              <w:rPr>
                <w:rFonts w:ascii="Calibri" w:hAnsi="Calibri"/>
                <w:b/>
                <w:color w:val="FFFFFF"/>
                <w:sz w:val="19"/>
              </w:rPr>
              <w:t>Prepared</w:t>
            </w:r>
          </w:p>
        </w:tc>
        <w:tc>
          <w:tcPr>
            <w:tcW w:type="dxa" w:w="7560"/>
            <w:shd w:fill="F7FAFF"/>
            <w:tcMar>
              <w:top w:w="90" w:type="dxa"/>
              <w:start w:w="120" w:type="dxa"/>
              <w:bottom w:w="90" w:type="dxa"/>
              <w:end w:w="120" w:type="dxa"/>
            </w:tcMar>
            <w:vAlign w:val="center"/>
          </w:tcPr>
          <w:p>
            <w:r>
              <w:rPr>
                <w:rFonts w:ascii="Calibri" w:hAnsi="Calibri"/>
                <w:color w:val="1E293B"/>
                <w:sz w:val="19"/>
              </w:rPr>
              <w:t>August 06, 2026</w:t>
            </w:r>
          </w:p>
        </w:tc>
      </w:tr>
    </w:tbl>
    <w:p>
      <w:pPr>
        <w:spacing w:before="560"/>
        <w:jc w:val="center"/>
      </w:pPr>
      <w:r>
        <w:rPr>
          <w:rFonts w:ascii="Calibri" w:hAnsi="Calibri"/>
          <w:b/>
          <w:color w:val="0F2747"/>
          <w:sz w:val="20"/>
        </w:rPr>
        <w:t>Fraud Transaction Detector | AML Anomaly Intelligence Platform</w:t>
      </w:r>
    </w:p>
    <w:p>
      <w:r>
        <w:br w:type="page"/>
      </w:r>
    </w:p>
    <w:p>
      <w:pPr>
        <w:pStyle w:val="Heading1"/>
      </w:pPr>
      <w:r>
        <w:t>Start Here: The Whole System in One Minute</w:t>
      </w:r>
    </w:p>
    <w:p>
      <w:r>
        <w:rPr>
          <w:rFonts w:ascii="Calibri" w:hAnsi="Calibri"/>
          <w:color w:val="1E293B"/>
        </w:rPr>
        <w:t>Think of the system as a careful bank-security assistant. It watches each transaction, compares it with the customer's normal behaviour and similar customers, checks known AML rules, asks two scalable machine-learning models for additional evidence, and combines everything into one risk score. If the evidence is strong enough, it creates a case for a human reviewer.</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90" w:type="dxa"/>
              <w:start w:w="120" w:type="dxa"/>
              <w:bottom w:w="90" w:type="dxa"/>
              <w:end w:w="120" w:type="dxa"/>
            </w:tcMar>
            <w:vAlign w:val="center"/>
          </w:tcPr>
          <w:p>
            <w:pPr>
              <w:spacing w:after="0"/>
            </w:pPr>
            <w:r>
              <w:rPr>
                <w:rFonts w:ascii="Calibri" w:hAnsi="Calibri"/>
                <w:b/>
                <w:color w:val="92400E"/>
              </w:rPr>
              <w:t xml:space="preserve">Most important idea: </w:t>
            </w:r>
            <w:r>
              <w:rPr>
                <w:rFonts w:ascii="Calibri" w:hAnsi="Calibri"/>
                <w:color w:val="1E293B"/>
              </w:rPr>
              <w:t>The system does not say that fraud is proven. It says that a transaction is suspicious enough to investigate.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Transaction</w:t>
            </w:r>
          </w:p>
          <w:p>
            <w:pPr>
              <w:jc w:val="center"/>
            </w:pPr>
            <w:r>
              <w:rPr>
                <w:rFonts w:ascii="Calibri" w:hAnsi="Calibri"/>
                <w:color w:val="1E293B"/>
                <w:sz w:val="16"/>
              </w:rPr>
              <w:t>Save the bank event</w:t>
            </w:r>
          </w:p>
        </w:tc>
        <w:tc>
          <w:tcPr>
            <w:tcW w:type="dxa" w:w="1872"/>
            <w:shd w:fill="F7FAFF"/>
            <w:tcMar>
              <w:top w:w="90" w:type="dxa"/>
              <w:start w:w="120" w:type="dxa"/>
              <w:bottom w:w="90" w:type="dxa"/>
              <w:end w:w="120" w:type="dxa"/>
            </w:tcMar>
            <w:vAlign w:val="center"/>
          </w:tcPr>
          <w:p>
            <w:pPr>
              <w:jc w:val="center"/>
            </w:pPr>
            <w:r>
              <w:rPr>
                <w:rFonts w:ascii="Calibri" w:hAnsi="Calibri"/>
                <w:b/>
                <w:color w:val="2563EB"/>
                <w:sz w:val="18"/>
              </w:rPr>
              <w:t>Understand</w:t>
            </w:r>
          </w:p>
          <w:p>
            <w:pPr>
              <w:jc w:val="center"/>
            </w:pPr>
            <w:r>
              <w:rPr>
                <w:rFonts w:ascii="Calibri" w:hAnsi="Calibri"/>
                <w:color w:val="1E293B"/>
                <w:sz w:val="16"/>
              </w:rPr>
              <w:t>Build behaviour features</w:t>
            </w:r>
          </w:p>
        </w:tc>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Score</w:t>
            </w:r>
          </w:p>
          <w:p>
            <w:pPr>
              <w:jc w:val="center"/>
            </w:pPr>
            <w:r>
              <w:rPr>
                <w:rFonts w:ascii="Calibri" w:hAnsi="Calibri"/>
                <w:color w:val="1E293B"/>
                <w:sz w:val="16"/>
              </w:rPr>
              <w:t>Rules + behaviour + ML</w:t>
            </w:r>
          </w:p>
        </w:tc>
        <w:tc>
          <w:tcPr>
            <w:tcW w:type="dxa" w:w="1872"/>
            <w:shd w:fill="F7FAFF"/>
            <w:tcMar>
              <w:top w:w="90" w:type="dxa"/>
              <w:start w:w="120" w:type="dxa"/>
              <w:bottom w:w="90" w:type="dxa"/>
              <w:end w:w="120" w:type="dxa"/>
            </w:tcMar>
            <w:vAlign w:val="center"/>
          </w:tcPr>
          <w:p>
            <w:pPr>
              <w:jc w:val="center"/>
            </w:pPr>
            <w:r>
              <w:rPr>
                <w:rFonts w:ascii="Calibri" w:hAnsi="Calibri"/>
                <w:b/>
                <w:color w:val="2563EB"/>
                <w:sz w:val="18"/>
              </w:rPr>
              <w:t>Decide</w:t>
            </w:r>
          </w:p>
          <w:p>
            <w:pPr>
              <w:jc w:val="center"/>
            </w:pPr>
            <w:r>
              <w:rPr>
                <w:rFonts w:ascii="Calibri" w:hAnsi="Calibri"/>
                <w:color w:val="1E293B"/>
                <w:sz w:val="16"/>
              </w:rPr>
              <w:t>Calculate final risk</w:t>
            </w:r>
          </w:p>
        </w:tc>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Review</w:t>
            </w:r>
          </w:p>
          <w:p>
            <w:pPr>
              <w:jc w:val="center"/>
            </w:pPr>
            <w:r>
              <w:rPr>
                <w:rFonts w:ascii="Calibri" w:hAnsi="Calibri"/>
                <w:color w:val="1E293B"/>
                <w:sz w:val="16"/>
              </w:rPr>
              <w:t>Create a human case</w:t>
            </w:r>
          </w:p>
        </w:tc>
      </w:tr>
    </w:tbl>
    <w:p>
      <w:pPr>
        <w:spacing w:after="0"/>
      </w:pPr>
    </w:p>
    <w:p>
      <w:pPr>
        <w:pStyle w:val="Heading2"/>
      </w:pPr>
      <w:r>
        <w:t>What the project is trying to solve</w:t>
      </w:r>
    </w:p>
    <w:p>
      <w:pPr>
        <w:pStyle w:val="ListBullet"/>
      </w:pPr>
      <w:r>
        <w:rPr>
          <w:rFonts w:ascii="Calibri" w:hAnsi="Calibri"/>
          <w:color w:val="1E293B"/>
        </w:rPr>
        <w:t>Banks may receive millions of transactions, so the solution cannot load everything into memory for every decision.</w:t>
      </w:r>
    </w:p>
    <w:p>
      <w:pPr>
        <w:pStyle w:val="ListBullet"/>
      </w:pPr>
      <w:r>
        <w:rPr>
          <w:rFonts w:ascii="Calibri" w:hAnsi="Calibri"/>
          <w:color w:val="1E293B"/>
        </w:rPr>
        <w:t>Confirmed fraud labels are limited and delayed, so the system must begin with anomaly evidence instead of pretending to know perfect accuracy.</w:t>
      </w:r>
    </w:p>
    <w:p>
      <w:pPr>
        <w:pStyle w:val="ListBullet"/>
      </w:pPr>
      <w:r>
        <w:rPr>
          <w:rFonts w:ascii="Calibri" w:hAnsi="Calibri"/>
          <w:color w:val="1E293B"/>
        </w:rPr>
        <w:t>Every customer behaves differently, so one fixed amount threshold is not enough.</w:t>
      </w:r>
    </w:p>
    <w:p>
      <w:pPr>
        <w:pStyle w:val="ListBullet"/>
      </w:pPr>
      <w:r>
        <w:rPr>
          <w:rFonts w:ascii="Calibri" w:hAnsi="Calibri"/>
          <w:color w:val="1E293B"/>
        </w:rPr>
        <w:t>A suspicious transaction must not immediately teach the system that suspicious behaviour is normal.</w:t>
      </w:r>
    </w:p>
    <w:p>
      <w:pPr>
        <w:pStyle w:val="ListBullet"/>
      </w:pPr>
      <w:r>
        <w:rPr>
          <w:rFonts w:ascii="Calibri" w:hAnsi="Calibri"/>
          <w:color w:val="1E293B"/>
        </w:rPr>
        <w:t>New models must be tested safely before they affect customers or investigators.</w:t>
      </w:r>
    </w:p>
    <w:p>
      <w:pPr>
        <w:pStyle w:val="ListBullet"/>
      </w:pPr>
      <w:r>
        <w:rPr>
          <w:rFonts w:ascii="Calibri" w:hAnsi="Calibri"/>
          <w:color w:val="1E293B"/>
        </w:rPr>
        <w:t>Investigators need reasons, versions, history, and rollback rather than an unexplained black-box answer.</w:t>
      </w:r>
    </w:p>
    <w:p>
      <w:pPr>
        <w:pStyle w:val="Heading1"/>
      </w:pPr>
      <w:r>
        <w:t>1. The Three Applications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0F2747"/>
            <w:tcMar>
              <w:top w:w="90" w:type="dxa"/>
              <w:start w:w="120" w:type="dxa"/>
              <w:bottom w:w="90" w:type="dxa"/>
              <w:end w:w="120" w:type="dxa"/>
            </w:tcMar>
            <w:vAlign w:val="center"/>
          </w:tcPr>
          <w:p>
            <w:r>
              <w:rPr>
                <w:rFonts w:ascii="Calibri" w:hAnsi="Calibri"/>
                <w:b/>
                <w:color w:val="FFFFFF"/>
                <w:sz w:val="18"/>
              </w:rPr>
              <w:t>Application</w:t>
            </w:r>
          </w:p>
        </w:tc>
        <w:tc>
          <w:tcPr>
            <w:tcW w:type="dxa" w:w="3000"/>
            <w:shd w:fill="0F2747"/>
            <w:tcMar>
              <w:top w:w="90" w:type="dxa"/>
              <w:start w:w="120" w:type="dxa"/>
              <w:bottom w:w="90" w:type="dxa"/>
              <w:end w:w="120" w:type="dxa"/>
            </w:tcMar>
            <w:vAlign w:val="center"/>
          </w:tcPr>
          <w:p>
            <w:r>
              <w:rPr>
                <w:rFonts w:ascii="Calibri" w:hAnsi="Calibri"/>
                <w:b/>
                <w:color w:val="FFFFFF"/>
                <w:sz w:val="18"/>
              </w:rPr>
              <w:t>Easy description</w:t>
            </w:r>
          </w:p>
        </w:tc>
        <w:tc>
          <w:tcPr>
            <w:tcW w:type="dxa" w:w="4560"/>
            <w:shd w:fill="0F2747"/>
            <w:tcMar>
              <w:top w:w="90" w:type="dxa"/>
              <w:start w:w="120" w:type="dxa"/>
              <w:bottom w:w="90" w:type="dxa"/>
              <w:end w:w="120" w:type="dxa"/>
            </w:tcMar>
            <w:vAlign w:val="center"/>
          </w:tcPr>
          <w:p>
            <w:r>
              <w:rPr>
                <w:rFonts w:ascii="Calibri" w:hAnsi="Calibri"/>
                <w:b/>
                <w:color w:val="FFFFFF"/>
                <w:sz w:val="18"/>
              </w:rPr>
              <w:t>Main responsibility</w:t>
            </w:r>
          </w:p>
        </w:tc>
      </w:tr>
      <w:tr>
        <w:tc>
          <w:tcPr>
            <w:tcW w:type="dxa" w:w="1800"/>
            <w:shd w:fill="F7FAFF"/>
            <w:tcMar>
              <w:top w:w="90" w:type="dxa"/>
              <w:start w:w="120" w:type="dxa"/>
              <w:bottom w:w="90" w:type="dxa"/>
              <w:end w:w="120" w:type="dxa"/>
            </w:tcMar>
            <w:vAlign w:val="center"/>
          </w:tcPr>
          <w:p>
            <w:r>
              <w:rPr>
                <w:rFonts w:ascii="Calibri" w:hAnsi="Calibri"/>
                <w:color w:val="1E293B"/>
                <w:sz w:val="18"/>
              </w:rPr>
              <w:t>Angular UI</w:t>
            </w:r>
          </w:p>
        </w:tc>
        <w:tc>
          <w:tcPr>
            <w:tcW w:type="dxa" w:w="3000"/>
            <w:shd w:fill="F7FAFF"/>
            <w:tcMar>
              <w:top w:w="90" w:type="dxa"/>
              <w:start w:w="120" w:type="dxa"/>
              <w:bottom w:w="90" w:type="dxa"/>
              <w:end w:w="120" w:type="dxa"/>
            </w:tcMar>
            <w:vAlign w:val="center"/>
          </w:tcPr>
          <w:p>
            <w:r>
              <w:rPr>
                <w:rFonts w:ascii="Calibri" w:hAnsi="Calibri"/>
                <w:color w:val="1E293B"/>
                <w:sz w:val="18"/>
              </w:rPr>
              <w:t>The screen users see</w:t>
            </w:r>
          </w:p>
        </w:tc>
        <w:tc>
          <w:tcPr>
            <w:tcW w:type="dxa" w:w="4560"/>
            <w:shd w:fill="F7FAFF"/>
            <w:tcMar>
              <w:top w:w="90" w:type="dxa"/>
              <w:start w:w="120" w:type="dxa"/>
              <w:bottom w:w="90" w:type="dxa"/>
              <w:end w:w="120" w:type="dxa"/>
            </w:tcMar>
            <w:vAlign w:val="center"/>
          </w:tcPr>
          <w:p>
            <w:r>
              <w:rPr>
                <w:rFonts w:ascii="Calibri" w:hAnsi="Calibri"/>
                <w:color w:val="1E293B"/>
                <w:sz w:val="18"/>
              </w:rPr>
              <w:t>Upload data, run research comparison, operate training, govern models, and review cases.</w:t>
            </w:r>
          </w:p>
        </w:tc>
      </w:tr>
      <w:tr>
        <w:tc>
          <w:tcPr>
            <w:tcW w:type="dxa" w:w="1800"/>
            <w:tcMar>
              <w:top w:w="90" w:type="dxa"/>
              <w:start w:w="120" w:type="dxa"/>
              <w:bottom w:w="90" w:type="dxa"/>
              <w:end w:w="120" w:type="dxa"/>
            </w:tcMar>
            <w:vAlign w:val="center"/>
          </w:tcPr>
          <w:p>
            <w:r>
              <w:rPr>
                <w:rFonts w:ascii="Calibri" w:hAnsi="Calibri"/>
                <w:color w:val="1E293B"/>
                <w:sz w:val="18"/>
              </w:rPr>
              <w:t>Spring Boot</w:t>
            </w:r>
          </w:p>
        </w:tc>
        <w:tc>
          <w:tcPr>
            <w:tcW w:type="dxa" w:w="3000"/>
            <w:tcMar>
              <w:top w:w="90" w:type="dxa"/>
              <w:start w:w="120" w:type="dxa"/>
              <w:bottom w:w="90" w:type="dxa"/>
              <w:end w:w="120" w:type="dxa"/>
            </w:tcMar>
            <w:vAlign w:val="center"/>
          </w:tcPr>
          <w:p>
            <w:r>
              <w:rPr>
                <w:rFonts w:ascii="Calibri" w:hAnsi="Calibri"/>
                <w:color w:val="1E293B"/>
                <w:sz w:val="18"/>
              </w:rPr>
              <w:t>The system manager</w:t>
            </w:r>
          </w:p>
        </w:tc>
        <w:tc>
          <w:tcPr>
            <w:tcW w:type="dxa" w:w="4560"/>
            <w:tcMar>
              <w:top w:w="90" w:type="dxa"/>
              <w:start w:w="120" w:type="dxa"/>
              <w:bottom w:w="90" w:type="dxa"/>
              <w:end w:w="120" w:type="dxa"/>
            </w:tcMar>
            <w:vAlign w:val="center"/>
          </w:tcPr>
          <w:p>
            <w:r>
              <w:rPr>
                <w:rFonts w:ascii="Calibri" w:hAnsi="Calibri"/>
                <w:color w:val="1E293B"/>
                <w:sz w:val="18"/>
              </w:rPr>
              <w:t>Own business rules, security, database work, feature orchestration, risk aggregation, alerts, cases, and audits.</w:t>
            </w:r>
          </w:p>
        </w:tc>
      </w:tr>
      <w:tr>
        <w:tc>
          <w:tcPr>
            <w:tcW w:type="dxa" w:w="1800"/>
            <w:shd w:fill="F7FAFF"/>
            <w:tcMar>
              <w:top w:w="90" w:type="dxa"/>
              <w:start w:w="120" w:type="dxa"/>
              <w:bottom w:w="90" w:type="dxa"/>
              <w:end w:w="120" w:type="dxa"/>
            </w:tcMar>
            <w:vAlign w:val="center"/>
          </w:tcPr>
          <w:p>
            <w:r>
              <w:rPr>
                <w:rFonts w:ascii="Calibri" w:hAnsi="Calibri"/>
                <w:color w:val="1E293B"/>
                <w:sz w:val="18"/>
              </w:rPr>
              <w:t>Python FastAPI</w:t>
            </w:r>
          </w:p>
        </w:tc>
        <w:tc>
          <w:tcPr>
            <w:tcW w:type="dxa" w:w="3000"/>
            <w:shd w:fill="F7FAFF"/>
            <w:tcMar>
              <w:top w:w="90" w:type="dxa"/>
              <w:start w:w="120" w:type="dxa"/>
              <w:bottom w:w="90" w:type="dxa"/>
              <w:end w:w="120" w:type="dxa"/>
            </w:tcMar>
            <w:vAlign w:val="center"/>
          </w:tcPr>
          <w:p>
            <w:r>
              <w:rPr>
                <w:rFonts w:ascii="Calibri" w:hAnsi="Calibri"/>
                <w:color w:val="1E293B"/>
                <w:sz w:val="18"/>
              </w:rPr>
              <w:t>The ML worker</w:t>
            </w:r>
          </w:p>
        </w:tc>
        <w:tc>
          <w:tcPr>
            <w:tcW w:type="dxa" w:w="4560"/>
            <w:shd w:fill="F7FAFF"/>
            <w:tcMar>
              <w:top w:w="90" w:type="dxa"/>
              <w:start w:w="120" w:type="dxa"/>
              <w:bottom w:w="90" w:type="dxa"/>
              <w:end w:w="120" w:type="dxa"/>
            </w:tcMar>
            <w:vAlign w:val="center"/>
          </w:tcPr>
          <w:p>
            <w:r>
              <w:rPr>
                <w:rFonts w:ascii="Calibri" w:hAnsi="Calibri"/>
                <w:color w:val="1E293B"/>
                <w:sz w:val="18"/>
              </w:rPr>
              <w:t>Train model artifacts and calculate HST, Online OCSVM, and offline research scores.</w:t>
            </w:r>
          </w:p>
        </w:tc>
      </w:tr>
      <w:tr>
        <w:tc>
          <w:tcPr>
            <w:tcW w:type="dxa" w:w="1800"/>
            <w:tcMar>
              <w:top w:w="90" w:type="dxa"/>
              <w:start w:w="120" w:type="dxa"/>
              <w:bottom w:w="90" w:type="dxa"/>
              <w:end w:w="120" w:type="dxa"/>
            </w:tcMar>
            <w:vAlign w:val="center"/>
          </w:tcPr>
          <w:p>
            <w:r>
              <w:rPr>
                <w:rFonts w:ascii="Calibri" w:hAnsi="Calibri"/>
                <w:color w:val="1E293B"/>
                <w:sz w:val="18"/>
              </w:rPr>
              <w:t>SQL Server</w:t>
            </w:r>
          </w:p>
        </w:tc>
        <w:tc>
          <w:tcPr>
            <w:tcW w:type="dxa" w:w="3000"/>
            <w:tcMar>
              <w:top w:w="90" w:type="dxa"/>
              <w:start w:w="120" w:type="dxa"/>
              <w:bottom w:w="90" w:type="dxa"/>
              <w:end w:w="120" w:type="dxa"/>
            </w:tcMar>
            <w:vAlign w:val="center"/>
          </w:tcPr>
          <w:p>
            <w:r>
              <w:rPr>
                <w:rFonts w:ascii="Calibri" w:hAnsi="Calibri"/>
                <w:color w:val="1E293B"/>
                <w:sz w:val="18"/>
              </w:rPr>
              <w:t>The official memory</w:t>
            </w:r>
          </w:p>
        </w:tc>
        <w:tc>
          <w:tcPr>
            <w:tcW w:type="dxa" w:w="4560"/>
            <w:tcMar>
              <w:top w:w="90" w:type="dxa"/>
              <w:start w:w="120" w:type="dxa"/>
              <w:bottom w:w="90" w:type="dxa"/>
              <w:end w:w="120" w:type="dxa"/>
            </w:tcMar>
            <w:vAlign w:val="center"/>
          </w:tcPr>
          <w:p>
            <w:r>
              <w:rPr>
                <w:rFonts w:ascii="Calibri" w:hAnsi="Calibri"/>
                <w:color w:val="1E293B"/>
                <w:sz w:val="18"/>
              </w:rPr>
              <w:t>Store transactions, features, configuration, models, validations, deployments, predictions, alerts, and cases.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40"/>
            <w:shd w:fill="EAF2FF"/>
            <w:tcMar>
              <w:top w:w="90" w:type="dxa"/>
              <w:start w:w="120" w:type="dxa"/>
              <w:bottom w:w="90" w:type="dxa"/>
              <w:end w:w="120" w:type="dxa"/>
            </w:tcMar>
            <w:vAlign w:val="center"/>
          </w:tcPr>
          <w:p>
            <w:pPr>
              <w:jc w:val="center"/>
            </w:pPr>
            <w:r>
              <w:rPr>
                <w:rFonts w:ascii="Calibri" w:hAnsi="Calibri"/>
                <w:b/>
                <w:color w:val="2563EB"/>
                <w:sz w:val="18"/>
              </w:rPr>
              <w:t>Angular :4200</w:t>
            </w:r>
          </w:p>
          <w:p>
            <w:pPr>
              <w:jc w:val="center"/>
            </w:pPr>
            <w:r>
              <w:rPr>
                <w:rFonts w:ascii="Calibri" w:hAnsi="Calibri"/>
                <w:color w:val="1E293B"/>
                <w:sz w:val="16"/>
              </w:rPr>
              <w:t>User actions</w:t>
            </w:r>
          </w:p>
        </w:tc>
        <w:tc>
          <w:tcPr>
            <w:tcW w:type="dxa" w:w="2340"/>
            <w:shd w:fill="F7FAFF"/>
            <w:tcMar>
              <w:top w:w="90" w:type="dxa"/>
              <w:start w:w="120" w:type="dxa"/>
              <w:bottom w:w="90" w:type="dxa"/>
              <w:end w:w="120" w:type="dxa"/>
            </w:tcMar>
            <w:vAlign w:val="center"/>
          </w:tcPr>
          <w:p>
            <w:pPr>
              <w:jc w:val="center"/>
            </w:pPr>
            <w:r>
              <w:rPr>
                <w:rFonts w:ascii="Calibri" w:hAnsi="Calibri"/>
                <w:b/>
                <w:color w:val="2563EB"/>
                <w:sz w:val="18"/>
              </w:rPr>
              <w:t>Spring :8080</w:t>
            </w:r>
          </w:p>
          <w:p>
            <w:pPr>
              <w:jc w:val="center"/>
            </w:pPr>
            <w:r>
              <w:rPr>
                <w:rFonts w:ascii="Calibri" w:hAnsi="Calibri"/>
                <w:color w:val="1E293B"/>
                <w:sz w:val="16"/>
              </w:rPr>
              <w:t>Business control</w:t>
            </w:r>
          </w:p>
        </w:tc>
        <w:tc>
          <w:tcPr>
            <w:tcW w:type="dxa" w:w="2340"/>
            <w:shd w:fill="EAF2FF"/>
            <w:tcMar>
              <w:top w:w="90" w:type="dxa"/>
              <w:start w:w="120" w:type="dxa"/>
              <w:bottom w:w="90" w:type="dxa"/>
              <w:end w:w="120" w:type="dxa"/>
            </w:tcMar>
            <w:vAlign w:val="center"/>
          </w:tcPr>
          <w:p>
            <w:pPr>
              <w:jc w:val="center"/>
            </w:pPr>
            <w:r>
              <w:rPr>
                <w:rFonts w:ascii="Calibri" w:hAnsi="Calibri"/>
                <w:b/>
                <w:color w:val="2563EB"/>
                <w:sz w:val="18"/>
              </w:rPr>
              <w:t>FastAPI :8000</w:t>
            </w:r>
          </w:p>
          <w:p>
            <w:pPr>
              <w:jc w:val="center"/>
            </w:pPr>
            <w:r>
              <w:rPr>
                <w:rFonts w:ascii="Calibri" w:hAnsi="Calibri"/>
                <w:color w:val="1E293B"/>
                <w:sz w:val="16"/>
              </w:rPr>
              <w:t>ML work</w:t>
            </w:r>
          </w:p>
        </w:tc>
        <w:tc>
          <w:tcPr>
            <w:tcW w:type="dxa" w:w="2340"/>
            <w:shd w:fill="F7FAFF"/>
            <w:tcMar>
              <w:top w:w="90" w:type="dxa"/>
              <w:start w:w="120" w:type="dxa"/>
              <w:bottom w:w="90" w:type="dxa"/>
              <w:end w:w="120" w:type="dxa"/>
            </w:tcMar>
            <w:vAlign w:val="center"/>
          </w:tcPr>
          <w:p>
            <w:pPr>
              <w:jc w:val="center"/>
            </w:pPr>
            <w:r>
              <w:rPr>
                <w:rFonts w:ascii="Calibri" w:hAnsi="Calibri"/>
                <w:b/>
                <w:color w:val="2563EB"/>
                <w:sz w:val="18"/>
              </w:rPr>
              <w:t>SQL Server</w:t>
            </w:r>
          </w:p>
          <w:p>
            <w:pPr>
              <w:jc w:val="center"/>
            </w:pPr>
            <w:r>
              <w:rPr>
                <w:rFonts w:ascii="Calibri" w:hAnsi="Calibri"/>
                <w:color w:val="1E293B"/>
                <w:sz w:val="16"/>
              </w:rPr>
              <w:t>Authoritative records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90" w:type="dxa"/>
              <w:start w:w="120" w:type="dxa"/>
              <w:bottom w:w="90" w:type="dxa"/>
              <w:end w:w="120" w:type="dxa"/>
            </w:tcMar>
            <w:vAlign w:val="center"/>
          </w:tcPr>
          <w:p>
            <w:pPr>
              <w:spacing w:after="0"/>
            </w:pPr>
            <w:r>
              <w:rPr>
                <w:rFonts w:ascii="Calibri" w:hAnsi="Calibri"/>
                <w:b/>
                <w:color w:val="047857"/>
              </w:rPr>
              <w:t xml:space="preserve">Why this separation helps: </w:t>
            </w:r>
            <w:r>
              <w:rPr>
                <w:rFonts w:ascii="Calibri" w:hAnsi="Calibri"/>
                <w:color w:val="1E293B"/>
              </w:rPr>
              <w:t>The browser never talks directly to the database or ML service. Spring stays in control of security, audit, and business decisions while Python focuses on ML.</w:t>
            </w:r>
          </w:p>
        </w:tc>
      </w:tr>
    </w:tbl>
    <w:p>
      <w:pPr>
        <w:spacing w:after="0"/>
      </w:pPr>
    </w:p>
    <w:p>
      <w:pPr>
        <w:pStyle w:val="Heading1"/>
      </w:pPr>
      <w:r>
        <w:t>2. What Happens When a Transaction Arrives</w:t>
      </w:r>
    </w:p>
    <w:p>
      <w:pPr>
        <w:pStyle w:val="ListNumber"/>
      </w:pPr>
      <w:r>
        <w:rPr>
          <w:rFonts w:ascii="Calibri" w:hAnsi="Calibri"/>
          <w:color w:val="1E293B"/>
        </w:rPr>
        <w:t>Spring receives the transaction from an API or uploaded file and stores the original event in SQL Server.</w:t>
      </w:r>
    </w:p>
    <w:p>
      <w:pPr>
        <w:pStyle w:val="ListNumber"/>
      </w:pPr>
      <w:r>
        <w:rPr>
          <w:rFonts w:ascii="Calibri" w:hAnsi="Calibri"/>
          <w:color w:val="1E293B"/>
        </w:rPr>
        <w:t>It loads only history that happened before the new transaction time. This prevents future information from leaking into the decision.</w:t>
      </w:r>
    </w:p>
    <w:p>
      <w:pPr>
        <w:pStyle w:val="ListNumber"/>
      </w:pPr>
      <w:r>
        <w:rPr>
          <w:rFonts w:ascii="Calibri" w:hAnsi="Calibri"/>
          <w:color w:val="1E293B"/>
        </w:rPr>
        <w:t>It calculates a versioned feature vector describing amount, time, velocity, location, channel, login risk, customer behaviour, peer behaviour, and profile confidence.</w:t>
      </w:r>
    </w:p>
    <w:p>
      <w:pPr>
        <w:pStyle w:val="ListNumber"/>
      </w:pPr>
      <w:r>
        <w:rPr>
          <w:rFonts w:ascii="Calibri" w:hAnsi="Calibri"/>
          <w:color w:val="1E293B"/>
        </w:rPr>
        <w:t>It permanently saves that feature vector so the exact decision can be reproduced later.</w:t>
      </w:r>
    </w:p>
    <w:p>
      <w:pPr>
        <w:pStyle w:val="ListNumber"/>
      </w:pPr>
      <w:r>
        <w:rPr>
          <w:rFonts w:ascii="Calibri" w:hAnsi="Calibri"/>
          <w:color w:val="1E293B"/>
        </w:rPr>
        <w:t>It asks the scoring components for normalized evidence between 0 and 1.</w:t>
      </w:r>
    </w:p>
    <w:p>
      <w:pPr>
        <w:pStyle w:val="ListNumber"/>
      </w:pPr>
      <w:r>
        <w:rPr>
          <w:rFonts w:ascii="Calibri" w:hAnsi="Calibri"/>
          <w:color w:val="1E293B"/>
        </w:rPr>
        <w:t>The versioned risk policy combines those component scores and applies any hard AML-rule override.</w:t>
      </w:r>
    </w:p>
    <w:p>
      <w:pPr>
        <w:pStyle w:val="ListNumber"/>
      </w:pPr>
      <w:r>
        <w:rPr>
          <w:rFonts w:ascii="Calibri" w:hAnsi="Calibri"/>
          <w:color w:val="1E293B"/>
        </w:rPr>
        <w:t>The system stores the result, reasons, component evidence, policy version, and exact model versions.</w:t>
      </w:r>
    </w:p>
    <w:p>
      <w:pPr>
        <w:pStyle w:val="ListNumber"/>
      </w:pPr>
      <w:r>
        <w:rPr>
          <w:rFonts w:ascii="Calibri" w:hAnsi="Calibri"/>
          <w:color w:val="1E293B"/>
        </w:rPr>
        <w:t>If the final decision is suspicious, Spring creates an alert and automatically opens a review case.</w:t>
      </w:r>
    </w:p>
    <w:p>
      <w:pPr>
        <w:pStyle w:val="ListNumber"/>
      </w:pPr>
      <w:r>
        <w:rPr>
          <w:rFonts w:ascii="Calibri" w:hAnsi="Calibri"/>
          <w:color w:val="1E293B"/>
        </w:rPr>
        <w:t>Only after the decision does the learning policy decide whether the transaction may update trusted customer behaviour.</w:t>
      </w:r>
    </w:p>
    <w:p>
      <w:pPr>
        <w:pStyle w:val="Heading2"/>
      </w:pPr>
      <w:r>
        <w:t>Why save the feature vector?</w:t>
      </w:r>
    </w:p>
    <w:p>
      <w:r>
        <w:rPr>
          <w:rFonts w:ascii="Calibri" w:hAnsi="Calibri"/>
          <w:color w:val="1E293B"/>
        </w:rPr>
        <w:t>Without a saved feature vector, the same historical transaction could produce different inputs later because the customer's profile has changed. Saving the original vector means the team can replay the exact input with the exact model and policy versions.</w:t>
      </w:r>
    </w:p>
    <w:p>
      <w:pPr>
        <w:pStyle w:val="Heading2"/>
      </w:pPr>
      <w:r>
        <w:t>Example feature ideas</w:t>
      </w:r>
    </w:p>
    <w:tbl>
      <w:tblPr>
        <w:tblStyle w:val="TableGrid"/>
        <w:tblW w:type="dxa" w:w="9360"/>
        <w:jc w:val="left"/>
        <w:tblLayout w:type="fixed"/>
        <w:tblLook w:firstColumn="1" w:firstRow="1" w:lastColumn="0" w:lastRow="0" w:noHBand="0" w:noVBand="1" w:val="04A0"/>
        <w:tblInd w:w="120" w:type="dxa"/>
      </w:tblPr>
      <w:tblGrid>
        <w:gridCol w:w="3200"/>
        <w:gridCol w:w="6160"/>
      </w:tblGrid>
      <w:tr>
        <w:trPr>
          <w:tblHeader w:val="true"/>
        </w:trPr>
        <w:tc>
          <w:tcPr>
            <w:tcW w:type="dxa" w:w="3200"/>
            <w:shd w:fill="0F2747"/>
            <w:tcMar>
              <w:top w:w="90" w:type="dxa"/>
              <w:start w:w="120" w:type="dxa"/>
              <w:bottom w:w="90" w:type="dxa"/>
              <w:end w:w="120" w:type="dxa"/>
            </w:tcMar>
            <w:vAlign w:val="center"/>
          </w:tcPr>
          <w:p>
            <w:r>
              <w:rPr>
                <w:rFonts w:ascii="Calibri" w:hAnsi="Calibri"/>
                <w:b/>
                <w:color w:val="FFFFFF"/>
                <w:sz w:val="18"/>
              </w:rPr>
              <w:t>Feature</w:t>
            </w:r>
          </w:p>
        </w:tc>
        <w:tc>
          <w:tcPr>
            <w:tcW w:type="dxa" w:w="6160"/>
            <w:shd w:fill="0F2747"/>
            <w:tcMar>
              <w:top w:w="90" w:type="dxa"/>
              <w:start w:w="120" w:type="dxa"/>
              <w:bottom w:w="90" w:type="dxa"/>
              <w:end w:w="120" w:type="dxa"/>
            </w:tcMar>
            <w:vAlign w:val="center"/>
          </w:tcPr>
          <w:p>
            <w:r>
              <w:rPr>
                <w:rFonts w:ascii="Calibri" w:hAnsi="Calibri"/>
                <w:b/>
                <w:color w:val="FFFFFF"/>
                <w:sz w:val="18"/>
              </w:rPr>
              <w:t>Question it answers</w:t>
            </w:r>
          </w:p>
        </w:tc>
      </w:tr>
      <w:tr>
        <w:tc>
          <w:tcPr>
            <w:tcW w:type="dxa" w:w="3200"/>
            <w:shd w:fill="F7FAFF"/>
            <w:tcMar>
              <w:top w:w="90" w:type="dxa"/>
              <w:start w:w="120" w:type="dxa"/>
              <w:bottom w:w="90" w:type="dxa"/>
              <w:end w:w="120" w:type="dxa"/>
            </w:tcMar>
            <w:vAlign w:val="center"/>
          </w:tcPr>
          <w:p>
            <w:r>
              <w:rPr>
                <w:rFonts w:ascii="Calibri" w:hAnsi="Calibri"/>
                <w:color w:val="1E293B"/>
                <w:sz w:val="18"/>
              </w:rPr>
              <w:t>Amount versus customer average</w:t>
            </w:r>
          </w:p>
        </w:tc>
        <w:tc>
          <w:tcPr>
            <w:tcW w:type="dxa" w:w="6160"/>
            <w:shd w:fill="F7FAFF"/>
            <w:tcMar>
              <w:top w:w="90" w:type="dxa"/>
              <w:start w:w="120" w:type="dxa"/>
              <w:bottom w:w="90" w:type="dxa"/>
              <w:end w:w="120" w:type="dxa"/>
            </w:tcMar>
            <w:vAlign w:val="center"/>
          </w:tcPr>
          <w:p>
            <w:r>
              <w:rPr>
                <w:rFonts w:ascii="Calibri" w:hAnsi="Calibri"/>
                <w:color w:val="1E293B"/>
                <w:sz w:val="18"/>
              </w:rPr>
              <w:t>Is this amount unusually high for this account?</w:t>
            </w:r>
          </w:p>
        </w:tc>
      </w:tr>
      <w:tr>
        <w:tc>
          <w:tcPr>
            <w:tcW w:type="dxa" w:w="3200"/>
            <w:tcMar>
              <w:top w:w="90" w:type="dxa"/>
              <w:start w:w="120" w:type="dxa"/>
              <w:bottom w:w="90" w:type="dxa"/>
              <w:end w:w="120" w:type="dxa"/>
            </w:tcMar>
            <w:vAlign w:val="center"/>
          </w:tcPr>
          <w:p>
            <w:r>
              <w:rPr>
                <w:rFonts w:ascii="Calibri" w:hAnsi="Calibri"/>
                <w:color w:val="1E293B"/>
                <w:sz w:val="18"/>
              </w:rPr>
              <w:t>Amount z-score</w:t>
            </w:r>
          </w:p>
        </w:tc>
        <w:tc>
          <w:tcPr>
            <w:tcW w:type="dxa" w:w="6160"/>
            <w:tcMar>
              <w:top w:w="90" w:type="dxa"/>
              <w:start w:w="120" w:type="dxa"/>
              <w:bottom w:w="90" w:type="dxa"/>
              <w:end w:w="120" w:type="dxa"/>
            </w:tcMar>
            <w:vAlign w:val="center"/>
          </w:tcPr>
          <w:p>
            <w:r>
              <w:rPr>
                <w:rFonts w:ascii="Calibri" w:hAnsi="Calibri"/>
                <w:color w:val="1E293B"/>
                <w:sz w:val="18"/>
              </w:rPr>
              <w:t>How many normal deviations away is the amount?</w:t>
            </w:r>
          </w:p>
        </w:tc>
      </w:tr>
      <w:tr>
        <w:tc>
          <w:tcPr>
            <w:tcW w:type="dxa" w:w="3200"/>
            <w:shd w:fill="F7FAFF"/>
            <w:tcMar>
              <w:top w:w="90" w:type="dxa"/>
              <w:start w:w="120" w:type="dxa"/>
              <w:bottom w:w="90" w:type="dxa"/>
              <w:end w:w="120" w:type="dxa"/>
            </w:tcMar>
            <w:vAlign w:val="center"/>
          </w:tcPr>
          <w:p>
            <w:r>
              <w:rPr>
                <w:rFonts w:ascii="Calibri" w:hAnsi="Calibri"/>
                <w:color w:val="1E293B"/>
                <w:sz w:val="18"/>
              </w:rPr>
              <w:t>Location changed</w:t>
            </w:r>
          </w:p>
        </w:tc>
        <w:tc>
          <w:tcPr>
            <w:tcW w:type="dxa" w:w="6160"/>
            <w:shd w:fill="F7FAFF"/>
            <w:tcMar>
              <w:top w:w="90" w:type="dxa"/>
              <w:start w:w="120" w:type="dxa"/>
              <w:bottom w:w="90" w:type="dxa"/>
              <w:end w:w="120" w:type="dxa"/>
            </w:tcMar>
            <w:vAlign w:val="center"/>
          </w:tcPr>
          <w:p>
            <w:r>
              <w:rPr>
                <w:rFonts w:ascii="Calibri" w:hAnsi="Calibri"/>
                <w:color w:val="1E293B"/>
                <w:sz w:val="18"/>
              </w:rPr>
              <w:t>Did the customer suddenly transact somewhere different?</w:t>
            </w:r>
          </w:p>
        </w:tc>
      </w:tr>
      <w:tr>
        <w:tc>
          <w:tcPr>
            <w:tcW w:type="dxa" w:w="3200"/>
            <w:tcMar>
              <w:top w:w="90" w:type="dxa"/>
              <w:start w:w="120" w:type="dxa"/>
              <w:bottom w:w="90" w:type="dxa"/>
              <w:end w:w="120" w:type="dxa"/>
            </w:tcMar>
            <w:vAlign w:val="center"/>
          </w:tcPr>
          <w:p>
            <w:r>
              <w:rPr>
                <w:rFonts w:ascii="Calibri" w:hAnsi="Calibri"/>
                <w:color w:val="1E293B"/>
                <w:sz w:val="18"/>
              </w:rPr>
              <w:t>Transactions in recent window</w:t>
            </w:r>
          </w:p>
        </w:tc>
        <w:tc>
          <w:tcPr>
            <w:tcW w:type="dxa" w:w="6160"/>
            <w:tcMar>
              <w:top w:w="90" w:type="dxa"/>
              <w:start w:w="120" w:type="dxa"/>
              <w:bottom w:w="90" w:type="dxa"/>
              <w:end w:w="120" w:type="dxa"/>
            </w:tcMar>
            <w:vAlign w:val="center"/>
          </w:tcPr>
          <w:p>
            <w:r>
              <w:rPr>
                <w:rFonts w:ascii="Calibri" w:hAnsi="Calibri"/>
                <w:color w:val="1E293B"/>
                <w:sz w:val="18"/>
              </w:rPr>
              <w:t>Is money moving unusually quickly?</w:t>
            </w:r>
          </w:p>
        </w:tc>
      </w:tr>
      <w:tr>
        <w:tc>
          <w:tcPr>
            <w:tcW w:type="dxa" w:w="3200"/>
            <w:shd w:fill="F7FAFF"/>
            <w:tcMar>
              <w:top w:w="90" w:type="dxa"/>
              <w:start w:w="120" w:type="dxa"/>
              <w:bottom w:w="90" w:type="dxa"/>
              <w:end w:w="120" w:type="dxa"/>
            </w:tcMar>
            <w:vAlign w:val="center"/>
          </w:tcPr>
          <w:p>
            <w:r>
              <w:rPr>
                <w:rFonts w:ascii="Calibri" w:hAnsi="Calibri"/>
                <w:color w:val="1E293B"/>
                <w:sz w:val="18"/>
              </w:rPr>
              <w:t>Night/weekend indicator</w:t>
            </w:r>
          </w:p>
        </w:tc>
        <w:tc>
          <w:tcPr>
            <w:tcW w:type="dxa" w:w="6160"/>
            <w:shd w:fill="F7FAFF"/>
            <w:tcMar>
              <w:top w:w="90" w:type="dxa"/>
              <w:start w:w="120" w:type="dxa"/>
              <w:bottom w:w="90" w:type="dxa"/>
              <w:end w:w="120" w:type="dxa"/>
            </w:tcMar>
            <w:vAlign w:val="center"/>
          </w:tcPr>
          <w:p>
            <w:r>
              <w:rPr>
                <w:rFonts w:ascii="Calibri" w:hAnsi="Calibri"/>
                <w:color w:val="1E293B"/>
                <w:sz w:val="18"/>
              </w:rPr>
              <w:t>Did the event happen at an unusual time?</w:t>
            </w:r>
          </w:p>
        </w:tc>
      </w:tr>
      <w:tr>
        <w:tc>
          <w:tcPr>
            <w:tcW w:type="dxa" w:w="3200"/>
            <w:tcMar>
              <w:top w:w="90" w:type="dxa"/>
              <w:start w:w="120" w:type="dxa"/>
              <w:bottom w:w="90" w:type="dxa"/>
              <w:end w:w="120" w:type="dxa"/>
            </w:tcMar>
            <w:vAlign w:val="center"/>
          </w:tcPr>
          <w:p>
            <w:r>
              <w:rPr>
                <w:rFonts w:ascii="Calibri" w:hAnsi="Calibri"/>
                <w:color w:val="1E293B"/>
                <w:sz w:val="18"/>
              </w:rPr>
              <w:t>Peer-group deviation</w:t>
            </w:r>
          </w:p>
        </w:tc>
        <w:tc>
          <w:tcPr>
            <w:tcW w:type="dxa" w:w="6160"/>
            <w:tcMar>
              <w:top w:w="90" w:type="dxa"/>
              <w:start w:w="120" w:type="dxa"/>
              <w:bottom w:w="90" w:type="dxa"/>
              <w:end w:w="120" w:type="dxa"/>
            </w:tcMar>
            <w:vAlign w:val="center"/>
          </w:tcPr>
          <w:p>
            <w:r>
              <w:rPr>
                <w:rFonts w:ascii="Calibri" w:hAnsi="Calibri"/>
                <w:color w:val="1E293B"/>
                <w:sz w:val="18"/>
              </w:rPr>
              <w:t>Is this unusual for comparable customers?</w:t>
            </w:r>
          </w:p>
        </w:tc>
      </w:tr>
      <w:tr>
        <w:tc>
          <w:tcPr>
            <w:tcW w:type="dxa" w:w="3200"/>
            <w:shd w:fill="F7FAFF"/>
            <w:tcMar>
              <w:top w:w="90" w:type="dxa"/>
              <w:start w:w="120" w:type="dxa"/>
              <w:bottom w:w="90" w:type="dxa"/>
              <w:end w:w="120" w:type="dxa"/>
            </w:tcMar>
            <w:vAlign w:val="center"/>
          </w:tcPr>
          <w:p>
            <w:r>
              <w:rPr>
                <w:rFonts w:ascii="Calibri" w:hAnsi="Calibri"/>
                <w:color w:val="1E293B"/>
                <w:sz w:val="18"/>
              </w:rPr>
              <w:t>Profile confidence</w:t>
            </w:r>
          </w:p>
        </w:tc>
        <w:tc>
          <w:tcPr>
            <w:tcW w:type="dxa" w:w="6160"/>
            <w:shd w:fill="F7FAFF"/>
            <w:tcMar>
              <w:top w:w="90" w:type="dxa"/>
              <w:start w:w="120" w:type="dxa"/>
              <w:bottom w:w="90" w:type="dxa"/>
              <w:end w:w="120" w:type="dxa"/>
            </w:tcMar>
            <w:vAlign w:val="center"/>
          </w:tcPr>
          <w:p>
            <w:r>
              <w:rPr>
                <w:rFonts w:ascii="Calibri" w:hAnsi="Calibri"/>
                <w:color w:val="1E293B"/>
                <w:sz w:val="18"/>
              </w:rPr>
              <w:t>Do we have enough trustworthy history to rely on personal behaviour?</w:t>
            </w:r>
          </w:p>
        </w:tc>
      </w:tr>
    </w:tbl>
    <w:p>
      <w:pPr>
        <w:spacing w:after="0"/>
      </w:pPr>
    </w:p>
    <w:p>
      <w:pPr>
        <w:pStyle w:val="Heading1"/>
      </w:pPr>
      <w:r>
        <w:t>3. The Production Scoring Layers</w:t>
      </w:r>
    </w:p>
    <w:p>
      <w:r>
        <w:rPr>
          <w:rFonts w:ascii="Calibri" w:hAnsi="Calibri"/>
          <w:color w:val="1E293B"/>
        </w:rPr>
        <w:t>Production does not ask five classical models to vote equally. It combines different kinds of evidence because each component sees a different part of the problem.</w:t>
      </w:r>
    </w:p>
    <w:tbl>
      <w:tblPr>
        <w:tblStyle w:val="TableGrid"/>
        <w:tblW w:type="dxa" w:w="9360"/>
        <w:jc w:val="left"/>
        <w:tblLayout w:type="fixed"/>
        <w:tblLook w:firstColumn="1" w:firstRow="1" w:lastColumn="0" w:lastRow="0" w:noHBand="0" w:noVBand="1" w:val="04A0"/>
        <w:tblInd w:w="120" w:type="dxa"/>
      </w:tblPr>
      <w:tblGrid>
        <w:gridCol w:w="2200"/>
        <w:gridCol w:w="4100"/>
        <w:gridCol w:w="3060"/>
      </w:tblGrid>
      <w:tr>
        <w:trPr>
          <w:tblHeader w:val="true"/>
        </w:trPr>
        <w:tc>
          <w:tcPr>
            <w:tcW w:type="dxa" w:w="2200"/>
            <w:shd w:fill="0F2747"/>
            <w:tcMar>
              <w:top w:w="90" w:type="dxa"/>
              <w:start w:w="120" w:type="dxa"/>
              <w:bottom w:w="90" w:type="dxa"/>
              <w:end w:w="120" w:type="dxa"/>
            </w:tcMar>
            <w:vAlign w:val="center"/>
          </w:tcPr>
          <w:p>
            <w:r>
              <w:rPr>
                <w:rFonts w:ascii="Calibri" w:hAnsi="Calibri"/>
                <w:b/>
                <w:color w:val="FFFFFF"/>
                <w:sz w:val="18"/>
              </w:rPr>
              <w:t>Component</w:t>
            </w:r>
          </w:p>
        </w:tc>
        <w:tc>
          <w:tcPr>
            <w:tcW w:type="dxa" w:w="4100"/>
            <w:shd w:fill="0F2747"/>
            <w:tcMar>
              <w:top w:w="90" w:type="dxa"/>
              <w:start w:w="120" w:type="dxa"/>
              <w:bottom w:w="90" w:type="dxa"/>
              <w:end w:w="120" w:type="dxa"/>
            </w:tcMar>
            <w:vAlign w:val="center"/>
          </w:tcPr>
          <w:p>
            <w:r>
              <w:rPr>
                <w:rFonts w:ascii="Calibri" w:hAnsi="Calibri"/>
                <w:b/>
                <w:color w:val="FFFFFF"/>
                <w:sz w:val="18"/>
              </w:rPr>
              <w:t>What it notices</w:t>
            </w:r>
          </w:p>
        </w:tc>
        <w:tc>
          <w:tcPr>
            <w:tcW w:type="dxa" w:w="3060"/>
            <w:shd w:fill="0F2747"/>
            <w:tcMar>
              <w:top w:w="90" w:type="dxa"/>
              <w:start w:w="120" w:type="dxa"/>
              <w:bottom w:w="90" w:type="dxa"/>
              <w:end w:w="120" w:type="dxa"/>
            </w:tcMar>
            <w:vAlign w:val="center"/>
          </w:tcPr>
          <w:p>
            <w:r>
              <w:rPr>
                <w:rFonts w:ascii="Calibri" w:hAnsi="Calibri"/>
                <w:b/>
                <w:color w:val="FFFFFF"/>
                <w:sz w:val="18"/>
              </w:rPr>
              <w:t>Why it is useful</w:t>
            </w:r>
          </w:p>
        </w:tc>
      </w:tr>
      <w:tr>
        <w:tc>
          <w:tcPr>
            <w:tcW w:type="dxa" w:w="2200"/>
            <w:shd w:fill="F7FAFF"/>
            <w:tcMar>
              <w:top w:w="90" w:type="dxa"/>
              <w:start w:w="120" w:type="dxa"/>
              <w:bottom w:w="90" w:type="dxa"/>
              <w:end w:w="120" w:type="dxa"/>
            </w:tcMar>
            <w:vAlign w:val="center"/>
          </w:tcPr>
          <w:p>
            <w:r>
              <w:rPr>
                <w:rFonts w:ascii="Calibri" w:hAnsi="Calibri"/>
                <w:color w:val="1E293B"/>
                <w:sz w:val="18"/>
              </w:rPr>
              <w:t>Velocity and AML rules</w:t>
            </w:r>
          </w:p>
        </w:tc>
        <w:tc>
          <w:tcPr>
            <w:tcW w:type="dxa" w:w="4100"/>
            <w:shd w:fill="F7FAFF"/>
            <w:tcMar>
              <w:top w:w="90" w:type="dxa"/>
              <w:start w:w="120" w:type="dxa"/>
              <w:bottom w:w="90" w:type="dxa"/>
              <w:end w:w="120" w:type="dxa"/>
            </w:tcMar>
            <w:vAlign w:val="center"/>
          </w:tcPr>
          <w:p>
            <w:r>
              <w:rPr>
                <w:rFonts w:ascii="Calibri" w:hAnsi="Calibri"/>
                <w:color w:val="1E293B"/>
                <w:sz w:val="18"/>
              </w:rPr>
              <w:t>Fast transfers, threshold patterns, unusual sequences, and configured red flags.</w:t>
            </w:r>
          </w:p>
        </w:tc>
        <w:tc>
          <w:tcPr>
            <w:tcW w:type="dxa" w:w="3060"/>
            <w:shd w:fill="F7FAFF"/>
            <w:tcMar>
              <w:top w:w="90" w:type="dxa"/>
              <w:start w:w="120" w:type="dxa"/>
              <w:bottom w:w="90" w:type="dxa"/>
              <w:end w:w="120" w:type="dxa"/>
            </w:tcMar>
            <w:vAlign w:val="center"/>
          </w:tcPr>
          <w:p>
            <w:r>
              <w:rPr>
                <w:rFonts w:ascii="Calibri" w:hAnsi="Calibri"/>
                <w:color w:val="1E293B"/>
                <w:sz w:val="18"/>
              </w:rPr>
              <w:t>Deterministic, explainable, and able to force a high-risk result.</w:t>
            </w:r>
          </w:p>
        </w:tc>
      </w:tr>
      <w:tr>
        <w:tc>
          <w:tcPr>
            <w:tcW w:type="dxa" w:w="2200"/>
            <w:tcMar>
              <w:top w:w="90" w:type="dxa"/>
              <w:start w:w="120" w:type="dxa"/>
              <w:bottom w:w="90" w:type="dxa"/>
              <w:end w:w="120" w:type="dxa"/>
            </w:tcMar>
            <w:vAlign w:val="center"/>
          </w:tcPr>
          <w:p>
            <w:r>
              <w:rPr>
                <w:rFonts w:ascii="Calibri" w:hAnsi="Calibri"/>
                <w:color w:val="1E293B"/>
                <w:sz w:val="18"/>
              </w:rPr>
              <w:t>Customer behaviour</w:t>
            </w:r>
          </w:p>
        </w:tc>
        <w:tc>
          <w:tcPr>
            <w:tcW w:type="dxa" w:w="4100"/>
            <w:tcMar>
              <w:top w:w="90" w:type="dxa"/>
              <w:start w:w="120" w:type="dxa"/>
              <w:bottom w:w="90" w:type="dxa"/>
              <w:end w:w="120" w:type="dxa"/>
            </w:tcMar>
            <w:vAlign w:val="center"/>
          </w:tcPr>
          <w:p>
            <w:r>
              <w:rPr>
                <w:rFonts w:ascii="Calibri" w:hAnsi="Calibri"/>
                <w:color w:val="1E293B"/>
                <w:sz w:val="18"/>
              </w:rPr>
              <w:t>Deviation from the customer's trusted amount, time, place, and channel patterns.</w:t>
            </w:r>
          </w:p>
        </w:tc>
        <w:tc>
          <w:tcPr>
            <w:tcW w:type="dxa" w:w="3060"/>
            <w:tcMar>
              <w:top w:w="90" w:type="dxa"/>
              <w:start w:w="120" w:type="dxa"/>
              <w:bottom w:w="90" w:type="dxa"/>
              <w:end w:w="120" w:type="dxa"/>
            </w:tcMar>
            <w:vAlign w:val="center"/>
          </w:tcPr>
          <w:p>
            <w:r>
              <w:rPr>
                <w:rFonts w:ascii="Calibri" w:hAnsi="Calibri"/>
                <w:color w:val="1E293B"/>
                <w:sz w:val="18"/>
              </w:rPr>
              <w:t>Personalizes the decision.</w:t>
            </w:r>
          </w:p>
        </w:tc>
      </w:tr>
      <w:tr>
        <w:tc>
          <w:tcPr>
            <w:tcW w:type="dxa" w:w="2200"/>
            <w:shd w:fill="F7FAFF"/>
            <w:tcMar>
              <w:top w:w="90" w:type="dxa"/>
              <w:start w:w="120" w:type="dxa"/>
              <w:bottom w:w="90" w:type="dxa"/>
              <w:end w:w="120" w:type="dxa"/>
            </w:tcMar>
            <w:vAlign w:val="center"/>
          </w:tcPr>
          <w:p>
            <w:r>
              <w:rPr>
                <w:rFonts w:ascii="Calibri" w:hAnsi="Calibri"/>
                <w:color w:val="1E293B"/>
                <w:sz w:val="18"/>
              </w:rPr>
              <w:t>Peer-group behaviour</w:t>
            </w:r>
          </w:p>
        </w:tc>
        <w:tc>
          <w:tcPr>
            <w:tcW w:type="dxa" w:w="4100"/>
            <w:shd w:fill="F7FAFF"/>
            <w:tcMar>
              <w:top w:w="90" w:type="dxa"/>
              <w:start w:w="120" w:type="dxa"/>
              <w:bottom w:w="90" w:type="dxa"/>
              <w:end w:w="120" w:type="dxa"/>
            </w:tcMar>
            <w:vAlign w:val="center"/>
          </w:tcPr>
          <w:p>
            <w:r>
              <w:rPr>
                <w:rFonts w:ascii="Calibri" w:hAnsi="Calibri"/>
                <w:color w:val="1E293B"/>
                <w:sz w:val="18"/>
              </w:rPr>
              <w:t>Deviation from people with similar occupation, age, account, or business characteristics.</w:t>
            </w:r>
          </w:p>
        </w:tc>
        <w:tc>
          <w:tcPr>
            <w:tcW w:type="dxa" w:w="3060"/>
            <w:shd w:fill="F7FAFF"/>
            <w:tcMar>
              <w:top w:w="90" w:type="dxa"/>
              <w:start w:w="120" w:type="dxa"/>
              <w:bottom w:w="90" w:type="dxa"/>
              <w:end w:w="120" w:type="dxa"/>
            </w:tcMar>
            <w:vAlign w:val="center"/>
          </w:tcPr>
          <w:p>
            <w:r>
              <w:rPr>
                <w:rFonts w:ascii="Calibri" w:hAnsi="Calibri"/>
                <w:color w:val="1E293B"/>
                <w:sz w:val="18"/>
              </w:rPr>
              <w:t>Helps when personal history is limited.</w:t>
            </w:r>
          </w:p>
        </w:tc>
      </w:tr>
      <w:tr>
        <w:tc>
          <w:tcPr>
            <w:tcW w:type="dxa" w:w="2200"/>
            <w:tcMar>
              <w:top w:w="90" w:type="dxa"/>
              <w:start w:w="120" w:type="dxa"/>
              <w:bottom w:w="90" w:type="dxa"/>
              <w:end w:w="120" w:type="dxa"/>
            </w:tcMar>
            <w:vAlign w:val="center"/>
          </w:tcPr>
          <w:p>
            <w:r>
              <w:rPr>
                <w:rFonts w:ascii="Calibri" w:hAnsi="Calibri"/>
                <w:color w:val="1E293B"/>
                <w:sz w:val="18"/>
              </w:rPr>
              <w:t>Half-Space Trees</w:t>
            </w:r>
          </w:p>
        </w:tc>
        <w:tc>
          <w:tcPr>
            <w:tcW w:type="dxa" w:w="4100"/>
            <w:tcMar>
              <w:top w:w="90" w:type="dxa"/>
              <w:start w:w="120" w:type="dxa"/>
              <w:bottom w:w="90" w:type="dxa"/>
              <w:end w:w="120" w:type="dxa"/>
            </w:tcMar>
            <w:vAlign w:val="center"/>
          </w:tcPr>
          <w:p>
            <w:r>
              <w:rPr>
                <w:rFonts w:ascii="Calibri" w:hAnsi="Calibri"/>
                <w:color w:val="1E293B"/>
                <w:sz w:val="18"/>
              </w:rPr>
              <w:t>Incremental tree-based isolation patterns.</w:t>
            </w:r>
          </w:p>
        </w:tc>
        <w:tc>
          <w:tcPr>
            <w:tcW w:type="dxa" w:w="3060"/>
            <w:tcMar>
              <w:top w:w="90" w:type="dxa"/>
              <w:start w:w="120" w:type="dxa"/>
              <w:bottom w:w="90" w:type="dxa"/>
              <w:end w:w="120" w:type="dxa"/>
            </w:tcMar>
            <w:vAlign w:val="center"/>
          </w:tcPr>
          <w:p>
            <w:r>
              <w:rPr>
                <w:rFonts w:ascii="Calibri" w:hAnsi="Calibri"/>
                <w:color w:val="1E293B"/>
                <w:sz w:val="18"/>
              </w:rPr>
              <w:t>Uses bounded memory and learns sequentially.</w:t>
            </w:r>
          </w:p>
        </w:tc>
      </w:tr>
      <w:tr>
        <w:tc>
          <w:tcPr>
            <w:tcW w:type="dxa" w:w="2200"/>
            <w:shd w:fill="F7FAFF"/>
            <w:tcMar>
              <w:top w:w="90" w:type="dxa"/>
              <w:start w:w="120" w:type="dxa"/>
              <w:bottom w:w="90" w:type="dxa"/>
              <w:end w:w="120" w:type="dxa"/>
            </w:tcMar>
            <w:vAlign w:val="center"/>
          </w:tcPr>
          <w:p>
            <w:r>
              <w:rPr>
                <w:rFonts w:ascii="Calibri" w:hAnsi="Calibri"/>
                <w:color w:val="1E293B"/>
                <w:sz w:val="18"/>
              </w:rPr>
              <w:t>Online One-Class SVM</w:t>
            </w:r>
          </w:p>
        </w:tc>
        <w:tc>
          <w:tcPr>
            <w:tcW w:type="dxa" w:w="4100"/>
            <w:shd w:fill="F7FAFF"/>
            <w:tcMar>
              <w:top w:w="90" w:type="dxa"/>
              <w:start w:w="120" w:type="dxa"/>
              <w:bottom w:w="90" w:type="dxa"/>
              <w:end w:w="120" w:type="dxa"/>
            </w:tcMar>
            <w:vAlign w:val="center"/>
          </w:tcPr>
          <w:p>
            <w:r>
              <w:rPr>
                <w:rFonts w:ascii="Calibri" w:hAnsi="Calibri"/>
                <w:color w:val="1E293B"/>
                <w:sz w:val="18"/>
              </w:rPr>
              <w:t>Whether the transaction falls outside an incrementally learned normal boundary.</w:t>
            </w:r>
          </w:p>
        </w:tc>
        <w:tc>
          <w:tcPr>
            <w:tcW w:type="dxa" w:w="3060"/>
            <w:shd w:fill="F7FAFF"/>
            <w:tcMar>
              <w:top w:w="90" w:type="dxa"/>
              <w:start w:w="120" w:type="dxa"/>
              <w:bottom w:w="90" w:type="dxa"/>
              <w:end w:w="120" w:type="dxa"/>
            </w:tcMar>
            <w:vAlign w:val="center"/>
          </w:tcPr>
          <w:p>
            <w:r>
              <w:rPr>
                <w:rFonts w:ascii="Calibri" w:hAnsi="Calibri"/>
                <w:color w:val="1E293B"/>
                <w:sz w:val="18"/>
              </w:rPr>
              <w:t>Provides complementary ML evidence.</w:t>
            </w:r>
          </w:p>
        </w:tc>
      </w:tr>
    </w:tbl>
    <w:p>
      <w:pPr>
        <w:spacing w:after="0"/>
      </w:pPr>
    </w:p>
    <w:p>
      <w:pPr>
        <w:pStyle w:val="Heading2"/>
      </w:pPr>
      <w:r>
        <w:t>How weighted risk works</w:t>
      </w:r>
    </w:p>
    <w:p>
      <w:r>
        <w:rPr>
          <w:rFonts w:ascii="Calibri" w:hAnsi="Calibri"/>
          <w:color w:val="1E293B"/>
        </w:rPr>
        <w:t>Every component returns a normalized score. A versioned policy assigns each component a weight. The system multiplies each score by its weight and adds the results. Confidence can reduce weak behavioural evidence, while a severe rule can override the normal weighted calculation.</w:t>
      </w:r>
    </w:p>
    <w:tbl>
      <w:tblPr>
        <w:tblStyle w:val="TableGrid"/>
        <w:tblW w:type="dxa" w:w="9360"/>
        <w:jc w:val="left"/>
        <w:tblLayout w:type="fixed"/>
        <w:tblLook w:firstColumn="1" w:firstRow="1" w:lastColumn="0" w:lastRow="0" w:noHBand="0" w:noVBand="1" w:val="04A0"/>
        <w:tblInd w:w="120" w:type="dxa"/>
      </w:tblPr>
      <w:tblGrid>
        <w:gridCol w:w="3000"/>
        <w:gridCol w:w="1500"/>
        <w:gridCol w:w="1500"/>
        <w:gridCol w:w="3360"/>
      </w:tblGrid>
      <w:tr>
        <w:trPr>
          <w:tblHeader w:val="true"/>
        </w:trPr>
        <w:tc>
          <w:tcPr>
            <w:tcW w:type="dxa" w:w="3000"/>
            <w:shd w:fill="0F2747"/>
            <w:tcMar>
              <w:top w:w="90" w:type="dxa"/>
              <w:start w:w="120" w:type="dxa"/>
              <w:bottom w:w="90" w:type="dxa"/>
              <w:end w:w="120" w:type="dxa"/>
            </w:tcMar>
            <w:vAlign w:val="center"/>
          </w:tcPr>
          <w:p>
            <w:r>
              <w:rPr>
                <w:rFonts w:ascii="Calibri" w:hAnsi="Calibri"/>
                <w:b/>
                <w:color w:val="FFFFFF"/>
                <w:sz w:val="18"/>
              </w:rPr>
              <w:t>Example component</w:t>
            </w:r>
          </w:p>
        </w:tc>
        <w:tc>
          <w:tcPr>
            <w:tcW w:type="dxa" w:w="1500"/>
            <w:shd w:fill="0F2747"/>
            <w:tcMar>
              <w:top w:w="90" w:type="dxa"/>
              <w:start w:w="120" w:type="dxa"/>
              <w:bottom w:w="90" w:type="dxa"/>
              <w:end w:w="120" w:type="dxa"/>
            </w:tcMar>
            <w:vAlign w:val="center"/>
          </w:tcPr>
          <w:p>
            <w:r>
              <w:rPr>
                <w:rFonts w:ascii="Calibri" w:hAnsi="Calibri"/>
                <w:b/>
                <w:color w:val="FFFFFF"/>
                <w:sz w:val="18"/>
              </w:rPr>
              <w:t>Score</w:t>
            </w:r>
          </w:p>
        </w:tc>
        <w:tc>
          <w:tcPr>
            <w:tcW w:type="dxa" w:w="1500"/>
            <w:shd w:fill="0F2747"/>
            <w:tcMar>
              <w:top w:w="90" w:type="dxa"/>
              <w:start w:w="120" w:type="dxa"/>
              <w:bottom w:w="90" w:type="dxa"/>
              <w:end w:w="120" w:type="dxa"/>
            </w:tcMar>
            <w:vAlign w:val="center"/>
          </w:tcPr>
          <w:p>
            <w:r>
              <w:rPr>
                <w:rFonts w:ascii="Calibri" w:hAnsi="Calibri"/>
                <w:b/>
                <w:color w:val="FFFFFF"/>
                <w:sz w:val="18"/>
              </w:rPr>
              <w:t>Weight</w:t>
            </w:r>
          </w:p>
        </w:tc>
        <w:tc>
          <w:tcPr>
            <w:tcW w:type="dxa" w:w="3360"/>
            <w:shd w:fill="0F2747"/>
            <w:tcMar>
              <w:top w:w="90" w:type="dxa"/>
              <w:start w:w="120" w:type="dxa"/>
              <w:bottom w:w="90" w:type="dxa"/>
              <w:end w:w="120" w:type="dxa"/>
            </w:tcMar>
            <w:vAlign w:val="center"/>
          </w:tcPr>
          <w:p>
            <w:r>
              <w:rPr>
                <w:rFonts w:ascii="Calibri" w:hAnsi="Calibri"/>
                <w:b/>
                <w:color w:val="FFFFFF"/>
                <w:sz w:val="18"/>
              </w:rPr>
              <w:t>Contribution</w:t>
            </w:r>
          </w:p>
        </w:tc>
      </w:tr>
      <w:tr>
        <w:tc>
          <w:tcPr>
            <w:tcW w:type="dxa" w:w="3000"/>
            <w:shd w:fill="F7FAFF"/>
            <w:tcMar>
              <w:top w:w="90" w:type="dxa"/>
              <w:start w:w="120" w:type="dxa"/>
              <w:bottom w:w="90" w:type="dxa"/>
              <w:end w:w="120" w:type="dxa"/>
            </w:tcMar>
            <w:vAlign w:val="center"/>
          </w:tcPr>
          <w:p>
            <w:r>
              <w:rPr>
                <w:rFonts w:ascii="Calibri" w:hAnsi="Calibri"/>
                <w:color w:val="1E293B"/>
                <w:sz w:val="18"/>
              </w:rPr>
              <w:t>Rules</w:t>
            </w:r>
          </w:p>
        </w:tc>
        <w:tc>
          <w:tcPr>
            <w:tcW w:type="dxa" w:w="1500"/>
            <w:shd w:fill="F7FAFF"/>
            <w:tcMar>
              <w:top w:w="90" w:type="dxa"/>
              <w:start w:w="120" w:type="dxa"/>
              <w:bottom w:w="90" w:type="dxa"/>
              <w:end w:w="120" w:type="dxa"/>
            </w:tcMar>
            <w:vAlign w:val="center"/>
          </w:tcPr>
          <w:p>
            <w:r>
              <w:rPr>
                <w:rFonts w:ascii="Calibri" w:hAnsi="Calibri"/>
                <w:color w:val="1E293B"/>
                <w:sz w:val="18"/>
              </w:rPr>
              <w:t>0.80</w:t>
            </w:r>
          </w:p>
        </w:tc>
        <w:tc>
          <w:tcPr>
            <w:tcW w:type="dxa" w:w="1500"/>
            <w:shd w:fill="F7FAFF"/>
            <w:tcMar>
              <w:top w:w="90" w:type="dxa"/>
              <w:start w:w="120" w:type="dxa"/>
              <w:bottom w:w="90" w:type="dxa"/>
              <w:end w:w="120" w:type="dxa"/>
            </w:tcMar>
            <w:vAlign w:val="center"/>
          </w:tcPr>
          <w:p>
            <w:r>
              <w:rPr>
                <w:rFonts w:ascii="Calibri" w:hAnsi="Calibri"/>
                <w:color w:val="1E293B"/>
                <w:sz w:val="18"/>
              </w:rPr>
              <w:t>25%</w:t>
            </w:r>
          </w:p>
        </w:tc>
        <w:tc>
          <w:tcPr>
            <w:tcW w:type="dxa" w:w="3360"/>
            <w:shd w:fill="F7FAFF"/>
            <w:tcMar>
              <w:top w:w="90" w:type="dxa"/>
              <w:start w:w="120" w:type="dxa"/>
              <w:bottom w:w="90" w:type="dxa"/>
              <w:end w:w="120" w:type="dxa"/>
            </w:tcMar>
            <w:vAlign w:val="center"/>
          </w:tcPr>
          <w:p>
            <w:r>
              <w:rPr>
                <w:rFonts w:ascii="Calibri" w:hAnsi="Calibri"/>
                <w:color w:val="1E293B"/>
                <w:sz w:val="18"/>
              </w:rPr>
              <w:t>0.20</w:t>
            </w:r>
          </w:p>
        </w:tc>
      </w:tr>
      <w:tr>
        <w:tc>
          <w:tcPr>
            <w:tcW w:type="dxa" w:w="3000"/>
            <w:tcMar>
              <w:top w:w="90" w:type="dxa"/>
              <w:start w:w="120" w:type="dxa"/>
              <w:bottom w:w="90" w:type="dxa"/>
              <w:end w:w="120" w:type="dxa"/>
            </w:tcMar>
            <w:vAlign w:val="center"/>
          </w:tcPr>
          <w:p>
            <w:r>
              <w:rPr>
                <w:rFonts w:ascii="Calibri" w:hAnsi="Calibri"/>
                <w:color w:val="1E293B"/>
                <w:sz w:val="18"/>
              </w:rPr>
              <w:t>Customer behaviour</w:t>
            </w:r>
          </w:p>
        </w:tc>
        <w:tc>
          <w:tcPr>
            <w:tcW w:type="dxa" w:w="1500"/>
            <w:tcMar>
              <w:top w:w="90" w:type="dxa"/>
              <w:start w:w="120" w:type="dxa"/>
              <w:bottom w:w="90" w:type="dxa"/>
              <w:end w:w="120" w:type="dxa"/>
            </w:tcMar>
            <w:vAlign w:val="center"/>
          </w:tcPr>
          <w:p>
            <w:r>
              <w:rPr>
                <w:rFonts w:ascii="Calibri" w:hAnsi="Calibri"/>
                <w:color w:val="1E293B"/>
                <w:sz w:val="18"/>
              </w:rPr>
              <w:t>0.90</w:t>
            </w:r>
          </w:p>
        </w:tc>
        <w:tc>
          <w:tcPr>
            <w:tcW w:type="dxa" w:w="1500"/>
            <w:tcMar>
              <w:top w:w="90" w:type="dxa"/>
              <w:start w:w="120" w:type="dxa"/>
              <w:bottom w:w="90" w:type="dxa"/>
              <w:end w:w="120" w:type="dxa"/>
            </w:tcMar>
            <w:vAlign w:val="center"/>
          </w:tcPr>
          <w:p>
            <w:r>
              <w:rPr>
                <w:rFonts w:ascii="Calibri" w:hAnsi="Calibri"/>
                <w:color w:val="1E293B"/>
                <w:sz w:val="18"/>
              </w:rPr>
              <w:t>20%</w:t>
            </w:r>
          </w:p>
        </w:tc>
        <w:tc>
          <w:tcPr>
            <w:tcW w:type="dxa" w:w="3360"/>
            <w:tcMar>
              <w:top w:w="90" w:type="dxa"/>
              <w:start w:w="120" w:type="dxa"/>
              <w:bottom w:w="90" w:type="dxa"/>
              <w:end w:w="120" w:type="dxa"/>
            </w:tcMar>
            <w:vAlign w:val="center"/>
          </w:tcPr>
          <w:p>
            <w:r>
              <w:rPr>
                <w:rFonts w:ascii="Calibri" w:hAnsi="Calibri"/>
                <w:color w:val="1E293B"/>
                <w:sz w:val="18"/>
              </w:rPr>
              <w:t>0.18</w:t>
            </w:r>
          </w:p>
        </w:tc>
      </w:tr>
      <w:tr>
        <w:tc>
          <w:tcPr>
            <w:tcW w:type="dxa" w:w="3000"/>
            <w:shd w:fill="F7FAFF"/>
            <w:tcMar>
              <w:top w:w="90" w:type="dxa"/>
              <w:start w:w="120" w:type="dxa"/>
              <w:bottom w:w="90" w:type="dxa"/>
              <w:end w:w="120" w:type="dxa"/>
            </w:tcMar>
            <w:vAlign w:val="center"/>
          </w:tcPr>
          <w:p>
            <w:r>
              <w:rPr>
                <w:rFonts w:ascii="Calibri" w:hAnsi="Calibri"/>
                <w:color w:val="1E293B"/>
                <w:sz w:val="18"/>
              </w:rPr>
              <w:t>Peer behaviour</w:t>
            </w:r>
          </w:p>
        </w:tc>
        <w:tc>
          <w:tcPr>
            <w:tcW w:type="dxa" w:w="1500"/>
            <w:shd w:fill="F7FAFF"/>
            <w:tcMar>
              <w:top w:w="90" w:type="dxa"/>
              <w:start w:w="120" w:type="dxa"/>
              <w:bottom w:w="90" w:type="dxa"/>
              <w:end w:w="120" w:type="dxa"/>
            </w:tcMar>
            <w:vAlign w:val="center"/>
          </w:tcPr>
          <w:p>
            <w:r>
              <w:rPr>
                <w:rFonts w:ascii="Calibri" w:hAnsi="Calibri"/>
                <w:color w:val="1E293B"/>
                <w:sz w:val="18"/>
              </w:rPr>
              <w:t>0.60</w:t>
            </w:r>
          </w:p>
        </w:tc>
        <w:tc>
          <w:tcPr>
            <w:tcW w:type="dxa" w:w="1500"/>
            <w:shd w:fill="F7FAFF"/>
            <w:tcMar>
              <w:top w:w="90" w:type="dxa"/>
              <w:start w:w="120" w:type="dxa"/>
              <w:bottom w:w="90" w:type="dxa"/>
              <w:end w:w="120" w:type="dxa"/>
            </w:tcMar>
            <w:vAlign w:val="center"/>
          </w:tcPr>
          <w:p>
            <w:r>
              <w:rPr>
                <w:rFonts w:ascii="Calibri" w:hAnsi="Calibri"/>
                <w:color w:val="1E293B"/>
                <w:sz w:val="18"/>
              </w:rPr>
              <w:t>15%</w:t>
            </w:r>
          </w:p>
        </w:tc>
        <w:tc>
          <w:tcPr>
            <w:tcW w:type="dxa" w:w="3360"/>
            <w:shd w:fill="F7FAFF"/>
            <w:tcMar>
              <w:top w:w="90" w:type="dxa"/>
              <w:start w:w="120" w:type="dxa"/>
              <w:bottom w:w="90" w:type="dxa"/>
              <w:end w:w="120" w:type="dxa"/>
            </w:tcMar>
            <w:vAlign w:val="center"/>
          </w:tcPr>
          <w:p>
            <w:r>
              <w:rPr>
                <w:rFonts w:ascii="Calibri" w:hAnsi="Calibri"/>
                <w:color w:val="1E293B"/>
                <w:sz w:val="18"/>
              </w:rPr>
              <w:t>0.09</w:t>
            </w:r>
          </w:p>
        </w:tc>
      </w:tr>
      <w:tr>
        <w:tc>
          <w:tcPr>
            <w:tcW w:type="dxa" w:w="3000"/>
            <w:tcMar>
              <w:top w:w="90" w:type="dxa"/>
              <w:start w:w="120" w:type="dxa"/>
              <w:bottom w:w="90" w:type="dxa"/>
              <w:end w:w="120" w:type="dxa"/>
            </w:tcMar>
            <w:vAlign w:val="center"/>
          </w:tcPr>
          <w:p>
            <w:r>
              <w:rPr>
                <w:rFonts w:ascii="Calibri" w:hAnsi="Calibri"/>
                <w:color w:val="1E293B"/>
                <w:sz w:val="18"/>
              </w:rPr>
              <w:t>Half-Space Trees</w:t>
            </w:r>
          </w:p>
        </w:tc>
        <w:tc>
          <w:tcPr>
            <w:tcW w:type="dxa" w:w="1500"/>
            <w:tcMar>
              <w:top w:w="90" w:type="dxa"/>
              <w:start w:w="120" w:type="dxa"/>
              <w:bottom w:w="90" w:type="dxa"/>
              <w:end w:w="120" w:type="dxa"/>
            </w:tcMar>
            <w:vAlign w:val="center"/>
          </w:tcPr>
          <w:p>
            <w:r>
              <w:rPr>
                <w:rFonts w:ascii="Calibri" w:hAnsi="Calibri"/>
                <w:color w:val="1E293B"/>
                <w:sz w:val="18"/>
              </w:rPr>
              <w:t>0.75</w:t>
            </w:r>
          </w:p>
        </w:tc>
        <w:tc>
          <w:tcPr>
            <w:tcW w:type="dxa" w:w="1500"/>
            <w:tcMar>
              <w:top w:w="90" w:type="dxa"/>
              <w:start w:w="120" w:type="dxa"/>
              <w:bottom w:w="90" w:type="dxa"/>
              <w:end w:w="120" w:type="dxa"/>
            </w:tcMar>
            <w:vAlign w:val="center"/>
          </w:tcPr>
          <w:p>
            <w:r>
              <w:rPr>
                <w:rFonts w:ascii="Calibri" w:hAnsi="Calibri"/>
                <w:color w:val="1E293B"/>
                <w:sz w:val="18"/>
              </w:rPr>
              <w:t>25%</w:t>
            </w:r>
          </w:p>
        </w:tc>
        <w:tc>
          <w:tcPr>
            <w:tcW w:type="dxa" w:w="3360"/>
            <w:tcMar>
              <w:top w:w="90" w:type="dxa"/>
              <w:start w:w="120" w:type="dxa"/>
              <w:bottom w:w="90" w:type="dxa"/>
              <w:end w:w="120" w:type="dxa"/>
            </w:tcMar>
            <w:vAlign w:val="center"/>
          </w:tcPr>
          <w:p>
            <w:r>
              <w:rPr>
                <w:rFonts w:ascii="Calibri" w:hAnsi="Calibri"/>
                <w:color w:val="1E293B"/>
                <w:sz w:val="18"/>
              </w:rPr>
              <w:t>0.19</w:t>
            </w:r>
          </w:p>
        </w:tc>
      </w:tr>
      <w:tr>
        <w:tc>
          <w:tcPr>
            <w:tcW w:type="dxa" w:w="3000"/>
            <w:shd w:fill="F7FAFF"/>
            <w:tcMar>
              <w:top w:w="90" w:type="dxa"/>
              <w:start w:w="120" w:type="dxa"/>
              <w:bottom w:w="90" w:type="dxa"/>
              <w:end w:w="120" w:type="dxa"/>
            </w:tcMar>
            <w:vAlign w:val="center"/>
          </w:tcPr>
          <w:p>
            <w:r>
              <w:rPr>
                <w:rFonts w:ascii="Calibri" w:hAnsi="Calibri"/>
                <w:color w:val="1E293B"/>
                <w:sz w:val="18"/>
              </w:rPr>
              <w:t>Online OCSVM</w:t>
            </w:r>
          </w:p>
        </w:tc>
        <w:tc>
          <w:tcPr>
            <w:tcW w:type="dxa" w:w="1500"/>
            <w:shd w:fill="F7FAFF"/>
            <w:tcMar>
              <w:top w:w="90" w:type="dxa"/>
              <w:start w:w="120" w:type="dxa"/>
              <w:bottom w:w="90" w:type="dxa"/>
              <w:end w:w="120" w:type="dxa"/>
            </w:tcMar>
            <w:vAlign w:val="center"/>
          </w:tcPr>
          <w:p>
            <w:r>
              <w:rPr>
                <w:rFonts w:ascii="Calibri" w:hAnsi="Calibri"/>
                <w:color w:val="1E293B"/>
                <w:sz w:val="18"/>
              </w:rPr>
              <w:t>0.70</w:t>
            </w:r>
          </w:p>
        </w:tc>
        <w:tc>
          <w:tcPr>
            <w:tcW w:type="dxa" w:w="1500"/>
            <w:shd w:fill="F7FAFF"/>
            <w:tcMar>
              <w:top w:w="90" w:type="dxa"/>
              <w:start w:w="120" w:type="dxa"/>
              <w:bottom w:w="90" w:type="dxa"/>
              <w:end w:w="120" w:type="dxa"/>
            </w:tcMar>
            <w:vAlign w:val="center"/>
          </w:tcPr>
          <w:p>
            <w:r>
              <w:rPr>
                <w:rFonts w:ascii="Calibri" w:hAnsi="Calibri"/>
                <w:color w:val="1E293B"/>
                <w:sz w:val="18"/>
              </w:rPr>
              <w:t>15%</w:t>
            </w:r>
          </w:p>
        </w:tc>
        <w:tc>
          <w:tcPr>
            <w:tcW w:type="dxa" w:w="3360"/>
            <w:shd w:fill="F7FAFF"/>
            <w:tcMar>
              <w:top w:w="90" w:type="dxa"/>
              <w:start w:w="120" w:type="dxa"/>
              <w:bottom w:w="90" w:type="dxa"/>
              <w:end w:w="120" w:type="dxa"/>
            </w:tcMar>
            <w:vAlign w:val="center"/>
          </w:tcPr>
          <w:p>
            <w:r>
              <w:rPr>
                <w:rFonts w:ascii="Calibri" w:hAnsi="Calibri"/>
                <w:color w:val="1E293B"/>
                <w:sz w:val="18"/>
              </w:rPr>
              <w:t>0.11</w:t>
            </w:r>
          </w:p>
        </w:tc>
      </w:tr>
      <w:tr>
        <w:tc>
          <w:tcPr>
            <w:tcW w:type="dxa" w:w="3000"/>
            <w:tcMar>
              <w:top w:w="90" w:type="dxa"/>
              <w:start w:w="120" w:type="dxa"/>
              <w:bottom w:w="90" w:type="dxa"/>
              <w:end w:w="120" w:type="dxa"/>
            </w:tcMar>
            <w:vAlign w:val="center"/>
          </w:tcPr>
          <w:p>
            <w:r>
              <w:rPr>
                <w:rFonts w:ascii="Calibri" w:hAnsi="Calibri"/>
                <w:color w:val="1E293B"/>
                <w:sz w:val="18"/>
              </w:rPr>
              <w:t>Final score</w:t>
            </w:r>
          </w:p>
        </w:tc>
        <w:tc>
          <w:tcPr>
            <w:tcW w:type="dxa" w:w="1500"/>
            <w:tcMar>
              <w:top w:w="90" w:type="dxa"/>
              <w:start w:w="120" w:type="dxa"/>
              <w:bottom w:w="90" w:type="dxa"/>
              <w:end w:w="120" w:type="dxa"/>
            </w:tcMar>
            <w:vAlign w:val="center"/>
          </w:tcPr>
          <w:p>
            <w:r>
              <w:rPr>
                <w:rFonts w:ascii="Calibri" w:hAnsi="Calibri"/>
                <w:color w:val="1E293B"/>
                <w:sz w:val="18"/>
              </w:rPr>
            </w:r>
          </w:p>
        </w:tc>
        <w:tc>
          <w:tcPr>
            <w:tcW w:type="dxa" w:w="1500"/>
            <w:tcMar>
              <w:top w:w="90" w:type="dxa"/>
              <w:start w:w="120" w:type="dxa"/>
              <w:bottom w:w="90" w:type="dxa"/>
              <w:end w:w="120" w:type="dxa"/>
            </w:tcMar>
            <w:vAlign w:val="center"/>
          </w:tcPr>
          <w:p>
            <w:r>
              <w:rPr>
                <w:rFonts w:ascii="Calibri" w:hAnsi="Calibri"/>
                <w:color w:val="1E293B"/>
                <w:sz w:val="18"/>
              </w:rPr>
              <w:t>100%</w:t>
            </w:r>
          </w:p>
        </w:tc>
        <w:tc>
          <w:tcPr>
            <w:tcW w:type="dxa" w:w="3360"/>
            <w:tcMar>
              <w:top w:w="90" w:type="dxa"/>
              <w:start w:w="120" w:type="dxa"/>
              <w:bottom w:w="90" w:type="dxa"/>
              <w:end w:w="120" w:type="dxa"/>
            </w:tcMar>
            <w:vAlign w:val="center"/>
          </w:tcPr>
          <w:p>
            <w:r>
              <w:rPr>
                <w:rFonts w:ascii="Calibri" w:hAnsi="Calibri"/>
                <w:color w:val="1E293B"/>
                <w:sz w:val="18"/>
              </w:rPr>
              <w:t>0.77</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AF2FF"/>
            <w:tcMar>
              <w:top w:w="90" w:type="dxa"/>
              <w:start w:w="120" w:type="dxa"/>
              <w:bottom w:w="90" w:type="dxa"/>
              <w:end w:w="120" w:type="dxa"/>
            </w:tcMar>
            <w:vAlign w:val="center"/>
          </w:tcPr>
          <w:p>
            <w:pPr>
              <w:spacing w:after="0"/>
            </w:pPr>
            <w:r>
              <w:rPr>
                <w:rFonts w:ascii="Calibri" w:hAnsi="Calibri"/>
                <w:b/>
                <w:color w:val="2563EB"/>
              </w:rPr>
              <w:t xml:space="preserve">This is only an example: </w:t>
            </w:r>
            <w:r>
              <w:rPr>
                <w:rFonts w:ascii="Calibri" w:hAnsi="Calibri"/>
                <w:color w:val="1E293B"/>
              </w:rPr>
              <w:t>The real values come from the active versioned risk policy. A final score of 0.77 may become suspicious depending on the configured thresholds and rule overrides.</w:t>
            </w:r>
          </w:p>
        </w:tc>
      </w:tr>
    </w:tbl>
    <w:p>
      <w:pPr>
        <w:spacing w:after="0"/>
      </w:pPr>
    </w:p>
    <w:p>
      <w:pPr>
        <w:pStyle w:val="Heading1"/>
      </w:pPr>
      <w:r>
        <w:t>4. A Simple Example: Account AC00455</w:t>
      </w:r>
    </w:p>
    <w:p>
      <w:r>
        <w:rPr>
          <w:rFonts w:ascii="Calibri" w:hAnsi="Calibri"/>
          <w:color w:val="1E293B"/>
        </w:rPr>
        <w:t>Suppose AC00455 normally transfers about 5,000 in familiar locations during daytime hours. A new transaction arrives for 20,000 from a new location at night after several login attempts.</w:t>
      </w:r>
    </w:p>
    <w:p>
      <w:pPr>
        <w:pStyle w:val="ListNumber"/>
      </w:pPr>
      <w:r>
        <w:rPr>
          <w:rFonts w:ascii="Calibri" w:hAnsi="Calibri"/>
          <w:color w:val="1E293B"/>
        </w:rPr>
        <w:t>The amount is four times the normal average, so customer amount deviation becomes high.</w:t>
      </w:r>
    </w:p>
    <w:p>
      <w:pPr>
        <w:pStyle w:val="ListNumber"/>
      </w:pPr>
      <w:r>
        <w:rPr>
          <w:rFonts w:ascii="Calibri" w:hAnsi="Calibri"/>
          <w:color w:val="1E293B"/>
        </w:rPr>
        <w:t>The location and time differ from trusted behaviour, increasing customer anomaly evidence.</w:t>
      </w:r>
    </w:p>
    <w:p>
      <w:pPr>
        <w:pStyle w:val="ListNumber"/>
      </w:pPr>
      <w:r>
        <w:rPr>
          <w:rFonts w:ascii="Calibri" w:hAnsi="Calibri"/>
          <w:color w:val="1E293B"/>
        </w:rPr>
        <w:t>Recent login attempts and transaction speed may trigger deterministic risk rules.</w:t>
      </w:r>
    </w:p>
    <w:p>
      <w:pPr>
        <w:pStyle w:val="ListNumber"/>
      </w:pPr>
      <w:r>
        <w:rPr>
          <w:rFonts w:ascii="Calibri" w:hAnsi="Calibri"/>
          <w:color w:val="1E293B"/>
        </w:rPr>
        <w:t>The peer scorer checks whether this amount and channel are also unusual for comparable customers.</w:t>
      </w:r>
    </w:p>
    <w:p>
      <w:pPr>
        <w:pStyle w:val="ListNumber"/>
      </w:pPr>
      <w:r>
        <w:rPr>
          <w:rFonts w:ascii="Calibri" w:hAnsi="Calibri"/>
          <w:color w:val="1E293B"/>
        </w:rPr>
        <w:t>HST and Online OCSVM score the saved feature vector against their learned normal structures.</w:t>
      </w:r>
    </w:p>
    <w:p>
      <w:pPr>
        <w:pStyle w:val="ListNumber"/>
      </w:pPr>
      <w:r>
        <w:rPr>
          <w:rFonts w:ascii="Calibri" w:hAnsi="Calibri"/>
          <w:color w:val="1E293B"/>
        </w:rPr>
        <w:t>The weighted policy combines all evidence and stores reason codes such as amount deviation, location change, unusual time, or velocity risk.</w:t>
      </w:r>
    </w:p>
    <w:p>
      <w:pPr>
        <w:pStyle w:val="ListNumber"/>
      </w:pPr>
      <w:r>
        <w:rPr>
          <w:rFonts w:ascii="Calibri" w:hAnsi="Calibri"/>
          <w:color w:val="1E293B"/>
        </w:rPr>
        <w:t>If the final score crosses the suspicious threshold, a case is opened for an analyst. The transaction is not automatically called fraud.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90" w:type="dxa"/>
              <w:start w:w="120" w:type="dxa"/>
              <w:bottom w:w="90" w:type="dxa"/>
              <w:end w:w="120" w:type="dxa"/>
            </w:tcMar>
            <w:vAlign w:val="center"/>
          </w:tcPr>
          <w:p>
            <w:pPr>
              <w:spacing w:after="0"/>
            </w:pPr>
            <w:r>
              <w:rPr>
                <w:rFonts w:ascii="Calibri" w:hAnsi="Calibri"/>
                <w:b/>
                <w:color w:val="92400E"/>
              </w:rPr>
              <w:t xml:space="preserve">Learning protection: </w:t>
            </w:r>
            <w:r>
              <w:rPr>
                <w:rFonts w:ascii="Calibri" w:hAnsi="Calibri"/>
                <w:color w:val="1E293B"/>
              </w:rPr>
              <w:t>Because the transaction is suspicious, it can be quarantined from trusted learning. This stops a possible anomaly from immediately changing AC00455's definition of normal.</w:t>
            </w:r>
          </w:p>
        </w:tc>
      </w:tr>
    </w:tbl>
    <w:p>
      <w:pPr>
        <w:spacing w:after="0"/>
      </w:pPr>
    </w:p>
    <w:p>
      <w:pPr>
        <w:pStyle w:val="Heading1"/>
      </w:pPr>
      <w:r>
        <w:t>5. Cold Start: What If the Customer Is New?</w:t>
      </w:r>
    </w:p>
    <w:p>
      <w:r>
        <w:rPr>
          <w:rFonts w:ascii="Calibri" w:hAnsi="Calibri"/>
          <w:color w:val="1E293B"/>
        </w:rPr>
        <w:t>A new customer may have too little history for a reliable personal average. The system marks this as cold start instead of pretending that weak history is trustworthy.</w:t>
      </w:r>
    </w:p>
    <w:p>
      <w:pPr>
        <w:pStyle w:val="ListBullet"/>
      </w:pPr>
      <w:r>
        <w:rPr>
          <w:rFonts w:ascii="Calibri" w:hAnsi="Calibri"/>
          <w:color w:val="1E293B"/>
        </w:rPr>
        <w:t>Profile confidence tells the policy how much personal evidence can be trusted.</w:t>
      </w:r>
    </w:p>
    <w:p>
      <w:pPr>
        <w:pStyle w:val="ListBullet"/>
      </w:pPr>
      <w:r>
        <w:rPr>
          <w:rFonts w:ascii="Calibri" w:hAnsi="Calibri"/>
          <w:color w:val="1E293B"/>
        </w:rPr>
        <w:t>Peer-group behaviour provides broader context while personal history grows.</w:t>
      </w:r>
    </w:p>
    <w:p>
      <w:pPr>
        <w:pStyle w:val="ListBullet"/>
      </w:pPr>
      <w:r>
        <w:rPr>
          <w:rFonts w:ascii="Calibri" w:hAnsi="Calibri"/>
          <w:color w:val="1E293B"/>
        </w:rPr>
        <w:t>Deterministic AML rules still work immediately.</w:t>
      </w:r>
    </w:p>
    <w:p>
      <w:pPr>
        <w:pStyle w:val="ListBullet"/>
      </w:pPr>
      <w:r>
        <w:rPr>
          <w:rFonts w:ascii="Calibri" w:hAnsi="Calibri"/>
          <w:color w:val="1E293B"/>
        </w:rPr>
        <w:t>Configurable minimum-history controls prevent unstable personal comparisons.</w:t>
      </w:r>
    </w:p>
    <w:p>
      <w:pPr>
        <w:pStyle w:val="ListBullet"/>
      </w:pPr>
      <w:r>
        <w:rPr>
          <w:rFonts w:ascii="Calibri" w:hAnsi="Calibri"/>
          <w:color w:val="1E293B"/>
        </w:rPr>
        <w:t>The learning policy gradually builds trusted behaviour from eligible transactions.</w:t>
      </w:r>
    </w:p>
    <w:p>
      <w:pPr>
        <w:pStyle w:val="Heading1"/>
      </w:pPr>
      <w:r>
        <w:t>6. Research Comparison Versus Production</w:t>
      </w:r>
    </w:p>
    <w:p>
      <w:r>
        <w:rPr>
          <w:rFonts w:ascii="Calibri" w:hAnsi="Calibri"/>
          <w:color w:val="1E293B"/>
        </w:rPr>
        <w:t>The project has two model tracks for different purposes. Mixing them together would make the system confusing and unsafe.</w:t>
      </w:r>
    </w:p>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rPr>
          <w:tblHeader w:val="true"/>
        </w:trPr>
        <w:tc>
          <w:tcPr>
            <w:tcW w:type="dxa" w:w="1800"/>
            <w:shd w:fill="0F2747"/>
            <w:tcMar>
              <w:top w:w="90" w:type="dxa"/>
              <w:start w:w="120" w:type="dxa"/>
              <w:bottom w:w="90" w:type="dxa"/>
              <w:end w:w="120" w:type="dxa"/>
            </w:tcMar>
            <w:vAlign w:val="center"/>
          </w:tcPr>
          <w:p>
            <w:r>
              <w:rPr>
                <w:rFonts w:ascii="Calibri" w:hAnsi="Calibri"/>
                <w:b/>
                <w:color w:val="FFFFFF"/>
                <w:sz w:val="18"/>
              </w:rPr>
              <w:t>Question</w:t>
            </w:r>
          </w:p>
        </w:tc>
        <w:tc>
          <w:tcPr>
            <w:tcW w:type="dxa" w:w="3780"/>
            <w:shd w:fill="0F2747"/>
            <w:tcMar>
              <w:top w:w="90" w:type="dxa"/>
              <w:start w:w="120" w:type="dxa"/>
              <w:bottom w:w="90" w:type="dxa"/>
              <w:end w:w="120" w:type="dxa"/>
            </w:tcMar>
            <w:vAlign w:val="center"/>
          </w:tcPr>
          <w:p>
            <w:r>
              <w:rPr>
                <w:rFonts w:ascii="Calibri" w:hAnsi="Calibri"/>
                <w:b/>
                <w:color w:val="FFFFFF"/>
                <w:sz w:val="18"/>
              </w:rPr>
              <w:t>Offline research comparison</w:t>
            </w:r>
          </w:p>
        </w:tc>
        <w:tc>
          <w:tcPr>
            <w:tcW w:type="dxa" w:w="3780"/>
            <w:shd w:fill="0F2747"/>
            <w:tcMar>
              <w:top w:w="90" w:type="dxa"/>
              <w:start w:w="120" w:type="dxa"/>
              <w:bottom w:w="90" w:type="dxa"/>
              <w:end w:w="120" w:type="dxa"/>
            </w:tcMar>
            <w:vAlign w:val="center"/>
          </w:tcPr>
          <w:p>
            <w:r>
              <w:rPr>
                <w:rFonts w:ascii="Calibri" w:hAnsi="Calibri"/>
                <w:b/>
                <w:color w:val="FFFFFF"/>
                <w:sz w:val="18"/>
              </w:rPr>
              <w:t>Layered production</w:t>
            </w:r>
          </w:p>
        </w:tc>
      </w:tr>
      <w:tr>
        <w:tc>
          <w:tcPr>
            <w:tcW w:type="dxa" w:w="1800"/>
            <w:shd w:fill="F7FAFF"/>
            <w:tcMar>
              <w:top w:w="90" w:type="dxa"/>
              <w:start w:w="120" w:type="dxa"/>
              <w:bottom w:w="90" w:type="dxa"/>
              <w:end w:w="120" w:type="dxa"/>
            </w:tcMar>
            <w:vAlign w:val="center"/>
          </w:tcPr>
          <w:p>
            <w:r>
              <w:rPr>
                <w:rFonts w:ascii="Calibri" w:hAnsi="Calibri"/>
                <w:color w:val="1E293B"/>
                <w:sz w:val="18"/>
              </w:rPr>
              <w:t>Main goal</w:t>
            </w:r>
          </w:p>
        </w:tc>
        <w:tc>
          <w:tcPr>
            <w:tcW w:type="dxa" w:w="3780"/>
            <w:shd w:fill="F7FAFF"/>
            <w:tcMar>
              <w:top w:w="90" w:type="dxa"/>
              <w:start w:w="120" w:type="dxa"/>
              <w:bottom w:w="90" w:type="dxa"/>
              <w:end w:w="120" w:type="dxa"/>
            </w:tcMar>
            <w:vAlign w:val="center"/>
          </w:tcPr>
          <w:p>
            <w:r>
              <w:rPr>
                <w:rFonts w:ascii="Calibri" w:hAnsi="Calibri"/>
                <w:color w:val="1E293B"/>
                <w:sz w:val="18"/>
              </w:rPr>
              <w:t>Learn how model behaviour changes as data grows.</w:t>
            </w:r>
          </w:p>
        </w:tc>
        <w:tc>
          <w:tcPr>
            <w:tcW w:type="dxa" w:w="3780"/>
            <w:shd w:fill="F7FAFF"/>
            <w:tcMar>
              <w:top w:w="90" w:type="dxa"/>
              <w:start w:w="120" w:type="dxa"/>
              <w:bottom w:w="90" w:type="dxa"/>
              <w:end w:w="120" w:type="dxa"/>
            </w:tcMar>
            <w:vAlign w:val="center"/>
          </w:tcPr>
          <w:p>
            <w:r>
              <w:rPr>
                <w:rFonts w:ascii="Calibri" w:hAnsi="Calibri"/>
                <w:color w:val="1E293B"/>
                <w:sz w:val="18"/>
              </w:rPr>
              <w:t>Score live transactions safely and explainably.</w:t>
            </w:r>
          </w:p>
        </w:tc>
      </w:tr>
      <w:tr>
        <w:tc>
          <w:tcPr>
            <w:tcW w:type="dxa" w:w="1800"/>
            <w:tcMar>
              <w:top w:w="90" w:type="dxa"/>
              <w:start w:w="120" w:type="dxa"/>
              <w:bottom w:w="90" w:type="dxa"/>
              <w:end w:w="120" w:type="dxa"/>
            </w:tcMar>
            <w:vAlign w:val="center"/>
          </w:tcPr>
          <w:p>
            <w:r>
              <w:rPr>
                <w:rFonts w:ascii="Calibri" w:hAnsi="Calibri"/>
                <w:color w:val="1E293B"/>
                <w:sz w:val="18"/>
              </w:rPr>
              <w:t>Models/components</w:t>
            </w:r>
          </w:p>
        </w:tc>
        <w:tc>
          <w:tcPr>
            <w:tcW w:type="dxa" w:w="3780"/>
            <w:tcMar>
              <w:top w:w="90" w:type="dxa"/>
              <w:start w:w="120" w:type="dxa"/>
              <w:bottom w:w="90" w:type="dxa"/>
              <w:end w:w="120" w:type="dxa"/>
            </w:tcMar>
            <w:vAlign w:val="center"/>
          </w:tcPr>
          <w:p>
            <w:r>
              <w:rPr>
                <w:rFonts w:ascii="Calibri" w:hAnsi="Calibri"/>
                <w:color w:val="1E293B"/>
                <w:sz w:val="18"/>
              </w:rPr>
              <w:t>Isolation Forest, LOF, kernel One-Class SVM, Elliptic Envelope, PCA Reconstruction.</w:t>
            </w:r>
          </w:p>
        </w:tc>
        <w:tc>
          <w:tcPr>
            <w:tcW w:type="dxa" w:w="3780"/>
            <w:tcMar>
              <w:top w:w="90" w:type="dxa"/>
              <w:start w:w="120" w:type="dxa"/>
              <w:bottom w:w="90" w:type="dxa"/>
              <w:end w:w="120" w:type="dxa"/>
            </w:tcMar>
            <w:vAlign w:val="center"/>
          </w:tcPr>
          <w:p>
            <w:r>
              <w:rPr>
                <w:rFonts w:ascii="Calibri" w:hAnsi="Calibri"/>
                <w:color w:val="1E293B"/>
                <w:sz w:val="18"/>
              </w:rPr>
              <w:t>Rules, customer behaviour, peer behaviour, HST, Online OCSVM, weighted policy.</w:t>
            </w:r>
          </w:p>
        </w:tc>
      </w:tr>
      <w:tr>
        <w:tc>
          <w:tcPr>
            <w:tcW w:type="dxa" w:w="1800"/>
            <w:shd w:fill="F7FAFF"/>
            <w:tcMar>
              <w:top w:w="90" w:type="dxa"/>
              <w:start w:w="120" w:type="dxa"/>
              <w:bottom w:w="90" w:type="dxa"/>
              <w:end w:w="120" w:type="dxa"/>
            </w:tcMar>
            <w:vAlign w:val="center"/>
          </w:tcPr>
          <w:p>
            <w:r>
              <w:rPr>
                <w:rFonts w:ascii="Calibri" w:hAnsi="Calibri"/>
                <w:color w:val="1E293B"/>
                <w:sz w:val="18"/>
              </w:rPr>
              <w:t>Data sizes</w:t>
            </w:r>
          </w:p>
        </w:tc>
        <w:tc>
          <w:tcPr>
            <w:tcW w:type="dxa" w:w="3780"/>
            <w:shd w:fill="F7FAFF"/>
            <w:tcMar>
              <w:top w:w="90" w:type="dxa"/>
              <w:start w:w="120" w:type="dxa"/>
              <w:bottom w:w="90" w:type="dxa"/>
              <w:end w:w="120" w:type="dxa"/>
            </w:tcMar>
            <w:vAlign w:val="center"/>
          </w:tcPr>
          <w:p>
            <w:r>
              <w:rPr>
                <w:rFonts w:ascii="Calibri" w:hAnsi="Calibri"/>
                <w:color w:val="1E293B"/>
                <w:sz w:val="18"/>
              </w:rPr>
              <w:t>Oldest 10%, 25%, 50%, and 100% of one frozen snapshot.</w:t>
            </w:r>
          </w:p>
        </w:tc>
        <w:tc>
          <w:tcPr>
            <w:tcW w:type="dxa" w:w="3780"/>
            <w:shd w:fill="F7FAFF"/>
            <w:tcMar>
              <w:top w:w="90" w:type="dxa"/>
              <w:start w:w="120" w:type="dxa"/>
              <w:bottom w:w="90" w:type="dxa"/>
              <w:end w:w="120" w:type="dxa"/>
            </w:tcMar>
            <w:vAlign w:val="center"/>
          </w:tcPr>
          <w:p>
            <w:r>
              <w:rPr>
                <w:rFonts w:ascii="Calibri" w:hAnsi="Calibri"/>
                <w:color w:val="1E293B"/>
                <w:sz w:val="18"/>
              </w:rPr>
              <w:t>One saved feature vector per incoming transaction.</w:t>
            </w:r>
          </w:p>
        </w:tc>
      </w:tr>
      <w:tr>
        <w:tc>
          <w:tcPr>
            <w:tcW w:type="dxa" w:w="1800"/>
            <w:tcMar>
              <w:top w:w="90" w:type="dxa"/>
              <w:start w:w="120" w:type="dxa"/>
              <w:bottom w:w="90" w:type="dxa"/>
              <w:end w:w="120" w:type="dxa"/>
            </w:tcMar>
            <w:vAlign w:val="center"/>
          </w:tcPr>
          <w:p>
            <w:r>
              <w:rPr>
                <w:rFonts w:ascii="Calibri" w:hAnsi="Calibri"/>
                <w:color w:val="1E293B"/>
                <w:sz w:val="18"/>
              </w:rPr>
              <w:t>Result</w:t>
            </w:r>
          </w:p>
        </w:tc>
        <w:tc>
          <w:tcPr>
            <w:tcW w:type="dxa" w:w="3780"/>
            <w:tcMar>
              <w:top w:w="90" w:type="dxa"/>
              <w:start w:w="120" w:type="dxa"/>
              <w:bottom w:w="90" w:type="dxa"/>
              <w:end w:w="120" w:type="dxa"/>
            </w:tcMar>
            <w:vAlign w:val="center"/>
          </w:tcPr>
          <w:p>
            <w:r>
              <w:rPr>
                <w:rFonts w:ascii="Calibri" w:hAnsi="Calibri"/>
                <w:color w:val="1E293B"/>
                <w:sz w:val="18"/>
              </w:rPr>
              <w:t>Fit score, proxy quality, stability, anomaly rate, latency, and growth trend.</w:t>
            </w:r>
          </w:p>
        </w:tc>
        <w:tc>
          <w:tcPr>
            <w:tcW w:type="dxa" w:w="3780"/>
            <w:tcMar>
              <w:top w:w="90" w:type="dxa"/>
              <w:start w:w="120" w:type="dxa"/>
              <w:bottom w:w="90" w:type="dxa"/>
              <w:end w:w="120" w:type="dxa"/>
            </w:tcMar>
            <w:vAlign w:val="center"/>
          </w:tcPr>
          <w:p>
            <w:r>
              <w:rPr>
                <w:rFonts w:ascii="Calibri" w:hAnsi="Calibri"/>
                <w:color w:val="1E293B"/>
                <w:sz w:val="18"/>
              </w:rPr>
              <w:t>Final risk score, risk level, reasons, alert/case decision.</w:t>
            </w:r>
          </w:p>
        </w:tc>
      </w:tr>
      <w:tr>
        <w:tc>
          <w:tcPr>
            <w:tcW w:type="dxa" w:w="1800"/>
            <w:shd w:fill="F7FAFF"/>
            <w:tcMar>
              <w:top w:w="90" w:type="dxa"/>
              <w:start w:w="120" w:type="dxa"/>
              <w:bottom w:w="90" w:type="dxa"/>
              <w:end w:w="120" w:type="dxa"/>
            </w:tcMar>
            <w:vAlign w:val="center"/>
          </w:tcPr>
          <w:p>
            <w:r>
              <w:rPr>
                <w:rFonts w:ascii="Calibri" w:hAnsi="Calibri"/>
                <w:color w:val="1E293B"/>
                <w:sz w:val="18"/>
              </w:rPr>
              <w:t>Can it deploy automatically?</w:t>
            </w:r>
          </w:p>
        </w:tc>
        <w:tc>
          <w:tcPr>
            <w:tcW w:type="dxa" w:w="3780"/>
            <w:shd w:fill="F7FAFF"/>
            <w:tcMar>
              <w:top w:w="90" w:type="dxa"/>
              <w:start w:w="120" w:type="dxa"/>
              <w:bottom w:w="90" w:type="dxa"/>
              <w:end w:w="120" w:type="dxa"/>
            </w:tcMar>
            <w:vAlign w:val="center"/>
          </w:tcPr>
          <w:p>
            <w:r>
              <w:rPr>
                <w:rFonts w:ascii="Calibri" w:hAnsi="Calibri"/>
                <w:color w:val="1E293B"/>
                <w:sz w:val="18"/>
              </w:rPr>
              <w:t>No.</w:t>
            </w:r>
          </w:p>
        </w:tc>
        <w:tc>
          <w:tcPr>
            <w:tcW w:type="dxa" w:w="3780"/>
            <w:shd w:fill="F7FAFF"/>
            <w:tcMar>
              <w:top w:w="90" w:type="dxa"/>
              <w:start w:w="120" w:type="dxa"/>
              <w:bottom w:w="90" w:type="dxa"/>
              <w:end w:w="120" w:type="dxa"/>
            </w:tcMar>
            <w:vAlign w:val="center"/>
          </w:tcPr>
          <w:p>
            <w:r>
              <w:rPr>
                <w:rFonts w:ascii="Calibri" w:hAnsi="Calibri"/>
                <w:color w:val="1E293B"/>
                <w:sz w:val="18"/>
              </w:rPr>
              <w:t>Only through authorized validation and controlled promotion.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CFDF5"/>
            <w:tcMar>
              <w:top w:w="90" w:type="dxa"/>
              <w:start w:w="120" w:type="dxa"/>
              <w:bottom w:w="90" w:type="dxa"/>
              <w:end w:w="120" w:type="dxa"/>
            </w:tcMar>
            <w:vAlign w:val="center"/>
          </w:tcPr>
          <w:p>
            <w:pPr>
              <w:spacing w:after="0"/>
            </w:pPr>
            <w:r>
              <w:rPr>
                <w:rFonts w:ascii="Calibri" w:hAnsi="Calibri"/>
                <w:b/>
                <w:color w:val="047857"/>
              </w:rPr>
              <w:t xml:space="preserve">Why the five-model experiment still matters: </w:t>
            </w:r>
            <w:r>
              <w:rPr>
                <w:rFonts w:ascii="Calibri" w:hAnsi="Calibri"/>
                <w:color w:val="1E293B"/>
              </w:rPr>
              <w:t>It answers the academic question: does a model become better, more stable, slower, or noisier as the available chronological data grows? It is research evidence, not confirmed-fraud accuracy.</w:t>
            </w:r>
          </w:p>
        </w:tc>
      </w:tr>
    </w:tbl>
    <w:p>
      <w:pPr>
        <w:spacing w:after="0"/>
      </w:pPr>
    </w:p>
    <w:p>
      <w:pPr>
        <w:pStyle w:val="Heading1"/>
      </w:pPr>
      <w:r>
        <w:t>7. How Training Works Without Loading Millions of Rows</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Close dates</w:t>
            </w:r>
          </w:p>
          <w:p>
            <w:pPr>
              <w:jc w:val="center"/>
            </w:pPr>
            <w:r>
              <w:rPr>
                <w:rFonts w:ascii="Calibri" w:hAnsi="Calibri"/>
                <w:color w:val="1E293B"/>
                <w:sz w:val="16"/>
              </w:rPr>
              <w:t>Freeze eligible history</w:t>
            </w:r>
          </w:p>
        </w:tc>
        <w:tc>
          <w:tcPr>
            <w:tcW w:type="dxa" w:w="1872"/>
            <w:shd w:fill="F7FAFF"/>
            <w:tcMar>
              <w:top w:w="90" w:type="dxa"/>
              <w:start w:w="120" w:type="dxa"/>
              <w:bottom w:w="90" w:type="dxa"/>
              <w:end w:w="120" w:type="dxa"/>
            </w:tcMar>
            <w:vAlign w:val="center"/>
          </w:tcPr>
          <w:p>
            <w:pPr>
              <w:jc w:val="center"/>
            </w:pPr>
            <w:r>
              <w:rPr>
                <w:rFonts w:ascii="Calibri" w:hAnsi="Calibri"/>
                <w:b/>
                <w:color w:val="2563EB"/>
                <w:sz w:val="18"/>
              </w:rPr>
              <w:t>Create run</w:t>
            </w:r>
          </w:p>
          <w:p>
            <w:pPr>
              <w:jc w:val="center"/>
            </w:pPr>
            <w:r>
              <w:rPr>
                <w:rFonts w:ascii="Calibri" w:hAnsi="Calibri"/>
                <w:color w:val="1E293B"/>
                <w:sz w:val="16"/>
              </w:rPr>
              <w:t>Record window and cutoff</w:t>
            </w:r>
          </w:p>
        </w:tc>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Export</w:t>
            </w:r>
          </w:p>
          <w:p>
            <w:pPr>
              <w:jc w:val="center"/>
            </w:pPr>
            <w:r>
              <w:rPr>
                <w:rFonts w:ascii="Calibri" w:hAnsi="Calibri"/>
                <w:color w:val="1E293B"/>
                <w:sz w:val="16"/>
              </w:rPr>
              <w:t>Checksummed Parquet parts</w:t>
            </w:r>
          </w:p>
        </w:tc>
        <w:tc>
          <w:tcPr>
            <w:tcW w:type="dxa" w:w="1872"/>
            <w:shd w:fill="F7FAFF"/>
            <w:tcMar>
              <w:top w:w="90" w:type="dxa"/>
              <w:start w:w="120" w:type="dxa"/>
              <w:bottom w:w="90" w:type="dxa"/>
              <w:end w:w="120" w:type="dxa"/>
            </w:tcMar>
            <w:vAlign w:val="center"/>
          </w:tcPr>
          <w:p>
            <w:pPr>
              <w:jc w:val="center"/>
            </w:pPr>
            <w:r>
              <w:rPr>
                <w:rFonts w:ascii="Calibri" w:hAnsi="Calibri"/>
                <w:b/>
                <w:color w:val="2563EB"/>
                <w:sz w:val="18"/>
              </w:rPr>
              <w:t>Train</w:t>
            </w:r>
          </w:p>
          <w:p>
            <w:pPr>
              <w:jc w:val="center"/>
            </w:pPr>
            <w:r>
              <w:rPr>
                <w:rFonts w:ascii="Calibri" w:hAnsi="Calibri"/>
                <w:color w:val="1E293B"/>
                <w:sz w:val="16"/>
              </w:rPr>
              <w:t>Read small batches</w:t>
            </w:r>
          </w:p>
        </w:tc>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Register</w:t>
            </w:r>
          </w:p>
          <w:p>
            <w:pPr>
              <w:jc w:val="center"/>
            </w:pPr>
            <w:r>
              <w:rPr>
                <w:rFonts w:ascii="Calibri" w:hAnsi="Calibri"/>
                <w:color w:val="1E293B"/>
                <w:sz w:val="16"/>
              </w:rPr>
              <w:t>Immutable candidate</w:t>
            </w:r>
          </w:p>
        </w:tc>
      </w:tr>
    </w:tbl>
    <w:p>
      <w:pPr>
        <w:spacing w:after="0"/>
      </w:pPr>
    </w:p>
    <w:p>
      <w:pPr>
        <w:pStyle w:val="ListNumber"/>
      </w:pPr>
      <w:r>
        <w:rPr>
          <w:rFonts w:ascii="Calibri" w:hAnsi="Calibri"/>
          <w:color w:val="1E293B"/>
        </w:rPr>
        <w:t>An administrator closes completed business dates so the training window cannot silently change.</w:t>
      </w:r>
    </w:p>
    <w:p>
      <w:pPr>
        <w:pStyle w:val="ListNumber"/>
      </w:pPr>
      <w:r>
        <w:rPr>
          <w:rFonts w:ascii="Calibri" w:hAnsi="Calibri"/>
          <w:color w:val="1E293B"/>
        </w:rPr>
        <w:t>Spring creates a run containing the date range, cutoff, feature version, model type, segment, and actor.</w:t>
      </w:r>
    </w:p>
    <w:p>
      <w:pPr>
        <w:pStyle w:val="ListNumber"/>
      </w:pPr>
      <w:r>
        <w:rPr>
          <w:rFonts w:ascii="Calibri" w:hAnsi="Calibri"/>
          <w:color w:val="1E293B"/>
        </w:rPr>
        <w:t>Spring reads eligible feature rows using keyset pagination and writes several Parquet files instead of one enormous JSON request.</w:t>
      </w:r>
    </w:p>
    <w:p>
      <w:pPr>
        <w:pStyle w:val="ListNumber"/>
      </w:pPr>
      <w:r>
        <w:rPr>
          <w:rFonts w:ascii="Calibri" w:hAnsi="Calibri"/>
          <w:color w:val="1E293B"/>
        </w:rPr>
        <w:t>A manifest records columns, row counts, and SHA-256 checksums.</w:t>
      </w:r>
    </w:p>
    <w:p>
      <w:pPr>
        <w:pStyle w:val="ListNumber"/>
      </w:pPr>
      <w:r>
        <w:rPr>
          <w:rFonts w:ascii="Calibri" w:hAnsi="Calibri"/>
          <w:color w:val="1E293B"/>
        </w:rPr>
        <w:t>Python verifies the dataset and reads manageable record batches.</w:t>
      </w:r>
    </w:p>
    <w:p>
      <w:pPr>
        <w:pStyle w:val="ListNumber"/>
      </w:pPr>
      <w:r>
        <w:rPr>
          <w:rFonts w:ascii="Calibri" w:hAnsi="Calibri"/>
          <w:color w:val="1E293B"/>
        </w:rPr>
        <w:t>HST or Online OCSVM updates incrementally, so memory depends mainly on model settings and batch size rather than lifetime row count.</w:t>
      </w:r>
    </w:p>
    <w:p>
      <w:pPr>
        <w:pStyle w:val="ListNumber"/>
      </w:pPr>
      <w:r>
        <w:rPr>
          <w:rFonts w:ascii="Calibri" w:hAnsi="Calibri"/>
          <w:color w:val="1E293B"/>
        </w:rPr>
        <w:t>Python writes a versioned artifact bundle. Spring verifies it and registers it as a candidate.</w:t>
      </w:r>
    </w:p>
    <w:p>
      <w:pPr>
        <w:pStyle w:val="ListNumber"/>
      </w:pPr>
      <w:r>
        <w:rPr>
          <w:rFonts w:ascii="Calibri" w:hAnsi="Calibri"/>
          <w:color w:val="1E293B"/>
        </w:rPr>
        <w:t>The candidate remains inactive until validation and authorized promotion succeed.</w:t>
      </w:r>
    </w:p>
    <w:p>
      <w:pPr>
        <w:pStyle w:val="Heading2"/>
      </w:pPr>
      <w:r>
        <w:t>What makes training reproducible?</w:t>
      </w:r>
    </w:p>
    <w:p>
      <w:pPr>
        <w:pStyle w:val="ListBullet"/>
      </w:pPr>
      <w:r>
        <w:rPr>
          <w:rFonts w:ascii="Calibri" w:hAnsi="Calibri"/>
          <w:color w:val="1E293B"/>
        </w:rPr>
        <w:t>Closed business dates and an exact cutoff time.</w:t>
      </w:r>
    </w:p>
    <w:p>
      <w:pPr>
        <w:pStyle w:val="ListBullet"/>
      </w:pPr>
      <w:r>
        <w:rPr>
          <w:rFonts w:ascii="Calibri" w:hAnsi="Calibri"/>
          <w:color w:val="1E293B"/>
        </w:rPr>
        <w:t>Feature and model versions.</w:t>
      </w:r>
    </w:p>
    <w:p>
      <w:pPr>
        <w:pStyle w:val="ListBullet"/>
      </w:pPr>
      <w:r>
        <w:rPr>
          <w:rFonts w:ascii="Calibri" w:hAnsi="Calibri"/>
          <w:color w:val="1E293B"/>
        </w:rPr>
        <w:t>Dataset and artifact checksums.</w:t>
      </w:r>
    </w:p>
    <w:p>
      <w:pPr>
        <w:pStyle w:val="ListBullet"/>
      </w:pPr>
      <w:r>
        <w:rPr>
          <w:rFonts w:ascii="Calibri" w:hAnsi="Calibri"/>
          <w:color w:val="1E293B"/>
        </w:rPr>
        <w:t>Recorded parameters, metrics, row counts, actor, and timestamps.</w:t>
      </w:r>
    </w:p>
    <w:p>
      <w:pPr>
        <w:pStyle w:val="ListBullet"/>
      </w:pPr>
      <w:r>
        <w:rPr>
          <w:rFonts w:ascii="Calibri" w:hAnsi="Calibri"/>
          <w:color w:val="1E293B"/>
        </w:rPr>
        <w:t>Immutable candidate bundles rather than overwriting the current model.</w:t>
      </w:r>
    </w:p>
    <w:p>
      <w:pPr>
        <w:pStyle w:val="Heading1"/>
      </w:pPr>
      <w:r>
        <w:t>8. How a New Architecture Reaches Production Safely</w:t>
      </w:r>
    </w:p>
    <w:p>
      <w:r>
        <w:rPr>
          <w:rFonts w:ascii="Calibri" w:hAnsi="Calibri"/>
          <w:color w:val="1E293B"/>
        </w:rPr>
        <w:t>A model that works in training can still create too many alerts, respond slowly, or behave differently on real traffic. The system therefore uses shadow testing and gradual release.</w:t>
      </w:r>
    </w:p>
    <w:p>
      <w:pPr>
        <w:pStyle w:val="ListNumber"/>
      </w:pPr>
      <w:r>
        <w:rPr>
          <w:rFonts w:ascii="Calibri" w:hAnsi="Calibri"/>
          <w:color w:val="1E293B"/>
        </w:rPr>
        <w:t>Shadow mode calculates the layered result beside the compatibility result but does not let it create production cases.</w:t>
      </w:r>
    </w:p>
    <w:p>
      <w:pPr>
        <w:pStyle w:val="ListNumber"/>
      </w:pPr>
      <w:r>
        <w:rPr>
          <w:rFonts w:ascii="Calibri" w:hAnsi="Calibri"/>
          <w:color w:val="1E293B"/>
        </w:rPr>
        <w:t>Validation checks sample size, observation days, alert volume, overlap, daily stability, synthetic scenarios, reviewed outcomes, latency, availability, and exact model versions.</w:t>
      </w:r>
    </w:p>
    <w:p>
      <w:pPr>
        <w:pStyle w:val="ListNumber"/>
      </w:pPr>
      <w:r>
        <w:rPr>
          <w:rFonts w:ascii="Calibri" w:hAnsi="Calibri"/>
          <w:color w:val="1E293B"/>
        </w:rPr>
        <w:t>Only a recent PASSED report can authorize promotion for that exact customer segment.</w:t>
      </w:r>
    </w:p>
    <w:p>
      <w:pPr>
        <w:pStyle w:val="ListNumber"/>
      </w:pPr>
      <w:r>
        <w:rPr>
          <w:rFonts w:ascii="Calibri" w:hAnsi="Calibri"/>
          <w:color w:val="1E293B"/>
        </w:rPr>
        <w:t>The deployment pointer locks the risk policy, HST, Online OCSVM, and validation versions together.</w:t>
      </w:r>
    </w:p>
    <w:p>
      <w:pPr>
        <w:pStyle w:val="ListNumber"/>
      </w:pPr>
      <w:r>
        <w:rPr>
          <w:rFonts w:ascii="Calibri" w:hAnsi="Calibri"/>
          <w:color w:val="1E293B"/>
        </w:rPr>
        <w:t>A deterministic SHA-256 account bucket sends a stable percentage of accounts to layered production.</w:t>
      </w:r>
    </w:p>
    <w:p>
      <w:pPr>
        <w:pStyle w:val="ListNumber"/>
      </w:pPr>
      <w:r>
        <w:rPr>
          <w:rFonts w:ascii="Calibri" w:hAnsi="Calibri"/>
          <w:color w:val="1E293B"/>
        </w:rPr>
        <w:t>The team can expand from a small canary toward 100% after operational review.</w:t>
      </w:r>
    </w:p>
    <w:p>
      <w:pPr>
        <w:pStyle w:val="ListNumber"/>
      </w:pPr>
      <w:r>
        <w:rPr>
          <w:rFonts w:ascii="Calibri" w:hAnsi="Calibri"/>
          <w:color w:val="1E293B"/>
        </w:rPr>
        <w:t>If versions mismatch or layered scoring fails, the system returns the compatibility/fallback result.</w:t>
      </w:r>
    </w:p>
    <w:p>
      <w:pPr>
        <w:pStyle w:val="ListNumber"/>
      </w:pPr>
      <w:r>
        <w:rPr>
          <w:rFonts w:ascii="Calibri" w:hAnsi="Calibri"/>
          <w:color w:val="1E293B"/>
        </w:rPr>
        <w:t>Rollback sets the entire segment to Isolation Forest fallback with zero layered traffic.</w:t>
      </w:r>
    </w:p>
    <w:p>
      <w:pPr>
        <w:pStyle w:val="Heading2"/>
      </w:pPr>
      <w:r>
        <w:t>Why deterministic canaries are better than random routing</w:t>
      </w:r>
    </w:p>
    <w:p>
      <w:r>
        <w:rPr>
          <w:rFonts w:ascii="Calibri" w:hAnsi="Calibri"/>
          <w:color w:val="1E293B"/>
        </w:rPr>
        <w:t>Random routing could send the same customer through different architectures on consecutive transactions. Deterministic hashing keeps that customer in the same bucket. Expanding from 10% to 25% keeps the original 10% and adds a stable new group.</w:t>
      </w:r>
    </w:p>
    <w:p>
      <w:pPr>
        <w:pStyle w:val="Heading1"/>
      </w:pPr>
      <w:r>
        <w:t>9. How Case Management Works</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Suspicious result</w:t>
            </w:r>
          </w:p>
          <w:p>
            <w:pPr>
              <w:jc w:val="center"/>
            </w:pPr>
            <w:r>
              <w:rPr>
                <w:rFonts w:ascii="Calibri" w:hAnsi="Calibri"/>
                <w:color w:val="1E293B"/>
                <w:sz w:val="16"/>
              </w:rPr>
              <w:t>Threshold reached</w:t>
            </w:r>
          </w:p>
        </w:tc>
        <w:tc>
          <w:tcPr>
            <w:tcW w:type="dxa" w:w="1872"/>
            <w:shd w:fill="F7FAFF"/>
            <w:tcMar>
              <w:top w:w="90" w:type="dxa"/>
              <w:start w:w="120" w:type="dxa"/>
              <w:bottom w:w="90" w:type="dxa"/>
              <w:end w:w="120" w:type="dxa"/>
            </w:tcMar>
            <w:vAlign w:val="center"/>
          </w:tcPr>
          <w:p>
            <w:pPr>
              <w:jc w:val="center"/>
            </w:pPr>
            <w:r>
              <w:rPr>
                <w:rFonts w:ascii="Calibri" w:hAnsi="Calibri"/>
                <w:b/>
                <w:color w:val="2563EB"/>
                <w:sz w:val="18"/>
              </w:rPr>
              <w:t>Alert</w:t>
            </w:r>
          </w:p>
          <w:p>
            <w:pPr>
              <w:jc w:val="center"/>
            </w:pPr>
            <w:r>
              <w:rPr>
                <w:rFonts w:ascii="Calibri" w:hAnsi="Calibri"/>
                <w:color w:val="1E293B"/>
                <w:sz w:val="16"/>
              </w:rPr>
              <w:t>Prediction evidence stored</w:t>
            </w:r>
          </w:p>
        </w:tc>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Case</w:t>
            </w:r>
          </w:p>
          <w:p>
            <w:pPr>
              <w:jc w:val="center"/>
            </w:pPr>
            <w:r>
              <w:rPr>
                <w:rFonts w:ascii="Calibri" w:hAnsi="Calibri"/>
                <w:color w:val="1E293B"/>
                <w:sz w:val="16"/>
              </w:rPr>
              <w:t>Investigator queue</w:t>
            </w:r>
          </w:p>
        </w:tc>
        <w:tc>
          <w:tcPr>
            <w:tcW w:type="dxa" w:w="1872"/>
            <w:shd w:fill="F7FAFF"/>
            <w:tcMar>
              <w:top w:w="90" w:type="dxa"/>
              <w:start w:w="120" w:type="dxa"/>
              <w:bottom w:w="90" w:type="dxa"/>
              <w:end w:w="120" w:type="dxa"/>
            </w:tcMar>
            <w:vAlign w:val="center"/>
          </w:tcPr>
          <w:p>
            <w:pPr>
              <w:jc w:val="center"/>
            </w:pPr>
            <w:r>
              <w:rPr>
                <w:rFonts w:ascii="Calibri" w:hAnsi="Calibri"/>
                <w:b/>
                <w:color w:val="2563EB"/>
                <w:sz w:val="18"/>
              </w:rPr>
              <w:t>Review</w:t>
            </w:r>
          </w:p>
          <w:p>
            <w:pPr>
              <w:jc w:val="center"/>
            </w:pPr>
            <w:r>
              <w:rPr>
                <w:rFonts w:ascii="Calibri" w:hAnsi="Calibri"/>
                <w:color w:val="1E293B"/>
                <w:sz w:val="16"/>
              </w:rPr>
              <w:t>Notes and evidence</w:t>
            </w:r>
          </w:p>
        </w:tc>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Outcome</w:t>
            </w:r>
          </w:p>
          <w:p>
            <w:pPr>
              <w:jc w:val="center"/>
            </w:pPr>
            <w:r>
              <w:rPr>
                <w:rFonts w:ascii="Calibri" w:hAnsi="Calibri"/>
                <w:color w:val="1E293B"/>
                <w:sz w:val="16"/>
              </w:rPr>
              <w:t>False positive or draft STR</w:t>
            </w:r>
          </w:p>
        </w:tc>
      </w:tr>
    </w:tbl>
    <w:p>
      <w:pPr>
        <w:spacing w:after="0"/>
      </w:pPr>
    </w:p>
    <w:p>
      <w:pPr>
        <w:pStyle w:val="ListBullet"/>
      </w:pPr>
      <w:r>
        <w:rPr>
          <w:rFonts w:ascii="Calibri" w:hAnsi="Calibri"/>
          <w:color w:val="1E293B"/>
        </w:rPr>
        <w:t>The case shows transaction details, final risk, versions, component/model evidence, and reasons.</w:t>
      </w:r>
    </w:p>
    <w:p>
      <w:pPr>
        <w:pStyle w:val="ListBullet"/>
      </w:pPr>
      <w:r>
        <w:rPr>
          <w:rFonts w:ascii="Calibri" w:hAnsi="Calibri"/>
          <w:color w:val="1E293B"/>
        </w:rPr>
        <w:t>An analyst can add attributed and timestamped notes.</w:t>
      </w:r>
    </w:p>
    <w:p>
      <w:pPr>
        <w:pStyle w:val="ListBullet"/>
      </w:pPr>
      <w:r>
        <w:rPr>
          <w:rFonts w:ascii="Calibri" w:hAnsi="Calibri"/>
          <w:color w:val="1E293B"/>
        </w:rPr>
        <w:t>A false-positive decision updates the case and related alert outcome.</w:t>
      </w:r>
    </w:p>
    <w:p>
      <w:pPr>
        <w:pStyle w:val="ListBullet"/>
      </w:pPr>
      <w:r>
        <w:rPr>
          <w:rFonts w:ascii="Calibri" w:hAnsi="Calibri"/>
          <w:color w:val="1E293B"/>
        </w:rPr>
        <w:t>A suspicious case can generate draft STR XML for further institutional review.</w:t>
      </w:r>
    </w:p>
    <w:p>
      <w:pPr>
        <w:pStyle w:val="ListBullet"/>
      </w:pPr>
      <w:r>
        <w:rPr>
          <w:rFonts w:ascii="Calibri" w:hAnsi="Calibri"/>
          <w:color w:val="1E293B"/>
        </w:rPr>
        <w:t>A transaction can also be searched and turned into a manual case.</w:t>
      </w:r>
    </w:p>
    <w:p>
      <w:pPr>
        <w:pStyle w:val="ListBullet"/>
      </w:pPr>
      <w:r>
        <w:rPr>
          <w:rFonts w:ascii="Calibri" w:hAnsi="Calibri"/>
          <w:color w:val="1E293B"/>
        </w:rPr>
        <w:t>Duplicate manual creation returns the existing case rather than creating repeated work.</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BEB"/>
            <w:tcMar>
              <w:top w:w="90" w:type="dxa"/>
              <w:start w:w="120" w:type="dxa"/>
              <w:bottom w:w="90" w:type="dxa"/>
              <w:end w:w="120" w:type="dxa"/>
            </w:tcMar>
            <w:vAlign w:val="center"/>
          </w:tcPr>
          <w:p>
            <w:pPr>
              <w:spacing w:after="0"/>
            </w:pPr>
            <w:r>
              <w:rPr>
                <w:rFonts w:ascii="Calibri" w:hAnsi="Calibri"/>
                <w:b/>
                <w:color w:val="92400E"/>
              </w:rPr>
              <w:t xml:space="preserve">Regulatory boundary: </w:t>
            </w:r>
            <w:r>
              <w:rPr>
                <w:rFonts w:ascii="Calibri" w:hAnsi="Calibri"/>
                <w:color w:val="1E293B"/>
              </w:rPr>
              <w:t>The STR XML is a draft technical output. A real bank must map it to the required regulator schema and approval/submission process.</w:t>
            </w:r>
          </w:p>
        </w:tc>
      </w:tr>
    </w:tbl>
    <w:p>
      <w:pPr>
        <w:spacing w:after="0"/>
      </w:pPr>
    </w:p>
    <w:p>
      <w:pPr>
        <w:pStyle w:val="Heading1"/>
      </w:pPr>
      <w:r>
        <w:t>10. How the Main Problems Are Solved</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shd w:fill="0F2747"/>
            <w:tcMar>
              <w:top w:w="90" w:type="dxa"/>
              <w:start w:w="120" w:type="dxa"/>
              <w:bottom w:w="90" w:type="dxa"/>
              <w:end w:w="120" w:type="dxa"/>
            </w:tcMar>
            <w:vAlign w:val="center"/>
          </w:tcPr>
          <w:p>
            <w:r>
              <w:rPr>
                <w:rFonts w:ascii="Calibri" w:hAnsi="Calibri"/>
                <w:b/>
                <w:color w:val="FFFFFF"/>
                <w:sz w:val="18"/>
              </w:rPr>
              <w:t>Problem</w:t>
            </w:r>
          </w:p>
        </w:tc>
        <w:tc>
          <w:tcPr>
            <w:tcW w:type="dxa" w:w="6060"/>
            <w:shd w:fill="0F2747"/>
            <w:tcMar>
              <w:top w:w="90" w:type="dxa"/>
              <w:start w:w="120" w:type="dxa"/>
              <w:bottom w:w="90" w:type="dxa"/>
              <w:end w:w="120" w:type="dxa"/>
            </w:tcMar>
            <w:vAlign w:val="center"/>
          </w:tcPr>
          <w:p>
            <w:r>
              <w:rPr>
                <w:rFonts w:ascii="Calibri" w:hAnsi="Calibri"/>
                <w:b/>
                <w:color w:val="FFFFFF"/>
                <w:sz w:val="18"/>
              </w:rPr>
              <w:t>Solution in this system</w:t>
            </w:r>
          </w:p>
        </w:tc>
      </w:tr>
      <w:tr>
        <w:tc>
          <w:tcPr>
            <w:tcW w:type="dxa" w:w="3300"/>
            <w:shd w:fill="F7FAFF"/>
            <w:tcMar>
              <w:top w:w="90" w:type="dxa"/>
              <w:start w:w="120" w:type="dxa"/>
              <w:bottom w:w="90" w:type="dxa"/>
              <w:end w:w="120" w:type="dxa"/>
            </w:tcMar>
            <w:vAlign w:val="center"/>
          </w:tcPr>
          <w:p>
            <w:r>
              <w:rPr>
                <w:rFonts w:ascii="Calibri" w:hAnsi="Calibri"/>
                <w:color w:val="1E293B"/>
                <w:sz w:val="18"/>
              </w:rPr>
              <w:t>Millions of rows do not fit in memory</w:t>
            </w:r>
          </w:p>
        </w:tc>
        <w:tc>
          <w:tcPr>
            <w:tcW w:type="dxa" w:w="6060"/>
            <w:shd w:fill="F7FAFF"/>
            <w:tcMar>
              <w:top w:w="90" w:type="dxa"/>
              <w:start w:w="120" w:type="dxa"/>
              <w:bottom w:w="90" w:type="dxa"/>
              <w:end w:w="120" w:type="dxa"/>
            </w:tcMar>
            <w:vAlign w:val="center"/>
          </w:tcPr>
          <w:p>
            <w:r>
              <w:rPr>
                <w:rFonts w:ascii="Calibri" w:hAnsi="Calibri"/>
                <w:color w:val="1E293B"/>
                <w:sz w:val="18"/>
              </w:rPr>
              <w:t>Keyset pagination, chunked Parquet, record-batch reading, and bounded incremental models.</w:t>
            </w:r>
          </w:p>
        </w:tc>
      </w:tr>
      <w:tr>
        <w:tc>
          <w:tcPr>
            <w:tcW w:type="dxa" w:w="3300"/>
            <w:tcMar>
              <w:top w:w="90" w:type="dxa"/>
              <w:start w:w="120" w:type="dxa"/>
              <w:bottom w:w="90" w:type="dxa"/>
              <w:end w:w="120" w:type="dxa"/>
            </w:tcMar>
            <w:vAlign w:val="center"/>
          </w:tcPr>
          <w:p>
            <w:r>
              <w:rPr>
                <w:rFonts w:ascii="Calibri" w:hAnsi="Calibri"/>
                <w:color w:val="1E293B"/>
                <w:sz w:val="18"/>
              </w:rPr>
              <w:t>Research models are too expensive for production</w:t>
            </w:r>
          </w:p>
        </w:tc>
        <w:tc>
          <w:tcPr>
            <w:tcW w:type="dxa" w:w="6060"/>
            <w:tcMar>
              <w:top w:w="90" w:type="dxa"/>
              <w:start w:w="120" w:type="dxa"/>
              <w:bottom w:w="90" w:type="dxa"/>
              <w:end w:w="120" w:type="dxa"/>
            </w:tcMar>
            <w:vAlign w:val="center"/>
          </w:tcPr>
          <w:p>
            <w:r>
              <w:rPr>
                <w:rFonts w:ascii="Calibri" w:hAnsi="Calibri"/>
                <w:color w:val="1E293B"/>
                <w:sz w:val="18"/>
              </w:rPr>
              <w:t>Keep LOF, kernel SVM, Elliptic Envelope, and PCA offline; use HST and Online OCSVM for production ML.</w:t>
            </w:r>
          </w:p>
        </w:tc>
      </w:tr>
      <w:tr>
        <w:tc>
          <w:tcPr>
            <w:tcW w:type="dxa" w:w="3300"/>
            <w:shd w:fill="F7FAFF"/>
            <w:tcMar>
              <w:top w:w="90" w:type="dxa"/>
              <w:start w:w="120" w:type="dxa"/>
              <w:bottom w:w="90" w:type="dxa"/>
              <w:end w:w="120" w:type="dxa"/>
            </w:tcMar>
            <w:vAlign w:val="center"/>
          </w:tcPr>
          <w:p>
            <w:r>
              <w:rPr>
                <w:rFonts w:ascii="Calibri" w:hAnsi="Calibri"/>
                <w:color w:val="1E293B"/>
                <w:sz w:val="18"/>
              </w:rPr>
              <w:t>Every customer behaves differently</w:t>
            </w:r>
          </w:p>
        </w:tc>
        <w:tc>
          <w:tcPr>
            <w:tcW w:type="dxa" w:w="6060"/>
            <w:shd w:fill="F7FAFF"/>
            <w:tcMar>
              <w:top w:w="90" w:type="dxa"/>
              <w:start w:w="120" w:type="dxa"/>
              <w:bottom w:w="90" w:type="dxa"/>
              <w:end w:w="120" w:type="dxa"/>
            </w:tcMar>
            <w:vAlign w:val="center"/>
          </w:tcPr>
          <w:p>
            <w:r>
              <w:rPr>
                <w:rFonts w:ascii="Calibri" w:hAnsi="Calibri"/>
                <w:color w:val="1E293B"/>
                <w:sz w:val="18"/>
              </w:rPr>
              <w:t>Combine customer history, peer groups, profile confidence, and global controls.</w:t>
            </w:r>
          </w:p>
        </w:tc>
      </w:tr>
      <w:tr>
        <w:tc>
          <w:tcPr>
            <w:tcW w:type="dxa" w:w="3300"/>
            <w:tcMar>
              <w:top w:w="90" w:type="dxa"/>
              <w:start w:w="120" w:type="dxa"/>
              <w:bottom w:w="90" w:type="dxa"/>
              <w:end w:w="120" w:type="dxa"/>
            </w:tcMar>
            <w:vAlign w:val="center"/>
          </w:tcPr>
          <w:p>
            <w:r>
              <w:rPr>
                <w:rFonts w:ascii="Calibri" w:hAnsi="Calibri"/>
                <w:color w:val="1E293B"/>
                <w:sz w:val="18"/>
              </w:rPr>
              <w:t>Suspicious events can poison learning</w:t>
            </w:r>
          </w:p>
        </w:tc>
        <w:tc>
          <w:tcPr>
            <w:tcW w:type="dxa" w:w="6060"/>
            <w:tcMar>
              <w:top w:w="90" w:type="dxa"/>
              <w:start w:w="120" w:type="dxa"/>
              <w:bottom w:w="90" w:type="dxa"/>
              <w:end w:w="120" w:type="dxa"/>
            </w:tcMar>
            <w:vAlign w:val="center"/>
          </w:tcPr>
          <w:p>
            <w:r>
              <w:rPr>
                <w:rFonts w:ascii="Calibri" w:hAnsi="Calibri"/>
                <w:color w:val="1E293B"/>
                <w:sz w:val="18"/>
              </w:rPr>
              <w:t>Separate observed behaviour from trusted learning eligibility and quarantine unsafe events.</w:t>
            </w:r>
          </w:p>
        </w:tc>
      </w:tr>
      <w:tr>
        <w:tc>
          <w:tcPr>
            <w:tcW w:type="dxa" w:w="3300"/>
            <w:shd w:fill="F7FAFF"/>
            <w:tcMar>
              <w:top w:w="90" w:type="dxa"/>
              <w:start w:w="120" w:type="dxa"/>
              <w:bottom w:w="90" w:type="dxa"/>
              <w:end w:w="120" w:type="dxa"/>
            </w:tcMar>
            <w:vAlign w:val="center"/>
          </w:tcPr>
          <w:p>
            <w:r>
              <w:rPr>
                <w:rFonts w:ascii="Calibri" w:hAnsi="Calibri"/>
                <w:color w:val="1E293B"/>
                <w:sz w:val="18"/>
              </w:rPr>
              <w:t>Models may change unpredictably</w:t>
            </w:r>
          </w:p>
        </w:tc>
        <w:tc>
          <w:tcPr>
            <w:tcW w:type="dxa" w:w="6060"/>
            <w:shd w:fill="F7FAFF"/>
            <w:tcMar>
              <w:top w:w="90" w:type="dxa"/>
              <w:start w:w="120" w:type="dxa"/>
              <w:bottom w:w="90" w:type="dxa"/>
              <w:end w:w="120" w:type="dxa"/>
            </w:tcMar>
            <w:vAlign w:val="center"/>
          </w:tcPr>
          <w:p>
            <w:r>
              <w:rPr>
                <w:rFonts w:ascii="Calibri" w:hAnsi="Calibri"/>
                <w:color w:val="1E293B"/>
                <w:sz w:val="18"/>
              </w:rPr>
              <w:t>Immutable candidates, silent scoring, validation gates, exact versions, canaries, and rollback.</w:t>
            </w:r>
          </w:p>
        </w:tc>
      </w:tr>
      <w:tr>
        <w:tc>
          <w:tcPr>
            <w:tcW w:type="dxa" w:w="3300"/>
            <w:tcMar>
              <w:top w:w="90" w:type="dxa"/>
              <w:start w:w="120" w:type="dxa"/>
              <w:bottom w:w="90" w:type="dxa"/>
              <w:end w:w="120" w:type="dxa"/>
            </w:tcMar>
            <w:vAlign w:val="center"/>
          </w:tcPr>
          <w:p>
            <w:r>
              <w:rPr>
                <w:rFonts w:ascii="Calibri" w:hAnsi="Calibri"/>
                <w:color w:val="1E293B"/>
                <w:sz w:val="18"/>
              </w:rPr>
              <w:t>A black-box answer is hard to investigate</w:t>
            </w:r>
          </w:p>
        </w:tc>
        <w:tc>
          <w:tcPr>
            <w:tcW w:type="dxa" w:w="6060"/>
            <w:tcMar>
              <w:top w:w="90" w:type="dxa"/>
              <w:start w:w="120" w:type="dxa"/>
              <w:bottom w:w="90" w:type="dxa"/>
              <w:end w:w="120" w:type="dxa"/>
            </w:tcMar>
            <w:vAlign w:val="center"/>
          </w:tcPr>
          <w:p>
            <w:r>
              <w:rPr>
                <w:rFonts w:ascii="Calibri" w:hAnsi="Calibri"/>
                <w:color w:val="1E293B"/>
                <w:sz w:val="18"/>
              </w:rPr>
              <w:t>Persist component scores, reason codes, policy/model versions, feature vectors, and audit events.</w:t>
            </w:r>
          </w:p>
        </w:tc>
      </w:tr>
      <w:tr>
        <w:tc>
          <w:tcPr>
            <w:tcW w:type="dxa" w:w="3300"/>
            <w:shd w:fill="F7FAFF"/>
            <w:tcMar>
              <w:top w:w="90" w:type="dxa"/>
              <w:start w:w="120" w:type="dxa"/>
              <w:bottom w:w="90" w:type="dxa"/>
              <w:end w:w="120" w:type="dxa"/>
            </w:tcMar>
            <w:vAlign w:val="center"/>
          </w:tcPr>
          <w:p>
            <w:r>
              <w:rPr>
                <w:rFonts w:ascii="Calibri" w:hAnsi="Calibri"/>
                <w:color w:val="1E293B"/>
                <w:sz w:val="18"/>
              </w:rPr>
              <w:t>ML service can fail</w:t>
            </w:r>
          </w:p>
        </w:tc>
        <w:tc>
          <w:tcPr>
            <w:tcW w:type="dxa" w:w="6060"/>
            <w:shd w:fill="F7FAFF"/>
            <w:tcMar>
              <w:top w:w="90" w:type="dxa"/>
              <w:start w:w="120" w:type="dxa"/>
              <w:bottom w:w="90" w:type="dxa"/>
              <w:end w:w="120" w:type="dxa"/>
            </w:tcMar>
            <w:vAlign w:val="center"/>
          </w:tcPr>
          <w:p>
            <w:r>
              <w:rPr>
                <w:rFonts w:ascii="Calibri" w:hAnsi="Calibri"/>
                <w:color w:val="1E293B"/>
                <w:sz w:val="18"/>
              </w:rPr>
              <w:t>Store the transaction and use an auditable compatibility/fallback result instead of inventing a fraud answer.</w:t>
            </w:r>
          </w:p>
        </w:tc>
      </w:tr>
      <w:tr>
        <w:tc>
          <w:tcPr>
            <w:tcW w:type="dxa" w:w="3300"/>
            <w:tcMar>
              <w:top w:w="90" w:type="dxa"/>
              <w:start w:w="120" w:type="dxa"/>
              <w:bottom w:w="90" w:type="dxa"/>
              <w:end w:w="120" w:type="dxa"/>
            </w:tcMar>
            <w:vAlign w:val="center"/>
          </w:tcPr>
          <w:p>
            <w:r>
              <w:rPr>
                <w:rFonts w:ascii="Calibri" w:hAnsi="Calibri"/>
                <w:color w:val="1E293B"/>
                <w:sz w:val="18"/>
              </w:rPr>
              <w:t>Labels are incomplete</w:t>
            </w:r>
          </w:p>
        </w:tc>
        <w:tc>
          <w:tcPr>
            <w:tcW w:type="dxa" w:w="6060"/>
            <w:tcMar>
              <w:top w:w="90" w:type="dxa"/>
              <w:start w:w="120" w:type="dxa"/>
              <w:bottom w:w="90" w:type="dxa"/>
              <w:end w:w="120" w:type="dxa"/>
            </w:tcMar>
            <w:vAlign w:val="center"/>
          </w:tcPr>
          <w:p>
            <w:r>
              <w:rPr>
                <w:rFonts w:ascii="Calibri" w:hAnsi="Calibri"/>
                <w:color w:val="1E293B"/>
                <w:sz w:val="18"/>
              </w:rPr>
              <w:t>Use honest unsupervised proxy/stability evidence and reviewer outcomes without claiming population accuracy.</w:t>
            </w:r>
          </w:p>
        </w:tc>
      </w:tr>
      <w:tr>
        <w:tc>
          <w:tcPr>
            <w:tcW w:type="dxa" w:w="3300"/>
            <w:shd w:fill="F7FAFF"/>
            <w:tcMar>
              <w:top w:w="90" w:type="dxa"/>
              <w:start w:w="120" w:type="dxa"/>
              <w:bottom w:w="90" w:type="dxa"/>
              <w:end w:w="120" w:type="dxa"/>
            </w:tcMar>
            <w:vAlign w:val="center"/>
          </w:tcPr>
          <w:p>
            <w:r>
              <w:rPr>
                <w:rFonts w:ascii="Calibri" w:hAnsi="Calibri"/>
                <w:color w:val="1E293B"/>
                <w:sz w:val="18"/>
              </w:rPr>
              <w:t>Too many alerts overload analysts</w:t>
            </w:r>
          </w:p>
        </w:tc>
        <w:tc>
          <w:tcPr>
            <w:tcW w:type="dxa" w:w="6060"/>
            <w:shd w:fill="F7FAFF"/>
            <w:tcMar>
              <w:top w:w="90" w:type="dxa"/>
              <w:start w:w="120" w:type="dxa"/>
              <w:bottom w:w="90" w:type="dxa"/>
              <w:end w:w="120" w:type="dxa"/>
            </w:tcMar>
            <w:vAlign w:val="center"/>
          </w:tcPr>
          <w:p>
            <w:r>
              <w:rPr>
                <w:rFonts w:ascii="Calibri" w:hAnsi="Calibri"/>
                <w:color w:val="1E293B"/>
                <w:sz w:val="18"/>
              </w:rPr>
              <w:t>Use weighted thresholds, hard-rule control, validation of alert volume, canary rollout, and reviewer feedback.</w:t>
            </w:r>
          </w:p>
        </w:tc>
      </w:tr>
      <w:tr>
        <w:tc>
          <w:tcPr>
            <w:tcW w:type="dxa" w:w="3300"/>
            <w:tcMar>
              <w:top w:w="90" w:type="dxa"/>
              <w:start w:w="120" w:type="dxa"/>
              <w:bottom w:w="90" w:type="dxa"/>
              <w:end w:w="120" w:type="dxa"/>
            </w:tcMar>
            <w:vAlign w:val="center"/>
          </w:tcPr>
          <w:p>
            <w:r>
              <w:rPr>
                <w:rFonts w:ascii="Calibri" w:hAnsi="Calibri"/>
                <w:color w:val="1E293B"/>
                <w:sz w:val="18"/>
              </w:rPr>
              <w:t>Concurrent customer transactions may corrupt state</w:t>
            </w:r>
          </w:p>
        </w:tc>
        <w:tc>
          <w:tcPr>
            <w:tcW w:type="dxa" w:w="6060"/>
            <w:tcMar>
              <w:top w:w="90" w:type="dxa"/>
              <w:start w:w="120" w:type="dxa"/>
              <w:bottom w:w="90" w:type="dxa"/>
              <w:end w:w="120" w:type="dxa"/>
            </w:tcMar>
            <w:vAlign w:val="center"/>
          </w:tcPr>
          <w:p>
            <w:r>
              <w:rPr>
                <w:rFonts w:ascii="Calibri" w:hAnsi="Calibri"/>
                <w:color w:val="1E293B"/>
                <w:sz w:val="18"/>
              </w:rPr>
              <w:t>Keep SQL authoritative and design account-keyed ordering/locking; Kafka is the planned scale extension.</w:t>
            </w:r>
          </w:p>
        </w:tc>
      </w:tr>
    </w:tbl>
    <w:p>
      <w:pPr>
        <w:spacing w:after="0"/>
      </w:pPr>
    </w:p>
    <w:p>
      <w:pPr>
        <w:pStyle w:val="Heading1"/>
      </w:pPr>
      <w:r>
        <w:t>11. Where Kafka Fits Later</w:t>
      </w:r>
    </w:p>
    <w:p>
      <w:r>
        <w:rPr>
          <w:rFonts w:ascii="Calibri" w:hAnsi="Calibri"/>
          <w:color w:val="1E293B"/>
        </w:rPr>
        <w:t>Kafka is not the machine-learning model. It is a durable event highway that helps different workers process millions of events without tightly blocking each other.</w:t>
      </w:r>
    </w:p>
    <w:p>
      <w:pPr>
        <w:pStyle w:val="ListBullet"/>
      </w:pPr>
      <w:r>
        <w:rPr>
          <w:rFonts w:ascii="Calibri" w:hAnsi="Calibri"/>
          <w:color w:val="1E293B"/>
        </w:rPr>
        <w:t>Partition transactions by account ID so one customer's events stay ordered.</w:t>
      </w:r>
    </w:p>
    <w:p>
      <w:pPr>
        <w:pStyle w:val="ListBullet"/>
      </w:pPr>
      <w:r>
        <w:rPr>
          <w:rFonts w:ascii="Calibri" w:hAnsi="Calibri"/>
          <w:color w:val="1E293B"/>
        </w:rPr>
        <w:t>Replay events when rebuilding features or recovering from failure.</w:t>
      </w:r>
    </w:p>
    <w:p>
      <w:pPr>
        <w:pStyle w:val="ListBullet"/>
      </w:pPr>
      <w:r>
        <w:rPr>
          <w:rFonts w:ascii="Calibri" w:hAnsi="Calibri"/>
          <w:color w:val="1E293B"/>
        </w:rPr>
        <w:t>Separate ingestion, feature calculation, prediction, monitoring, case creation, and training consumers.</w:t>
      </w:r>
    </w:p>
    <w:p>
      <w:pPr>
        <w:pStyle w:val="ListBullet"/>
      </w:pPr>
      <w:r>
        <w:rPr>
          <w:rFonts w:ascii="Calibri" w:hAnsi="Calibri"/>
          <w:color w:val="1E293B"/>
        </w:rPr>
        <w:t>Absorb bursts through back-pressure instead of overloading one synchronous service.</w:t>
      </w:r>
    </w:p>
    <w:p>
      <w:pPr>
        <w:pStyle w:val="ListBullet"/>
      </w:pPr>
      <w:r>
        <w:rPr>
          <w:rFonts w:ascii="Calibri" w:hAnsi="Calibri"/>
          <w:color w:val="1E293B"/>
        </w:rPr>
        <w:t>Publish model lifecycle events so prediction workers refresh approved versions.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AF2FF"/>
            <w:tcMar>
              <w:top w:w="90" w:type="dxa"/>
              <w:start w:w="120" w:type="dxa"/>
              <w:bottom w:w="90" w:type="dxa"/>
              <w:end w:w="120" w:type="dxa"/>
            </w:tcMar>
            <w:vAlign w:val="center"/>
          </w:tcPr>
          <w:p>
            <w:pPr>
              <w:spacing w:after="0"/>
            </w:pPr>
            <w:r>
              <w:rPr>
                <w:rFonts w:ascii="Calibri" w:hAnsi="Calibri"/>
                <w:b/>
                <w:color w:val="2563EB"/>
              </w:rPr>
              <w:t xml:space="preserve">What Kafka does not solve: </w:t>
            </w:r>
            <w:r>
              <w:rPr>
                <w:rFonts w:ascii="Calibri" w:hAnsi="Calibri"/>
                <w:color w:val="1E293B"/>
              </w:rPr>
              <w:t>It does not train models, guarantee correct business logic, or replace SQL. The system still needs idempotency, schema evolution, state management, dead-letter handling, monitoring, and an outbox to avoid lost dual writes.</w:t>
            </w:r>
          </w:p>
        </w:tc>
      </w:tr>
    </w:tbl>
    <w:p>
      <w:pPr>
        <w:spacing w:after="0"/>
      </w:pPr>
    </w:p>
    <w:p>
      <w:pPr>
        <w:pStyle w:val="Heading1"/>
      </w:pPr>
      <w:r>
        <w:t>12. What Users Do on Each Page</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0F2747"/>
            <w:tcMar>
              <w:top w:w="90" w:type="dxa"/>
              <w:start w:w="120" w:type="dxa"/>
              <w:bottom w:w="90" w:type="dxa"/>
              <w:end w:w="120" w:type="dxa"/>
            </w:tcMar>
            <w:vAlign w:val="center"/>
          </w:tcPr>
          <w:p>
            <w:r>
              <w:rPr>
                <w:rFonts w:ascii="Calibri" w:hAnsi="Calibri"/>
                <w:b/>
                <w:color w:val="FFFFFF"/>
                <w:sz w:val="18"/>
              </w:rPr>
              <w:t>Page</w:t>
            </w:r>
          </w:p>
        </w:tc>
        <w:tc>
          <w:tcPr>
            <w:tcW w:type="dxa" w:w="6760"/>
            <w:shd w:fill="0F2747"/>
            <w:tcMar>
              <w:top w:w="90" w:type="dxa"/>
              <w:start w:w="120" w:type="dxa"/>
              <w:bottom w:w="90" w:type="dxa"/>
              <w:end w:w="120" w:type="dxa"/>
            </w:tcMar>
            <w:vAlign w:val="center"/>
          </w:tcPr>
          <w:p>
            <w:r>
              <w:rPr>
                <w:rFonts w:ascii="Calibri" w:hAnsi="Calibri"/>
                <w:b/>
                <w:color w:val="FFFFFF"/>
                <w:sz w:val="18"/>
              </w:rPr>
              <w:t>Use it for</w:t>
            </w:r>
          </w:p>
        </w:tc>
      </w:tr>
      <w:tr>
        <w:tc>
          <w:tcPr>
            <w:tcW w:type="dxa" w:w="2600"/>
            <w:shd w:fill="F7FAFF"/>
            <w:tcMar>
              <w:top w:w="90" w:type="dxa"/>
              <w:start w:w="120" w:type="dxa"/>
              <w:bottom w:w="90" w:type="dxa"/>
              <w:end w:w="120" w:type="dxa"/>
            </w:tcMar>
            <w:vAlign w:val="center"/>
          </w:tcPr>
          <w:p>
            <w:r>
              <w:rPr>
                <w:rFonts w:ascii="Calibri" w:hAnsi="Calibri"/>
                <w:color w:val="1E293B"/>
                <w:sz w:val="18"/>
              </w:rPr>
              <w:t>Upload Data</w:t>
            </w:r>
          </w:p>
        </w:tc>
        <w:tc>
          <w:tcPr>
            <w:tcW w:type="dxa" w:w="6760"/>
            <w:shd w:fill="F7FAFF"/>
            <w:tcMar>
              <w:top w:w="90" w:type="dxa"/>
              <w:start w:w="120" w:type="dxa"/>
              <w:bottom w:w="90" w:type="dxa"/>
              <w:end w:w="120" w:type="dxa"/>
            </w:tcMar>
            <w:vAlign w:val="center"/>
          </w:tcPr>
          <w:p>
            <w:r>
              <w:rPr>
                <w:rFonts w:ascii="Calibri" w:hAnsi="Calibri"/>
                <w:color w:val="1E293B"/>
                <w:sz w:val="18"/>
              </w:rPr>
              <w:t>Load historical CSV or Excel transactions.</w:t>
            </w:r>
          </w:p>
        </w:tc>
      </w:tr>
      <w:tr>
        <w:tc>
          <w:tcPr>
            <w:tcW w:type="dxa" w:w="2600"/>
            <w:tcMar>
              <w:top w:w="90" w:type="dxa"/>
              <w:start w:w="120" w:type="dxa"/>
              <w:bottom w:w="90" w:type="dxa"/>
              <w:end w:w="120" w:type="dxa"/>
            </w:tcMar>
            <w:vAlign w:val="center"/>
          </w:tcPr>
          <w:p>
            <w:r>
              <w:rPr>
                <w:rFonts w:ascii="Calibri" w:hAnsi="Calibri"/>
                <w:color w:val="1E293B"/>
                <w:sz w:val="18"/>
              </w:rPr>
              <w:t>Research Comparison</w:t>
            </w:r>
          </w:p>
        </w:tc>
        <w:tc>
          <w:tcPr>
            <w:tcW w:type="dxa" w:w="6760"/>
            <w:tcMar>
              <w:top w:w="90" w:type="dxa"/>
              <w:start w:w="120" w:type="dxa"/>
              <w:bottom w:w="90" w:type="dxa"/>
              <w:end w:w="120" w:type="dxa"/>
            </w:tcMar>
            <w:vAlign w:val="center"/>
          </w:tcPr>
          <w:p>
            <w:r>
              <w:rPr>
                <w:rFonts w:ascii="Calibri" w:hAnsi="Calibri"/>
                <w:color w:val="1E293B"/>
                <w:sz w:val="18"/>
              </w:rPr>
              <w:t>Compare five offline models at 10%, 25%, 50%, and 100% chronological data.</w:t>
            </w:r>
          </w:p>
        </w:tc>
      </w:tr>
      <w:tr>
        <w:tc>
          <w:tcPr>
            <w:tcW w:type="dxa" w:w="2600"/>
            <w:shd w:fill="F7FAFF"/>
            <w:tcMar>
              <w:top w:w="90" w:type="dxa"/>
              <w:start w:w="120" w:type="dxa"/>
              <w:bottom w:w="90" w:type="dxa"/>
              <w:end w:w="120" w:type="dxa"/>
            </w:tcMar>
            <w:vAlign w:val="center"/>
          </w:tcPr>
          <w:p>
            <w:r>
              <w:rPr>
                <w:rFonts w:ascii="Calibri" w:hAnsi="Calibri"/>
                <w:color w:val="1E293B"/>
                <w:sz w:val="18"/>
              </w:rPr>
              <w:t>Training Operations</w:t>
            </w:r>
          </w:p>
        </w:tc>
        <w:tc>
          <w:tcPr>
            <w:tcW w:type="dxa" w:w="6760"/>
            <w:shd w:fill="F7FAFF"/>
            <w:tcMar>
              <w:top w:w="90" w:type="dxa"/>
              <w:start w:w="120" w:type="dxa"/>
              <w:bottom w:w="90" w:type="dxa"/>
              <w:end w:w="120" w:type="dxa"/>
            </w:tcMar>
            <w:vAlign w:val="center"/>
          </w:tcPr>
          <w:p>
            <w:r>
              <w:rPr>
                <w:rFonts w:ascii="Calibri" w:hAnsi="Calibri"/>
                <w:color w:val="1E293B"/>
                <w:sz w:val="18"/>
              </w:rPr>
              <w:t>Close dates, create runs, export Parquet, and train HST/Online OCSVM candidates.</w:t>
            </w:r>
          </w:p>
        </w:tc>
      </w:tr>
      <w:tr>
        <w:tc>
          <w:tcPr>
            <w:tcW w:type="dxa" w:w="2600"/>
            <w:tcMar>
              <w:top w:w="90" w:type="dxa"/>
              <w:start w:w="120" w:type="dxa"/>
              <w:bottom w:w="90" w:type="dxa"/>
              <w:end w:w="120" w:type="dxa"/>
            </w:tcMar>
            <w:vAlign w:val="center"/>
          </w:tcPr>
          <w:p>
            <w:r>
              <w:rPr>
                <w:rFonts w:ascii="Calibri" w:hAnsi="Calibri"/>
                <w:color w:val="1E293B"/>
                <w:sz w:val="18"/>
              </w:rPr>
              <w:t>Model Governance</w:t>
            </w:r>
          </w:p>
        </w:tc>
        <w:tc>
          <w:tcPr>
            <w:tcW w:type="dxa" w:w="6760"/>
            <w:tcMar>
              <w:top w:w="90" w:type="dxa"/>
              <w:start w:w="120" w:type="dxa"/>
              <w:bottom w:w="90" w:type="dxa"/>
              <w:end w:w="120" w:type="dxa"/>
            </w:tcMar>
            <w:vAlign w:val="center"/>
          </w:tcPr>
          <w:p>
            <w:r>
              <w:rPr>
                <w:rFonts w:ascii="Calibri" w:hAnsi="Calibri"/>
                <w:color w:val="1E293B"/>
                <w:sz w:val="18"/>
              </w:rPr>
              <w:t>Review evidence, validate, activate/expand layered canaries, and roll back.</w:t>
            </w:r>
          </w:p>
        </w:tc>
      </w:tr>
      <w:tr>
        <w:tc>
          <w:tcPr>
            <w:tcW w:type="dxa" w:w="2600"/>
            <w:shd w:fill="F7FAFF"/>
            <w:tcMar>
              <w:top w:w="90" w:type="dxa"/>
              <w:start w:w="120" w:type="dxa"/>
              <w:bottom w:w="90" w:type="dxa"/>
              <w:end w:w="120" w:type="dxa"/>
            </w:tcMar>
            <w:vAlign w:val="center"/>
          </w:tcPr>
          <w:p>
            <w:r>
              <w:rPr>
                <w:rFonts w:ascii="Calibri" w:hAnsi="Calibri"/>
                <w:color w:val="1E293B"/>
                <w:sz w:val="18"/>
              </w:rPr>
              <w:t>Model Tuning</w:t>
            </w:r>
          </w:p>
        </w:tc>
        <w:tc>
          <w:tcPr>
            <w:tcW w:type="dxa" w:w="6760"/>
            <w:shd w:fill="F7FAFF"/>
            <w:tcMar>
              <w:top w:w="90" w:type="dxa"/>
              <w:start w:w="120" w:type="dxa"/>
              <w:bottom w:w="90" w:type="dxa"/>
              <w:end w:w="120" w:type="dxa"/>
            </w:tcMar>
            <w:vAlign w:val="center"/>
          </w:tcPr>
          <w:p>
            <w:r>
              <w:rPr>
                <w:rFonts w:ascii="Calibri" w:hAnsi="Calibri"/>
                <w:color w:val="1E293B"/>
                <w:sz w:val="18"/>
              </w:rPr>
              <w:t>Configure offline search and model parameters.</w:t>
            </w:r>
          </w:p>
        </w:tc>
      </w:tr>
      <w:tr>
        <w:tc>
          <w:tcPr>
            <w:tcW w:type="dxa" w:w="2600"/>
            <w:tcMar>
              <w:top w:w="90" w:type="dxa"/>
              <w:start w:w="120" w:type="dxa"/>
              <w:bottom w:w="90" w:type="dxa"/>
              <w:end w:w="120" w:type="dxa"/>
            </w:tcMar>
            <w:vAlign w:val="center"/>
          </w:tcPr>
          <w:p>
            <w:r>
              <w:rPr>
                <w:rFonts w:ascii="Calibri" w:hAnsi="Calibri"/>
                <w:color w:val="1E293B"/>
                <w:sz w:val="18"/>
              </w:rPr>
              <w:t>Anomaly Config</w:t>
            </w:r>
          </w:p>
        </w:tc>
        <w:tc>
          <w:tcPr>
            <w:tcW w:type="dxa" w:w="6760"/>
            <w:tcMar>
              <w:top w:w="90" w:type="dxa"/>
              <w:start w:w="120" w:type="dxa"/>
              <w:bottom w:w="90" w:type="dxa"/>
              <w:end w:w="120" w:type="dxa"/>
            </w:tcMar>
            <w:vAlign w:val="center"/>
          </w:tcPr>
          <w:p>
            <w:r>
              <w:rPr>
                <w:rFonts w:ascii="Calibri" w:hAnsi="Calibri"/>
                <w:color w:val="1E293B"/>
                <w:sz w:val="18"/>
              </w:rPr>
              <w:t>Maintain the compatibility decision configuration for unpromoted segments.</w:t>
            </w:r>
          </w:p>
        </w:tc>
      </w:tr>
      <w:tr>
        <w:tc>
          <w:tcPr>
            <w:tcW w:type="dxa" w:w="2600"/>
            <w:shd w:fill="F7FAFF"/>
            <w:tcMar>
              <w:top w:w="90" w:type="dxa"/>
              <w:start w:w="120" w:type="dxa"/>
              <w:bottom w:w="90" w:type="dxa"/>
              <w:end w:w="120" w:type="dxa"/>
            </w:tcMar>
            <w:vAlign w:val="center"/>
          </w:tcPr>
          <w:p>
            <w:r>
              <w:rPr>
                <w:rFonts w:ascii="Calibri" w:hAnsi="Calibri"/>
                <w:color w:val="1E293B"/>
                <w:sz w:val="18"/>
              </w:rPr>
              <w:t>Cold Start</w:t>
            </w:r>
          </w:p>
        </w:tc>
        <w:tc>
          <w:tcPr>
            <w:tcW w:type="dxa" w:w="6760"/>
            <w:shd w:fill="F7FAFF"/>
            <w:tcMar>
              <w:top w:w="90" w:type="dxa"/>
              <w:start w:w="120" w:type="dxa"/>
              <w:bottom w:w="90" w:type="dxa"/>
              <w:end w:w="120" w:type="dxa"/>
            </w:tcMar>
            <w:vAlign w:val="center"/>
          </w:tcPr>
          <w:p>
            <w:r>
              <w:rPr>
                <w:rFonts w:ascii="Calibri" w:hAnsi="Calibri"/>
                <w:color w:val="1E293B"/>
                <w:sz w:val="18"/>
              </w:rPr>
              <w:t>Control behaviour when trusted customer history is insufficient.</w:t>
            </w:r>
          </w:p>
        </w:tc>
      </w:tr>
      <w:tr>
        <w:tc>
          <w:tcPr>
            <w:tcW w:type="dxa" w:w="2600"/>
            <w:tcMar>
              <w:top w:w="90" w:type="dxa"/>
              <w:start w:w="120" w:type="dxa"/>
              <w:bottom w:w="90" w:type="dxa"/>
              <w:end w:w="120" w:type="dxa"/>
            </w:tcMar>
            <w:vAlign w:val="center"/>
          </w:tcPr>
          <w:p>
            <w:r>
              <w:rPr>
                <w:rFonts w:ascii="Calibri" w:hAnsi="Calibri"/>
                <w:color w:val="1E293B"/>
                <w:sz w:val="18"/>
              </w:rPr>
              <w:t>Case Management</w:t>
            </w:r>
          </w:p>
        </w:tc>
        <w:tc>
          <w:tcPr>
            <w:tcW w:type="dxa" w:w="6760"/>
            <w:tcMar>
              <w:top w:w="90" w:type="dxa"/>
              <w:start w:w="120" w:type="dxa"/>
              <w:bottom w:w="90" w:type="dxa"/>
              <w:end w:w="120" w:type="dxa"/>
            </w:tcMar>
            <w:vAlign w:val="center"/>
          </w:tcPr>
          <w:p>
            <w:r>
              <w:rPr>
                <w:rFonts w:ascii="Calibri" w:hAnsi="Calibri"/>
                <w:color w:val="1E293B"/>
                <w:sz w:val="18"/>
              </w:rPr>
              <w:t>Investigate generated cases, record notes, resolve false positives, and generate draft STR XML.</w:t>
            </w:r>
          </w:p>
        </w:tc>
      </w:tr>
      <w:tr>
        <w:tc>
          <w:tcPr>
            <w:tcW w:type="dxa" w:w="2600"/>
            <w:shd w:fill="F7FAFF"/>
            <w:tcMar>
              <w:top w:w="90" w:type="dxa"/>
              <w:start w:w="120" w:type="dxa"/>
              <w:bottom w:w="90" w:type="dxa"/>
              <w:end w:w="120" w:type="dxa"/>
            </w:tcMar>
            <w:vAlign w:val="center"/>
          </w:tcPr>
          <w:p>
            <w:r>
              <w:rPr>
                <w:rFonts w:ascii="Calibri" w:hAnsi="Calibri"/>
                <w:color w:val="1E293B"/>
                <w:sz w:val="18"/>
              </w:rPr>
              <w:t>Manual Case</w:t>
            </w:r>
          </w:p>
        </w:tc>
        <w:tc>
          <w:tcPr>
            <w:tcW w:type="dxa" w:w="6760"/>
            <w:shd w:fill="F7FAFF"/>
            <w:tcMar>
              <w:top w:w="90" w:type="dxa"/>
              <w:start w:w="120" w:type="dxa"/>
              <w:bottom w:w="90" w:type="dxa"/>
              <w:end w:w="120" w:type="dxa"/>
            </w:tcMar>
            <w:vAlign w:val="center"/>
          </w:tcPr>
          <w:p>
            <w:r>
              <w:rPr>
                <w:rFonts w:ascii="Calibri" w:hAnsi="Calibri"/>
                <w:color w:val="1E293B"/>
                <w:sz w:val="18"/>
              </w:rPr>
              <w:t>Search a transaction and open a case on demand.</w:t>
            </w:r>
          </w:p>
        </w:tc>
      </w:tr>
    </w:tbl>
    <w:p>
      <w:pPr>
        <w:spacing w:after="0"/>
      </w:pPr>
    </w:p>
    <w:p>
      <w:pPr>
        <w:pStyle w:val="Heading1"/>
      </w:pPr>
      <w:r>
        <w:t>13. A Normal Daily Operating Story</w:t>
      </w:r>
    </w:p>
    <w:p>
      <w:pPr>
        <w:pStyle w:val="Heading2"/>
      </w:pPr>
      <w:r>
        <w:t>During business hours</w:t>
      </w:r>
    </w:p>
    <w:p>
      <w:pPr>
        <w:pStyle w:val="ListNumber"/>
      </w:pPr>
      <w:r>
        <w:rPr>
          <w:rFonts w:ascii="Calibri" w:hAnsi="Calibri"/>
          <w:color w:val="1E293B"/>
        </w:rPr>
        <w:t>Transactions arrive and are stored, featured, scored, logged, and routed to cases when suspicious.</w:t>
      </w:r>
    </w:p>
    <w:p>
      <w:pPr>
        <w:pStyle w:val="ListNumber"/>
      </w:pPr>
      <w:r>
        <w:rPr>
          <w:rFonts w:ascii="Calibri" w:hAnsi="Calibri"/>
          <w:color w:val="1E293B"/>
        </w:rPr>
        <w:t>AML reviewers work the case queue, add notes, and record outcomes.</w:t>
      </w:r>
    </w:p>
    <w:p>
      <w:pPr>
        <w:pStyle w:val="ListNumber"/>
      </w:pPr>
      <w:r>
        <w:rPr>
          <w:rFonts w:ascii="Calibri" w:hAnsi="Calibri"/>
          <w:color w:val="1E293B"/>
        </w:rPr>
        <w:t>Operators monitor availability, latency, fallback frequency, and unusual alert volume.</w:t>
      </w:r>
    </w:p>
    <w:p>
      <w:pPr>
        <w:pStyle w:val="Heading2"/>
      </w:pPr>
      <w:r>
        <w:t>After business hours</w:t>
      </w:r>
    </w:p>
    <w:p>
      <w:pPr>
        <w:pStyle w:val="ListNumber"/>
      </w:pPr>
      <w:r>
        <w:rPr>
          <w:rFonts w:ascii="Calibri" w:hAnsi="Calibri"/>
          <w:color w:val="1E293B"/>
        </w:rPr>
        <w:t>Confirm ingestion is complete and close the business date.</w:t>
      </w:r>
    </w:p>
    <w:p>
      <w:pPr>
        <w:pStyle w:val="ListNumber"/>
      </w:pPr>
      <w:r>
        <w:rPr>
          <w:rFonts w:ascii="Calibri" w:hAnsi="Calibri"/>
          <w:color w:val="1E293B"/>
        </w:rPr>
        <w:t>Create the approved incremental training run and export the frozen eligible dataset.</w:t>
      </w:r>
    </w:p>
    <w:p>
      <w:pPr>
        <w:pStyle w:val="ListNumber"/>
      </w:pPr>
      <w:r>
        <w:rPr>
          <w:rFonts w:ascii="Calibri" w:hAnsi="Calibri"/>
          <w:color w:val="1E293B"/>
        </w:rPr>
        <w:t>Train candidate HST or Online OCSVM versions.</w:t>
      </w:r>
    </w:p>
    <w:p>
      <w:pPr>
        <w:pStyle w:val="ListNumber"/>
      </w:pPr>
      <w:r>
        <w:rPr>
          <w:rFonts w:ascii="Calibri" w:hAnsi="Calibri"/>
          <w:color w:val="1E293B"/>
        </w:rPr>
        <w:t>Keep candidates in shadow until enough evidence exists.</w:t>
      </w:r>
    </w:p>
    <w:p>
      <w:pPr>
        <w:pStyle w:val="ListNumber"/>
      </w:pPr>
      <w:r>
        <w:rPr>
          <w:rFonts w:ascii="Calibri" w:hAnsi="Calibri"/>
          <w:color w:val="1E293B"/>
        </w:rPr>
        <w:t>Validate and promote only through an authorized governance decision.</w:t>
      </w:r>
    </w:p>
    <w:p>
      <w:pPr>
        <w:pStyle w:val="Heading2"/>
      </w:pPr>
      <w:r>
        <w:t>Periodically</w:t>
      </w:r>
    </w:p>
    <w:p>
      <w:pPr>
        <w:pStyle w:val="ListBullet"/>
      </w:pPr>
      <w:r>
        <w:rPr>
          <w:rFonts w:ascii="Calibri" w:hAnsi="Calibri"/>
          <w:color w:val="1E293B"/>
        </w:rPr>
        <w:t>Run offline research comparison after meaningful data growth.</w:t>
      </w:r>
    </w:p>
    <w:p>
      <w:pPr>
        <w:pStyle w:val="ListBullet"/>
      </w:pPr>
      <w:r>
        <w:rPr>
          <w:rFonts w:ascii="Calibri" w:hAnsi="Calibri"/>
          <w:color w:val="1E293B"/>
        </w:rPr>
        <w:t>Review false-positive outcomes and alert volume by segment.</w:t>
      </w:r>
    </w:p>
    <w:p>
      <w:pPr>
        <w:pStyle w:val="ListBullet"/>
      </w:pPr>
      <w:r>
        <w:rPr>
          <w:rFonts w:ascii="Calibri" w:hAnsi="Calibri"/>
          <w:color w:val="1E293B"/>
        </w:rPr>
        <w:t>Run fresh rebuilds and historical replay when implemented.</w:t>
      </w:r>
    </w:p>
    <w:p>
      <w:pPr>
        <w:pStyle w:val="ListBullet"/>
      </w:pPr>
      <w:r>
        <w:rPr>
          <w:rFonts w:ascii="Calibri" w:hAnsi="Calibri"/>
          <w:color w:val="1E293B"/>
        </w:rPr>
        <w:t>Review feature drift, score drift, model freshness, latency, and canary results.</w:t>
      </w:r>
    </w:p>
    <w:p>
      <w:pPr>
        <w:pStyle w:val="ListBullet"/>
      </w:pPr>
      <w:r>
        <w:rPr>
          <w:rFonts w:ascii="Calibri" w:hAnsi="Calibri"/>
          <w:color w:val="1E293B"/>
        </w:rPr>
        <w:t>Practice rollback rather than assuming it works.</w:t>
      </w:r>
    </w:p>
    <w:p>
      <w:pPr>
        <w:pStyle w:val="Heading1"/>
      </w:pPr>
      <w:r>
        <w:t>14. What the System Does Not Claim</w:t>
      </w:r>
    </w:p>
    <w:p>
      <w:pPr>
        <w:pStyle w:val="ListBullet"/>
      </w:pPr>
      <w:r>
        <w:rPr>
          <w:rFonts w:ascii="Calibri" w:hAnsi="Calibri"/>
          <w:color w:val="1E293B"/>
        </w:rPr>
        <w:t>An anomaly is not automatically fraud.</w:t>
      </w:r>
    </w:p>
    <w:p>
      <w:pPr>
        <w:pStyle w:val="ListBullet"/>
      </w:pPr>
      <w:r>
        <w:rPr>
          <w:rFonts w:ascii="Calibri" w:hAnsi="Calibri"/>
          <w:color w:val="1E293B"/>
        </w:rPr>
        <w:t>Proxy quality is not real-world fraud accuracy.</w:t>
      </w:r>
    </w:p>
    <w:p>
      <w:pPr>
        <w:pStyle w:val="ListBullet"/>
      </w:pPr>
      <w:r>
        <w:rPr>
          <w:rFonts w:ascii="Calibri" w:hAnsi="Calibri"/>
          <w:color w:val="1E293B"/>
        </w:rPr>
        <w:t>A passed validation does not prove perfect detection.</w:t>
      </w:r>
    </w:p>
    <w:p>
      <w:pPr>
        <w:pStyle w:val="ListBullet"/>
      </w:pPr>
      <w:r>
        <w:rPr>
          <w:rFonts w:ascii="Calibri" w:hAnsi="Calibri"/>
          <w:color w:val="1E293B"/>
        </w:rPr>
        <w:t>A research leaderboard does not authorize production deployment.</w:t>
      </w:r>
    </w:p>
    <w:p>
      <w:pPr>
        <w:pStyle w:val="ListBullet"/>
      </w:pPr>
      <w:r>
        <w:rPr>
          <w:rFonts w:ascii="Calibri" w:hAnsi="Calibri"/>
          <w:color w:val="1E293B"/>
        </w:rPr>
        <w:t>Kafka is planned, not part of the current runtime.</w:t>
      </w:r>
    </w:p>
    <w:p>
      <w:pPr>
        <w:pStyle w:val="ListBullet"/>
      </w:pPr>
      <w:r>
        <w:rPr>
          <w:rFonts w:ascii="Calibri" w:hAnsi="Calibri"/>
          <w:color w:val="1E293B"/>
        </w:rPr>
        <w:t>The draft STR XML is not yet a complete regulator submission workflow.</w:t>
      </w:r>
    </w:p>
    <w:p>
      <w:pPr>
        <w:pStyle w:val="ListBullet"/>
      </w:pPr>
      <w:r>
        <w:rPr>
          <w:rFonts w:ascii="Calibri" w:hAnsi="Calibri"/>
          <w:color w:val="1E293B"/>
        </w:rPr>
        <w:t>Development credentials, local files, and local transport require production hardening before bank deployment.</w:t>
      </w:r>
    </w:p>
    <w:p>
      <w:pPr>
        <w:pStyle w:val="Heading1"/>
      </w:pPr>
      <w:r>
        <w:t>15. Quick Glossary</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0F2747"/>
            <w:tcMar>
              <w:top w:w="90" w:type="dxa"/>
              <w:start w:w="120" w:type="dxa"/>
              <w:bottom w:w="90" w:type="dxa"/>
              <w:end w:w="120" w:type="dxa"/>
            </w:tcMar>
            <w:vAlign w:val="center"/>
          </w:tcPr>
          <w:p>
            <w:r>
              <w:rPr>
                <w:rFonts w:ascii="Calibri" w:hAnsi="Calibri"/>
                <w:b/>
                <w:color w:val="FFFFFF"/>
                <w:sz w:val="18"/>
              </w:rPr>
              <w:t>Term</w:t>
            </w:r>
          </w:p>
        </w:tc>
        <w:tc>
          <w:tcPr>
            <w:tcW w:type="dxa" w:w="6760"/>
            <w:shd w:fill="0F2747"/>
            <w:tcMar>
              <w:top w:w="90" w:type="dxa"/>
              <w:start w:w="120" w:type="dxa"/>
              <w:bottom w:w="90" w:type="dxa"/>
              <w:end w:w="120" w:type="dxa"/>
            </w:tcMar>
            <w:vAlign w:val="center"/>
          </w:tcPr>
          <w:p>
            <w:r>
              <w:rPr>
                <w:rFonts w:ascii="Calibri" w:hAnsi="Calibri"/>
                <w:b/>
                <w:color w:val="FFFFFF"/>
                <w:sz w:val="18"/>
              </w:rPr>
              <w:t>Simple meaning</w:t>
            </w:r>
          </w:p>
        </w:tc>
      </w:tr>
      <w:tr>
        <w:tc>
          <w:tcPr>
            <w:tcW w:type="dxa" w:w="2600"/>
            <w:shd w:fill="F7FAFF"/>
            <w:tcMar>
              <w:top w:w="90" w:type="dxa"/>
              <w:start w:w="120" w:type="dxa"/>
              <w:bottom w:w="90" w:type="dxa"/>
              <w:end w:w="120" w:type="dxa"/>
            </w:tcMar>
            <w:vAlign w:val="center"/>
          </w:tcPr>
          <w:p>
            <w:r>
              <w:rPr>
                <w:rFonts w:ascii="Calibri" w:hAnsi="Calibri"/>
                <w:color w:val="1E293B"/>
                <w:sz w:val="18"/>
              </w:rPr>
              <w:t>Anomaly</w:t>
            </w:r>
          </w:p>
        </w:tc>
        <w:tc>
          <w:tcPr>
            <w:tcW w:type="dxa" w:w="6760"/>
            <w:shd w:fill="F7FAFF"/>
            <w:tcMar>
              <w:top w:w="90" w:type="dxa"/>
              <w:start w:w="120" w:type="dxa"/>
              <w:bottom w:w="90" w:type="dxa"/>
              <w:end w:w="120" w:type="dxa"/>
            </w:tcMar>
            <w:vAlign w:val="center"/>
          </w:tcPr>
          <w:p>
            <w:r>
              <w:rPr>
                <w:rFonts w:ascii="Calibri" w:hAnsi="Calibri"/>
                <w:color w:val="1E293B"/>
                <w:sz w:val="18"/>
              </w:rPr>
              <w:t>Something different from learned or configured normal behaviour.</w:t>
            </w:r>
          </w:p>
        </w:tc>
      </w:tr>
      <w:tr>
        <w:tc>
          <w:tcPr>
            <w:tcW w:type="dxa" w:w="2600"/>
            <w:tcMar>
              <w:top w:w="90" w:type="dxa"/>
              <w:start w:w="120" w:type="dxa"/>
              <w:bottom w:w="90" w:type="dxa"/>
              <w:end w:w="120" w:type="dxa"/>
            </w:tcMar>
            <w:vAlign w:val="center"/>
          </w:tcPr>
          <w:p>
            <w:r>
              <w:rPr>
                <w:rFonts w:ascii="Calibri" w:hAnsi="Calibri"/>
                <w:color w:val="1E293B"/>
                <w:sz w:val="18"/>
              </w:rPr>
              <w:t>Feature</w:t>
            </w:r>
          </w:p>
        </w:tc>
        <w:tc>
          <w:tcPr>
            <w:tcW w:type="dxa" w:w="6760"/>
            <w:tcMar>
              <w:top w:w="90" w:type="dxa"/>
              <w:start w:w="120" w:type="dxa"/>
              <w:bottom w:w="90" w:type="dxa"/>
              <w:end w:w="120" w:type="dxa"/>
            </w:tcMar>
            <w:vAlign w:val="center"/>
          </w:tcPr>
          <w:p>
            <w:r>
              <w:rPr>
                <w:rFonts w:ascii="Calibri" w:hAnsi="Calibri"/>
                <w:color w:val="1E293B"/>
                <w:sz w:val="18"/>
              </w:rPr>
              <w:t>A number or category that describes one useful aspect of a transaction.</w:t>
            </w:r>
          </w:p>
        </w:tc>
      </w:tr>
      <w:tr>
        <w:tc>
          <w:tcPr>
            <w:tcW w:type="dxa" w:w="2600"/>
            <w:shd w:fill="F7FAFF"/>
            <w:tcMar>
              <w:top w:w="90" w:type="dxa"/>
              <w:start w:w="120" w:type="dxa"/>
              <w:bottom w:w="90" w:type="dxa"/>
              <w:end w:w="120" w:type="dxa"/>
            </w:tcMar>
            <w:vAlign w:val="center"/>
          </w:tcPr>
          <w:p>
            <w:r>
              <w:rPr>
                <w:rFonts w:ascii="Calibri" w:hAnsi="Calibri"/>
                <w:color w:val="1E293B"/>
                <w:sz w:val="18"/>
              </w:rPr>
              <w:t>Behaviour scorer</w:t>
            </w:r>
          </w:p>
        </w:tc>
        <w:tc>
          <w:tcPr>
            <w:tcW w:type="dxa" w:w="6760"/>
            <w:shd w:fill="F7FAFF"/>
            <w:tcMar>
              <w:top w:w="90" w:type="dxa"/>
              <w:start w:w="120" w:type="dxa"/>
              <w:bottom w:w="90" w:type="dxa"/>
              <w:end w:w="120" w:type="dxa"/>
            </w:tcMar>
            <w:vAlign w:val="center"/>
          </w:tcPr>
          <w:p>
            <w:r>
              <w:rPr>
                <w:rFonts w:ascii="Calibri" w:hAnsi="Calibri"/>
                <w:color w:val="1E293B"/>
                <w:sz w:val="18"/>
              </w:rPr>
              <w:t>Transparent statistical comparison against customer or peer patterns.</w:t>
            </w:r>
          </w:p>
        </w:tc>
      </w:tr>
      <w:tr>
        <w:tc>
          <w:tcPr>
            <w:tcW w:type="dxa" w:w="2600"/>
            <w:tcMar>
              <w:top w:w="90" w:type="dxa"/>
              <w:start w:w="120" w:type="dxa"/>
              <w:bottom w:w="90" w:type="dxa"/>
              <w:end w:w="120" w:type="dxa"/>
            </w:tcMar>
            <w:vAlign w:val="center"/>
          </w:tcPr>
          <w:p>
            <w:r>
              <w:rPr>
                <w:rFonts w:ascii="Calibri" w:hAnsi="Calibri"/>
                <w:color w:val="1E293B"/>
                <w:sz w:val="18"/>
              </w:rPr>
              <w:t>HST</w:t>
            </w:r>
          </w:p>
        </w:tc>
        <w:tc>
          <w:tcPr>
            <w:tcW w:type="dxa" w:w="6760"/>
            <w:tcMar>
              <w:top w:w="90" w:type="dxa"/>
              <w:start w:w="120" w:type="dxa"/>
              <w:bottom w:w="90" w:type="dxa"/>
              <w:end w:w="120" w:type="dxa"/>
            </w:tcMar>
            <w:vAlign w:val="center"/>
          </w:tcPr>
          <w:p>
            <w:r>
              <w:rPr>
                <w:rFonts w:ascii="Calibri" w:hAnsi="Calibri"/>
                <w:color w:val="1E293B"/>
                <w:sz w:val="18"/>
              </w:rPr>
              <w:t>Half-Space Trees, an incremental production anomaly model with bounded state.</w:t>
            </w:r>
          </w:p>
        </w:tc>
      </w:tr>
      <w:tr>
        <w:tc>
          <w:tcPr>
            <w:tcW w:type="dxa" w:w="2600"/>
            <w:shd w:fill="F7FAFF"/>
            <w:tcMar>
              <w:top w:w="90" w:type="dxa"/>
              <w:start w:w="120" w:type="dxa"/>
              <w:bottom w:w="90" w:type="dxa"/>
              <w:end w:w="120" w:type="dxa"/>
            </w:tcMar>
            <w:vAlign w:val="center"/>
          </w:tcPr>
          <w:p>
            <w:r>
              <w:rPr>
                <w:rFonts w:ascii="Calibri" w:hAnsi="Calibri"/>
                <w:color w:val="1E293B"/>
                <w:sz w:val="18"/>
              </w:rPr>
              <w:t>Online OCSVM</w:t>
            </w:r>
          </w:p>
        </w:tc>
        <w:tc>
          <w:tcPr>
            <w:tcW w:type="dxa" w:w="6760"/>
            <w:shd w:fill="F7FAFF"/>
            <w:tcMar>
              <w:top w:w="90" w:type="dxa"/>
              <w:start w:w="120" w:type="dxa"/>
              <w:bottom w:w="90" w:type="dxa"/>
              <w:end w:w="120" w:type="dxa"/>
            </w:tcMar>
            <w:vAlign w:val="center"/>
          </w:tcPr>
          <w:p>
            <w:r>
              <w:rPr>
                <w:rFonts w:ascii="Calibri" w:hAnsi="Calibri"/>
                <w:color w:val="1E293B"/>
                <w:sz w:val="18"/>
              </w:rPr>
              <w:t>Incremental production model that learns a boundary around normal feature patterns.</w:t>
            </w:r>
          </w:p>
        </w:tc>
      </w:tr>
      <w:tr>
        <w:tc>
          <w:tcPr>
            <w:tcW w:type="dxa" w:w="2600"/>
            <w:tcMar>
              <w:top w:w="90" w:type="dxa"/>
              <w:start w:w="120" w:type="dxa"/>
              <w:bottom w:w="90" w:type="dxa"/>
              <w:end w:w="120" w:type="dxa"/>
            </w:tcMar>
            <w:vAlign w:val="center"/>
          </w:tcPr>
          <w:p>
            <w:r>
              <w:rPr>
                <w:rFonts w:ascii="Calibri" w:hAnsi="Calibri"/>
                <w:color w:val="1E293B"/>
                <w:sz w:val="18"/>
              </w:rPr>
              <w:t>Risk policy</w:t>
            </w:r>
          </w:p>
        </w:tc>
        <w:tc>
          <w:tcPr>
            <w:tcW w:type="dxa" w:w="6760"/>
            <w:tcMar>
              <w:top w:w="90" w:type="dxa"/>
              <w:start w:w="120" w:type="dxa"/>
              <w:bottom w:w="90" w:type="dxa"/>
              <w:end w:w="120" w:type="dxa"/>
            </w:tcMar>
            <w:vAlign w:val="center"/>
          </w:tcPr>
          <w:p>
            <w:r>
              <w:rPr>
                <w:rFonts w:ascii="Calibri" w:hAnsi="Calibri"/>
                <w:color w:val="1E293B"/>
                <w:sz w:val="18"/>
              </w:rPr>
              <w:t>Versioned weights, thresholds, confidence handling, and override rules.</w:t>
            </w:r>
          </w:p>
        </w:tc>
      </w:tr>
      <w:tr>
        <w:tc>
          <w:tcPr>
            <w:tcW w:type="dxa" w:w="2600"/>
            <w:shd w:fill="F7FAFF"/>
            <w:tcMar>
              <w:top w:w="90" w:type="dxa"/>
              <w:start w:w="120" w:type="dxa"/>
              <w:bottom w:w="90" w:type="dxa"/>
              <w:end w:w="120" w:type="dxa"/>
            </w:tcMar>
            <w:vAlign w:val="center"/>
          </w:tcPr>
          <w:p>
            <w:r>
              <w:rPr>
                <w:rFonts w:ascii="Calibri" w:hAnsi="Calibri"/>
                <w:color w:val="1E293B"/>
                <w:sz w:val="18"/>
              </w:rPr>
              <w:t>Shadow mode</w:t>
            </w:r>
          </w:p>
        </w:tc>
        <w:tc>
          <w:tcPr>
            <w:tcW w:type="dxa" w:w="6760"/>
            <w:shd w:fill="F7FAFF"/>
            <w:tcMar>
              <w:top w:w="90" w:type="dxa"/>
              <w:start w:w="120" w:type="dxa"/>
              <w:bottom w:w="90" w:type="dxa"/>
              <w:end w:w="120" w:type="dxa"/>
            </w:tcMar>
            <w:vAlign w:val="center"/>
          </w:tcPr>
          <w:p>
            <w:r>
              <w:rPr>
                <w:rFonts w:ascii="Calibri" w:hAnsi="Calibri"/>
                <w:color w:val="1E293B"/>
                <w:sz w:val="18"/>
              </w:rPr>
              <w:t>Calculate and record a new result without allowing it to control production.</w:t>
            </w:r>
          </w:p>
        </w:tc>
      </w:tr>
      <w:tr>
        <w:tc>
          <w:tcPr>
            <w:tcW w:type="dxa" w:w="2600"/>
            <w:tcMar>
              <w:top w:w="90" w:type="dxa"/>
              <w:start w:w="120" w:type="dxa"/>
              <w:bottom w:w="90" w:type="dxa"/>
              <w:end w:w="120" w:type="dxa"/>
            </w:tcMar>
            <w:vAlign w:val="center"/>
          </w:tcPr>
          <w:p>
            <w:r>
              <w:rPr>
                <w:rFonts w:ascii="Calibri" w:hAnsi="Calibri"/>
                <w:color w:val="1E293B"/>
                <w:sz w:val="18"/>
              </w:rPr>
              <w:t>Canary</w:t>
            </w:r>
          </w:p>
        </w:tc>
        <w:tc>
          <w:tcPr>
            <w:tcW w:type="dxa" w:w="6760"/>
            <w:tcMar>
              <w:top w:w="90" w:type="dxa"/>
              <w:start w:w="120" w:type="dxa"/>
              <w:bottom w:w="90" w:type="dxa"/>
              <w:end w:w="120" w:type="dxa"/>
            </w:tcMar>
            <w:vAlign w:val="center"/>
          </w:tcPr>
          <w:p>
            <w:r>
              <w:rPr>
                <w:rFonts w:ascii="Calibri" w:hAnsi="Calibri"/>
                <w:color w:val="1E293B"/>
                <w:sz w:val="18"/>
              </w:rPr>
              <w:t>A small stable group that receives the new architecture first.</w:t>
            </w:r>
          </w:p>
        </w:tc>
      </w:tr>
      <w:tr>
        <w:tc>
          <w:tcPr>
            <w:tcW w:type="dxa" w:w="2600"/>
            <w:shd w:fill="F7FAFF"/>
            <w:tcMar>
              <w:top w:w="90" w:type="dxa"/>
              <w:start w:w="120" w:type="dxa"/>
              <w:bottom w:w="90" w:type="dxa"/>
              <w:end w:w="120" w:type="dxa"/>
            </w:tcMar>
            <w:vAlign w:val="center"/>
          </w:tcPr>
          <w:p>
            <w:r>
              <w:rPr>
                <w:rFonts w:ascii="Calibri" w:hAnsi="Calibri"/>
                <w:color w:val="1E293B"/>
                <w:sz w:val="18"/>
              </w:rPr>
              <w:t>Fallback</w:t>
            </w:r>
          </w:p>
        </w:tc>
        <w:tc>
          <w:tcPr>
            <w:tcW w:type="dxa" w:w="6760"/>
            <w:shd w:fill="F7FAFF"/>
            <w:tcMar>
              <w:top w:w="90" w:type="dxa"/>
              <w:start w:w="120" w:type="dxa"/>
              <w:bottom w:w="90" w:type="dxa"/>
              <w:end w:w="120" w:type="dxa"/>
            </w:tcMar>
            <w:vAlign w:val="center"/>
          </w:tcPr>
          <w:p>
            <w:r>
              <w:rPr>
                <w:rFonts w:ascii="Calibri" w:hAnsi="Calibri"/>
                <w:color w:val="1E293B"/>
                <w:sz w:val="18"/>
              </w:rPr>
              <w:t>The safe known decision path used when layered scoring is disabled or unsafe.</w:t>
            </w:r>
          </w:p>
        </w:tc>
      </w:tr>
      <w:tr>
        <w:tc>
          <w:tcPr>
            <w:tcW w:type="dxa" w:w="2600"/>
            <w:tcMar>
              <w:top w:w="90" w:type="dxa"/>
              <w:start w:w="120" w:type="dxa"/>
              <w:bottom w:w="90" w:type="dxa"/>
              <w:end w:w="120" w:type="dxa"/>
            </w:tcMar>
            <w:vAlign w:val="center"/>
          </w:tcPr>
          <w:p>
            <w:r>
              <w:rPr>
                <w:rFonts w:ascii="Calibri" w:hAnsi="Calibri"/>
                <w:color w:val="1E293B"/>
                <w:sz w:val="18"/>
              </w:rPr>
              <w:t>Candidate</w:t>
            </w:r>
          </w:p>
        </w:tc>
        <w:tc>
          <w:tcPr>
            <w:tcW w:type="dxa" w:w="6760"/>
            <w:tcMar>
              <w:top w:w="90" w:type="dxa"/>
              <w:start w:w="120" w:type="dxa"/>
              <w:bottom w:w="90" w:type="dxa"/>
              <w:end w:w="120" w:type="dxa"/>
            </w:tcMar>
            <w:vAlign w:val="center"/>
          </w:tcPr>
          <w:p>
            <w:r>
              <w:rPr>
                <w:rFonts w:ascii="Calibri" w:hAnsi="Calibri"/>
                <w:color w:val="1E293B"/>
                <w:sz w:val="18"/>
              </w:rPr>
              <w:t>A trained model version that is not yet active.</w:t>
            </w:r>
          </w:p>
        </w:tc>
      </w:tr>
      <w:tr>
        <w:tc>
          <w:tcPr>
            <w:tcW w:type="dxa" w:w="2600"/>
            <w:shd w:fill="F7FAFF"/>
            <w:tcMar>
              <w:top w:w="90" w:type="dxa"/>
              <w:start w:w="120" w:type="dxa"/>
              <w:bottom w:w="90" w:type="dxa"/>
              <w:end w:w="120" w:type="dxa"/>
            </w:tcMar>
            <w:vAlign w:val="center"/>
          </w:tcPr>
          <w:p>
            <w:r>
              <w:rPr>
                <w:rFonts w:ascii="Calibri" w:hAnsi="Calibri"/>
                <w:color w:val="1E293B"/>
                <w:sz w:val="18"/>
              </w:rPr>
              <w:t>Validation</w:t>
            </w:r>
          </w:p>
        </w:tc>
        <w:tc>
          <w:tcPr>
            <w:tcW w:type="dxa" w:w="6760"/>
            <w:shd w:fill="F7FAFF"/>
            <w:tcMar>
              <w:top w:w="90" w:type="dxa"/>
              <w:start w:w="120" w:type="dxa"/>
              <w:bottom w:w="90" w:type="dxa"/>
              <w:end w:w="120" w:type="dxa"/>
            </w:tcMar>
            <w:vAlign w:val="center"/>
          </w:tcPr>
          <w:p>
            <w:r>
              <w:rPr>
                <w:rFonts w:ascii="Calibri" w:hAnsi="Calibri"/>
                <w:color w:val="1E293B"/>
                <w:sz w:val="18"/>
              </w:rPr>
              <w:t>Evidence checks required before promotion.</w:t>
            </w:r>
          </w:p>
        </w:tc>
      </w:tr>
      <w:tr>
        <w:tc>
          <w:tcPr>
            <w:tcW w:type="dxa" w:w="2600"/>
            <w:tcMar>
              <w:top w:w="90" w:type="dxa"/>
              <w:start w:w="120" w:type="dxa"/>
              <w:bottom w:w="90" w:type="dxa"/>
              <w:end w:w="120" w:type="dxa"/>
            </w:tcMar>
            <w:vAlign w:val="center"/>
          </w:tcPr>
          <w:p>
            <w:r>
              <w:rPr>
                <w:rFonts w:ascii="Calibri" w:hAnsi="Calibri"/>
                <w:color w:val="1E293B"/>
                <w:sz w:val="18"/>
              </w:rPr>
              <w:t>STR</w:t>
            </w:r>
          </w:p>
        </w:tc>
        <w:tc>
          <w:tcPr>
            <w:tcW w:type="dxa" w:w="6760"/>
            <w:tcMar>
              <w:top w:w="90" w:type="dxa"/>
              <w:start w:w="120" w:type="dxa"/>
              <w:bottom w:w="90" w:type="dxa"/>
              <w:end w:w="120" w:type="dxa"/>
            </w:tcMar>
            <w:vAlign w:val="center"/>
          </w:tcPr>
          <w:p>
            <w:r>
              <w:rPr>
                <w:rFonts w:ascii="Calibri" w:hAnsi="Calibri"/>
                <w:color w:val="1E293B"/>
                <w:sz w:val="18"/>
              </w:rPr>
              <w:t>Suspicious Transaction Report; this system currently creates draft XML.</w:t>
            </w:r>
          </w:p>
        </w:tc>
      </w:tr>
    </w:tbl>
    <w:p>
      <w:pPr>
        <w:spacing w:after="0"/>
      </w:pPr>
    </w:p>
    <w:p>
      <w:pPr>
        <w:pStyle w:val="Heading1"/>
      </w:pPr>
      <w:r>
        <w:t>Final Picture to Remember</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Remember</w:t>
            </w:r>
          </w:p>
          <w:p>
            <w:pPr>
              <w:jc w:val="center"/>
            </w:pPr>
            <w:r>
              <w:rPr>
                <w:rFonts w:ascii="Calibri" w:hAnsi="Calibri"/>
                <w:color w:val="1E293B"/>
                <w:sz w:val="16"/>
              </w:rPr>
              <w:t>Store exact data and features</w:t>
            </w:r>
          </w:p>
        </w:tc>
        <w:tc>
          <w:tcPr>
            <w:tcW w:type="dxa" w:w="1872"/>
            <w:shd w:fill="F7FAFF"/>
            <w:tcMar>
              <w:top w:w="90" w:type="dxa"/>
              <w:start w:w="120" w:type="dxa"/>
              <w:bottom w:w="90" w:type="dxa"/>
              <w:end w:w="120" w:type="dxa"/>
            </w:tcMar>
            <w:vAlign w:val="center"/>
          </w:tcPr>
          <w:p>
            <w:pPr>
              <w:jc w:val="center"/>
            </w:pPr>
            <w:r>
              <w:rPr>
                <w:rFonts w:ascii="Calibri" w:hAnsi="Calibri"/>
                <w:b/>
                <w:color w:val="2563EB"/>
                <w:sz w:val="18"/>
              </w:rPr>
              <w:t>Understand</w:t>
            </w:r>
          </w:p>
          <w:p>
            <w:pPr>
              <w:jc w:val="center"/>
            </w:pPr>
            <w:r>
              <w:rPr>
                <w:rFonts w:ascii="Calibri" w:hAnsi="Calibri"/>
                <w:color w:val="1E293B"/>
                <w:sz w:val="16"/>
              </w:rPr>
              <w:t>Compare customer and peers</w:t>
            </w:r>
          </w:p>
        </w:tc>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Detect</w:t>
            </w:r>
          </w:p>
          <w:p>
            <w:pPr>
              <w:jc w:val="center"/>
            </w:pPr>
            <w:r>
              <w:rPr>
                <w:rFonts w:ascii="Calibri" w:hAnsi="Calibri"/>
                <w:color w:val="1E293B"/>
                <w:sz w:val="16"/>
              </w:rPr>
              <w:t>Rules + scalable ML</w:t>
            </w:r>
          </w:p>
        </w:tc>
        <w:tc>
          <w:tcPr>
            <w:tcW w:type="dxa" w:w="1872"/>
            <w:shd w:fill="F7FAFF"/>
            <w:tcMar>
              <w:top w:w="90" w:type="dxa"/>
              <w:start w:w="120" w:type="dxa"/>
              <w:bottom w:w="90" w:type="dxa"/>
              <w:end w:w="120" w:type="dxa"/>
            </w:tcMar>
            <w:vAlign w:val="center"/>
          </w:tcPr>
          <w:p>
            <w:pPr>
              <w:jc w:val="center"/>
            </w:pPr>
            <w:r>
              <w:rPr>
                <w:rFonts w:ascii="Calibri" w:hAnsi="Calibri"/>
                <w:b/>
                <w:color w:val="2563EB"/>
                <w:sz w:val="18"/>
              </w:rPr>
              <w:t>Control</w:t>
            </w:r>
          </w:p>
          <w:p>
            <w:pPr>
              <w:jc w:val="center"/>
            </w:pPr>
            <w:r>
              <w:rPr>
                <w:rFonts w:ascii="Calibri" w:hAnsi="Calibri"/>
                <w:color w:val="1E293B"/>
                <w:sz w:val="16"/>
              </w:rPr>
              <w:t>Validate, canary, rollback</w:t>
            </w:r>
          </w:p>
        </w:tc>
        <w:tc>
          <w:tcPr>
            <w:tcW w:type="dxa" w:w="1872"/>
            <w:shd w:fill="EAF2FF"/>
            <w:tcMar>
              <w:top w:w="90" w:type="dxa"/>
              <w:start w:w="120" w:type="dxa"/>
              <w:bottom w:w="90" w:type="dxa"/>
              <w:end w:w="120" w:type="dxa"/>
            </w:tcMar>
            <w:vAlign w:val="center"/>
          </w:tcPr>
          <w:p>
            <w:pPr>
              <w:jc w:val="center"/>
            </w:pPr>
            <w:r>
              <w:rPr>
                <w:rFonts w:ascii="Calibri" w:hAnsi="Calibri"/>
                <w:b/>
                <w:color w:val="2563EB"/>
                <w:sz w:val="18"/>
              </w:rPr>
              <w:t>Investigate</w:t>
            </w:r>
          </w:p>
          <w:p>
            <w:pPr>
              <w:jc w:val="center"/>
            </w:pPr>
            <w:r>
              <w:rPr>
                <w:rFonts w:ascii="Calibri" w:hAnsi="Calibri"/>
                <w:color w:val="1E293B"/>
                <w:sz w:val="16"/>
              </w:rPr>
              <w:t>Human case decision</w:t>
            </w:r>
          </w:p>
        </w:tc>
      </w:tr>
    </w:tbl>
    <w:p>
      <w:pPr>
        <w:spacing w:after="0"/>
      </w:pPr>
    </w:p>
    <w:p>
      <w:r>
        <w:rPr>
          <w:rFonts w:ascii="Calibri" w:hAnsi="Calibri"/>
          <w:color w:val="1E293B"/>
        </w:rPr>
        <w:t>The system solves the problem by separating concerns. Research models answer how behaviour changes as data grows. Scalable production components score transactions. Governance controls model change. SQL preserves evidence. Human reviewers make the final investigation decision. This separation is what makes the project understandable, safer, and capable of growing toward bank-scale operation.</w:t>
      </w:r>
    </w:p>
    <w:sectPr w:rsidR="00FC693F" w:rsidRPr="0006063C" w:rsidSect="00034616">
      <w:headerReference w:type="default" r:id="rId9"/>
      <w:footerReference w:type="default" r:id="rId10"/>
      <w:pgSz w:w="12240" w:h="15840"/>
      <w:pgMar w:top="1181" w:right="1238" w:bottom="1080" w:left="1238"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4748B"/>
        <w:sz w:val="17"/>
      </w:rPr>
      <w:t>AML System Explained Simply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F2747"/>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0F27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