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60"/>
        <w:jc w:val="center"/>
      </w:pPr>
      <w:r>
        <w:rPr>
          <w:rFonts w:ascii="Calibri" w:hAnsi="Calibri"/>
          <w:b/>
          <w:color w:val="2563EB"/>
          <w:sz w:val="20"/>
        </w:rPr>
        <w:t>OPERATIONAL HANDBOOK</w:t>
      </w:r>
    </w:p>
    <w:p>
      <w:pPr>
        <w:spacing w:after="200"/>
        <w:jc w:val="center"/>
      </w:pPr>
      <w:r>
        <w:rPr>
          <w:rFonts w:ascii="Calibri" w:hAnsi="Calibri"/>
          <w:b/>
          <w:color w:val="0F2747"/>
          <w:sz w:val="60"/>
        </w:rPr>
        <w:t>Fraud Transaction Detector - Full User Guide</w:t>
      </w:r>
    </w:p>
    <w:p>
      <w:pPr>
        <w:spacing w:after="560"/>
        <w:jc w:val="center"/>
      </w:pPr>
      <w:r>
        <w:rPr>
          <w:rFonts w:ascii="Calibri" w:hAnsi="Calibri"/>
          <w:color w:val="64748B"/>
          <w:sz w:val="28"/>
        </w:rPr>
        <w:t>Step-by-step operation of transaction intake, model comparison, governed training, and case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9"/>
              </w:rPr>
              <w:t>Administrators, AML analysts, reviewers, operators, and project evaluators</w:t>
            </w:r>
          </w:p>
        </w:tc>
      </w:tr>
      <w:t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7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9"/>
              </w:rPr>
              <w:t>1.0</w:t>
            </w:r>
          </w:p>
        </w:tc>
      </w:tr>
      <w:t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Prepared</w:t>
            </w:r>
          </w:p>
        </w:tc>
        <w:tc>
          <w:tcPr>
            <w:tcW w:type="dxa" w:w="7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9"/>
              </w:rPr>
              <w:t>August 04, 2026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b/>
          <w:color w:val="0F2747"/>
          <w:sz w:val="20"/>
        </w:rPr>
        <w:t>Fraud Transaction Detector | AML Anomaly Intelligence Platform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rFonts w:ascii="Calibri" w:hAnsi="Calibri"/>
          <w:color w:val="1E293B"/>
        </w:rPr>
        <w:t>This guide explains how to start the application, navigate every available Angular page, run the offline model-comparison workflow, operate the bank-scale Half-Space Trees lifecycle, configure production safeguards, and investigate generated cases. It describes the current implementation as of the document date.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2400E"/>
              </w:rPr>
              <w:t xml:space="preserve">Important scope: </w:t>
            </w:r>
            <w:r>
              <w:rPr>
                <w:rFonts w:ascii="Calibri" w:hAnsi="Calibri"/>
                <w:color w:val="1E293B"/>
              </w:rPr>
              <w:t>The system identifies suspicious or anomalous transactions. It does not declare that fraud has been proven. A human reviewer remains responsible for the final case decision.</w:t>
            </w:r>
          </w:p>
        </w:tc>
      </w:tr>
    </w:tbl>
    <w:p>
      <w:pPr>
        <w:spacing w:after="0"/>
      </w:pPr>
    </w:p>
    <w:p>
      <w:pPr>
        <w:pStyle w:val="Heading2"/>
      </w:pPr>
      <w:r>
        <w:t>Contents</w:t>
      </w:r>
    </w:p>
    <w:p>
      <w:pPr>
        <w:pStyle w:val="ListBullet"/>
      </w:pPr>
      <w:r>
        <w:rPr>
          <w:rFonts w:ascii="Calibri" w:hAnsi="Calibri"/>
          <w:color w:val="1E293B"/>
        </w:rPr>
        <w:t>1. System overview and roles</w:t>
      </w:r>
    </w:p>
    <w:p>
      <w:pPr>
        <w:pStyle w:val="ListBullet"/>
      </w:pPr>
      <w:r>
        <w:rPr>
          <w:rFonts w:ascii="Calibri" w:hAnsi="Calibri"/>
          <w:color w:val="1E293B"/>
        </w:rPr>
        <w:t>2. Installation prerequisites and startup</w:t>
      </w:r>
    </w:p>
    <w:p>
      <w:pPr>
        <w:pStyle w:val="ListBullet"/>
      </w:pPr>
      <w:r>
        <w:rPr>
          <w:rFonts w:ascii="Calibri" w:hAnsi="Calibri"/>
          <w:color w:val="1E293B"/>
        </w:rPr>
        <w:t>3. Authentication and navigation</w:t>
      </w:r>
    </w:p>
    <w:p>
      <w:pPr>
        <w:pStyle w:val="ListBullet"/>
      </w:pPr>
      <w:r>
        <w:rPr>
          <w:rFonts w:ascii="Calibri" w:hAnsi="Calibri"/>
          <w:color w:val="1E293B"/>
        </w:rPr>
        <w:t>4. Uploading transaction data</w:t>
      </w:r>
    </w:p>
    <w:p>
      <w:pPr>
        <w:pStyle w:val="ListBullet"/>
      </w:pPr>
      <w:r>
        <w:rPr>
          <w:rFonts w:ascii="Calibri" w:hAnsi="Calibri"/>
          <w:color w:val="1E293B"/>
        </w:rPr>
        <w:t>5. Comparing anomaly models as data grows</w:t>
      </w:r>
    </w:p>
    <w:p>
      <w:pPr>
        <w:pStyle w:val="ListBullet"/>
      </w:pPr>
      <w:r>
        <w:rPr>
          <w:rFonts w:ascii="Calibri" w:hAnsi="Calibri"/>
          <w:color w:val="1E293B"/>
        </w:rPr>
        <w:t>6. Operating governed incremental training</w:t>
      </w:r>
    </w:p>
    <w:p>
      <w:pPr>
        <w:pStyle w:val="ListBullet"/>
      </w:pPr>
      <w:r>
        <w:rPr>
          <w:rFonts w:ascii="Calibri" w:hAnsi="Calibri"/>
          <w:color w:val="1E293B"/>
        </w:rPr>
        <w:t>7. Validating, promoting, and rolling back models</w:t>
      </w:r>
    </w:p>
    <w:p>
      <w:pPr>
        <w:pStyle w:val="ListBullet"/>
      </w:pPr>
      <w:r>
        <w:rPr>
          <w:rFonts w:ascii="Calibri" w:hAnsi="Calibri"/>
          <w:color w:val="1E293B"/>
        </w:rPr>
        <w:t>8. Model tuning, anomaly configuration, and cold start</w:t>
      </w:r>
    </w:p>
    <w:p>
      <w:pPr>
        <w:pStyle w:val="ListBullet"/>
      </w:pPr>
      <w:r>
        <w:rPr>
          <w:rFonts w:ascii="Calibri" w:hAnsi="Calibri"/>
          <w:color w:val="1E293B"/>
        </w:rPr>
        <w:t>9. Case management and STR XML generation</w:t>
      </w:r>
    </w:p>
    <w:p>
      <w:pPr>
        <w:pStyle w:val="ListBullet"/>
      </w:pPr>
      <w:r>
        <w:rPr>
          <w:rFonts w:ascii="Calibri" w:hAnsi="Calibri"/>
          <w:color w:val="1E293B"/>
        </w:rPr>
        <w:t>10. Daily operating procedure, troubleshooting, and glossary</w:t>
      </w:r>
    </w:p>
    <w:p>
      <w:pPr>
        <w:pStyle w:val="Heading1"/>
      </w:pPr>
      <w:r>
        <w:t>1. System Overview and User Roles</w:t>
      </w:r>
    </w:p>
    <w:p>
      <w:r>
        <w:rPr>
          <w:rFonts w:ascii="Calibri" w:hAnsi="Calibri"/>
          <w:color w:val="1E293B"/>
        </w:rPr>
        <w:t>The application consists of an Angular user interface, one Spring Boot modular-monolith backend, a Python FastAPI machine-learning service, and Microsoft SQL Server. Users work only through Angular or the Spring API. Spring owns database access and business decisions; Python owns model training and scoring.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Angular</w:t>
            </w:r>
          </w:p>
          <w:p>
            <w:pPr>
              <w:jc w:val="center"/>
            </w:pPr>
            <w:r>
              <w:rPr>
                <w:rFonts w:ascii="Calibri" w:hAnsi="Calibri"/>
                <w:color w:val="1E293B"/>
                <w:sz w:val="16"/>
              </w:rPr>
              <w:t>Port 4200</w:t>
              <w:br/>
              <w:t>User interface</w:t>
            </w:r>
          </w:p>
        </w:tc>
        <w:tc>
          <w:tcPr>
            <w:tcW w:type="dxa" w:w="234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Spring Boot</w:t>
            </w:r>
          </w:p>
          <w:p>
            <w:pPr>
              <w:jc w:val="center"/>
            </w:pPr>
            <w:r>
              <w:rPr>
                <w:rFonts w:ascii="Calibri" w:hAnsi="Calibri"/>
                <w:color w:val="1E293B"/>
                <w:sz w:val="16"/>
              </w:rPr>
              <w:t>Port 8080</w:t>
              <w:br/>
              <w:t>Business and database layer</w:t>
            </w:r>
          </w:p>
        </w:tc>
        <w:tc>
          <w:tcPr>
            <w:tcW w:type="dxa" w:w="234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FastAPI</w:t>
            </w:r>
          </w:p>
          <w:p>
            <w:pPr>
              <w:jc w:val="center"/>
            </w:pPr>
            <w:r>
              <w:rPr>
                <w:rFonts w:ascii="Calibri" w:hAnsi="Calibri"/>
                <w:color w:val="1E293B"/>
                <w:sz w:val="16"/>
              </w:rPr>
              <w:t>Port 8000</w:t>
              <w:br/>
              <w:t>ML training and scoring</w:t>
            </w:r>
          </w:p>
        </w:tc>
        <w:tc>
          <w:tcPr>
            <w:tcW w:type="dxa" w:w="234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SQL Server</w:t>
            </w:r>
          </w:p>
          <w:p>
            <w:pPr>
              <w:jc w:val="center"/>
            </w:pPr>
            <w:r>
              <w:rPr>
                <w:rFonts w:ascii="Calibri" w:hAnsi="Calibri"/>
                <w:color w:val="1E293B"/>
                <w:sz w:val="16"/>
              </w:rPr>
              <w:t>Transactions, cases, configuration, audit</w:t>
            </w:r>
          </w:p>
        </w:tc>
      </w:tr>
    </w:tbl>
    <w:p>
      <w:pPr>
        <w:spacing w:after="0"/>
      </w:pPr>
    </w:p>
    <w:p>
      <w:pPr>
        <w:pStyle w:val="Heading2"/>
      </w:pPr>
      <w:r>
        <w:t>User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700"/>
        <w:gridCol w:w="3060"/>
      </w:tblGrid>
      <w:tr>
        <w:trPr>
          <w:tblHeader w:val="true"/>
        </w:trPr>
        <w:tc>
          <w:tcPr>
            <w:tcW w:type="dxa" w:w="16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Primary responsibilities</w:t>
            </w:r>
          </w:p>
        </w:tc>
        <w:tc>
          <w:tcPr>
            <w:tcW w:type="dxa" w:w="30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Restricted functions</w:t>
            </w:r>
          </w:p>
        </w:tc>
      </w:tr>
      <w:tr>
        <w:tc>
          <w:tcPr>
            <w:tcW w:type="dxa" w:w="1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REVIEWER</w:t>
            </w:r>
          </w:p>
        </w:tc>
        <w:tc>
          <w:tcPr>
            <w:tcW w:type="dxa" w:w="47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Review cases, inspect model evidence, add notes, mark false positive, generate STR XML, create manual cases.</w:t>
            </w:r>
          </w:p>
        </w:tc>
        <w:tc>
          <w:tcPr>
            <w:tcW w:type="dxa" w:w="30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Cannot access administrator configuration and training-operation pages.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ANALYST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Operational review and investigation where assigned by deployment policy.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Administrator-only model controls remain unavailable.</w:t>
            </w:r>
          </w:p>
        </w:tc>
      </w:tr>
      <w:tr>
        <w:tc>
          <w:tcPr>
            <w:tcW w:type="dxa" w:w="1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 / AML_ADMIN</w:t>
            </w:r>
          </w:p>
        </w:tc>
        <w:tc>
          <w:tcPr>
            <w:tcW w:type="dxa" w:w="47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All reviewer functions plus training operations, tuning, anomaly configuration, cold-start configuration, validation, promotion, and rollback.</w:t>
            </w:r>
          </w:p>
        </w:tc>
        <w:tc>
          <w:tcPr>
            <w:tcW w:type="dxa" w:w="30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Every governed deployment action requires an audit reason.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563EB"/>
              </w:rPr>
              <w:t xml:space="preserve">Registration security: </w:t>
            </w:r>
            <w:r>
              <w:rPr>
                <w:rFonts w:ascii="Calibri" w:hAnsi="Calibri"/>
                <w:color w:val="1E293B"/>
              </w:rPr>
              <w:t>Self-registration always creates a REVIEWER account. Administrative roles must be assigned through a controlled administrative/database process; they cannot be selected on the public registration page.</w:t>
            </w:r>
          </w:p>
        </w:tc>
      </w:tr>
    </w:tbl>
    <w:p>
      <w:pPr>
        <w:spacing w:after="0"/>
      </w:pPr>
    </w:p>
    <w:p>
      <w:pPr>
        <w:pStyle w:val="Heading1"/>
      </w:pPr>
      <w:r>
        <w:t>2. Prerequisites and Startup</w:t>
      </w:r>
    </w:p>
    <w:p>
      <w:pPr>
        <w:pStyle w:val="Heading2"/>
      </w:pPr>
      <w:r>
        <w:t>Required software and services</w:t>
      </w:r>
    </w:p>
    <w:p>
      <w:pPr>
        <w:pStyle w:val="ListBullet"/>
      </w:pPr>
      <w:r>
        <w:rPr>
          <w:rFonts w:ascii="Calibri" w:hAnsi="Calibri"/>
          <w:color w:val="1E293B"/>
        </w:rPr>
        <w:t>Microsoft SQL Server with the fraud-transaction-detector database and all applicable migration scripts already executed.</w:t>
      </w:r>
    </w:p>
    <w:p>
      <w:pPr>
        <w:pStyle w:val="ListBullet"/>
      </w:pPr>
      <w:r>
        <w:rPr>
          <w:rFonts w:ascii="Calibri" w:hAnsi="Calibri"/>
          <w:color w:val="1E293B"/>
        </w:rPr>
        <w:t>Java 17 and Maven for the Spring Boot application.</w:t>
      </w:r>
    </w:p>
    <w:p>
      <w:pPr>
        <w:pStyle w:val="ListBullet"/>
      </w:pPr>
      <w:r>
        <w:rPr>
          <w:rFonts w:ascii="Calibri" w:hAnsi="Calibri"/>
          <w:color w:val="1E293B"/>
        </w:rPr>
        <w:t>Python virtual environment with dependencies from fraud-ml-service/requirements.txt.</w:t>
      </w:r>
    </w:p>
    <w:p>
      <w:pPr>
        <w:pStyle w:val="ListBullet"/>
      </w:pPr>
      <w:r>
        <w:rPr>
          <w:rFonts w:ascii="Calibri" w:hAnsi="Calibri"/>
          <w:color w:val="1E293B"/>
        </w:rPr>
        <w:t>Node.js, npm, and Angular dependencies for fraud-transaction-ui.</w:t>
      </w:r>
    </w:p>
    <w:p>
      <w:pPr>
        <w:pStyle w:val="ListBullet"/>
      </w:pPr>
      <w:r>
        <w:rPr>
          <w:rFonts w:ascii="Calibri" w:hAnsi="Calibri"/>
          <w:color w:val="1E293B"/>
        </w:rPr>
        <w:t>Ports 1433, 8000, 8080, and 4200 available locally, unless configuration is changed.</w:t>
      </w:r>
    </w:p>
    <w:p>
      <w:pPr>
        <w:pStyle w:val="Heading2"/>
      </w:pPr>
      <w:r>
        <w:t>Recommended startup order</w:t>
      </w:r>
    </w:p>
    <w:p>
      <w:pPr>
        <w:pStyle w:val="ListNumber"/>
      </w:pPr>
      <w:r>
        <w:rPr>
          <w:rFonts w:ascii="Calibri" w:hAnsi="Calibri"/>
          <w:color w:val="1E293B"/>
        </w:rPr>
        <w:t>Start SQL Server and verify that the fraud-transaction-detector database is reachable.</w:t>
      </w:r>
    </w:p>
    <w:p>
      <w:pPr>
        <w:pStyle w:val="ListNumber"/>
      </w:pPr>
      <w:r>
        <w:rPr>
          <w:rFonts w:ascii="Calibri" w:hAnsi="Calibri"/>
          <w:color w:val="1E293B"/>
        </w:rPr>
        <w:t>Start the Python ML service on port 8000.</w:t>
      </w:r>
    </w:p>
    <w:p>
      <w:pPr>
        <w:pStyle w:val="ListNumber"/>
      </w:pPr>
      <w:r>
        <w:rPr>
          <w:rFonts w:ascii="Calibri" w:hAnsi="Calibri"/>
          <w:color w:val="1E293B"/>
        </w:rPr>
        <w:t>Start the Spring Boot application on port 8080.</w:t>
      </w:r>
    </w:p>
    <w:p>
      <w:pPr>
        <w:pStyle w:val="ListNumber"/>
      </w:pPr>
      <w:r>
        <w:rPr>
          <w:rFonts w:ascii="Calibri" w:hAnsi="Calibri"/>
          <w:color w:val="1E293B"/>
        </w:rPr>
        <w:t>Start the Angular development server on port 4200.</w:t>
      </w:r>
    </w:p>
    <w:p>
      <w:pPr>
        <w:pStyle w:val="ListNumber"/>
      </w:pPr>
      <w:r>
        <w:rPr>
          <w:rFonts w:ascii="Calibri" w:hAnsi="Calibri"/>
          <w:color w:val="1E293B"/>
        </w:rPr>
        <w:t>Open http://localhost:4200 and sign in.</w:t>
      </w:r>
    </w:p>
    <w:p>
      <w:pPr>
        <w:pStyle w:val="Heading2"/>
      </w:pPr>
      <w:r>
        <w:t>Commands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0F2747"/>
                <w:sz w:val="17"/>
              </w:rPr>
              <w:t># Terminal 1 - Python ML service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cd fraud-ml-service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.\.venv\Scripts\python.exe -m uvicorn app.main:app --host 0.0.0.0 --port 8000 --reload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# Terminal 2 - Spring Boot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cd fraud-transaction-detector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mvn spring-boot:run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# Terminal 3 - Angular UI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cd fraud-transaction-ui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npm install   # first run or after dependency changes</w:t>
            </w:r>
            <w:r>
              <w:br/>
            </w:r>
            <w:r>
              <w:rPr>
                <w:rFonts w:ascii="Consolas" w:hAnsi="Consolas"/>
                <w:color w:val="0F2747"/>
                <w:sz w:val="17"/>
              </w:rPr>
              <w:t>npm start</w:t>
            </w:r>
          </w:p>
        </w:tc>
      </w:tr>
    </w:tbl>
    <w:p>
      <w:pPr>
        <w:pStyle w:val="Heading2"/>
      </w:pPr>
      <w:r>
        <w:t>Startup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5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If it fails</w:t>
            </w:r>
          </w:p>
        </w:tc>
      </w:tr>
      <w:tr>
        <w:tc>
          <w:tcPr>
            <w:tcW w:type="dxa" w:w="25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http://localhost:8080/health</w:t>
            </w:r>
          </w:p>
        </w:tc>
        <w:tc>
          <w:tcPr>
            <w:tcW w:type="dxa" w:w="33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status = UP and modular-monolith architecture</w:t>
            </w:r>
          </w:p>
        </w:tc>
        <w:tc>
          <w:tcPr>
            <w:tcW w:type="dxa" w:w="3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Check Java logs, database connectivity, and port 8080.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http://localhost:8000/docs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FastAPI OpenAPI page loads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Check the Python virtual environment and requirements.</w:t>
            </w:r>
          </w:p>
        </w:tc>
      </w:tr>
      <w:tr>
        <w:tc>
          <w:tcPr>
            <w:tcW w:type="dxa" w:w="25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http://localhost:4200</w:t>
            </w:r>
          </w:p>
        </w:tc>
        <w:tc>
          <w:tcPr>
            <w:tcW w:type="dxa" w:w="33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Login page loads on a white interface</w:t>
            </w:r>
          </w:p>
        </w:tc>
        <w:tc>
          <w:tcPr>
            <w:tcW w:type="dxa" w:w="3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Check npm output and browser console.</w:t>
            </w:r>
          </w:p>
        </w:tc>
      </w:tr>
    </w:tbl>
    <w:p>
      <w:pPr>
        <w:spacing w:after="0"/>
      </w:pPr>
    </w:p>
    <w:p>
      <w:pPr>
        <w:pStyle w:val="Heading1"/>
      </w:pPr>
      <w:r>
        <w:t>3. Authentication and Navigation</w:t>
      </w:r>
    </w:p>
    <w:p>
      <w:pPr>
        <w:pStyle w:val="Heading2"/>
      </w:pPr>
      <w:r>
        <w:t>Create a reviewer account</w:t>
      </w:r>
    </w:p>
    <w:p>
      <w:pPr>
        <w:pStyle w:val="ListNumber"/>
      </w:pPr>
      <w:r>
        <w:rPr>
          <w:rFonts w:ascii="Calibri" w:hAnsi="Calibri"/>
          <w:color w:val="1E293B"/>
        </w:rPr>
        <w:t>Open the Register page from the login screen.</w:t>
      </w:r>
    </w:p>
    <w:p>
      <w:pPr>
        <w:pStyle w:val="ListNumber"/>
      </w:pPr>
      <w:r>
        <w:rPr>
          <w:rFonts w:ascii="Calibri" w:hAnsi="Calibri"/>
          <w:color w:val="1E293B"/>
        </w:rPr>
        <w:t>Enter full name, username, and a password of at least six characters.</w:t>
      </w:r>
    </w:p>
    <w:p>
      <w:pPr>
        <w:pStyle w:val="ListNumber"/>
      </w:pPr>
      <w:r>
        <w:rPr>
          <w:rFonts w:ascii="Calibri" w:hAnsi="Calibri"/>
          <w:color w:val="1E293B"/>
        </w:rPr>
        <w:t>Select Create account. The account is created with the REVIEWER role.</w:t>
      </w:r>
    </w:p>
    <w:p>
      <w:pPr>
        <w:pStyle w:val="ListNumber"/>
      </w:pPr>
      <w:r>
        <w:rPr>
          <w:rFonts w:ascii="Calibri" w:hAnsi="Calibri"/>
          <w:color w:val="1E293B"/>
        </w:rPr>
        <w:t>Return to the Login page and sign in with the new credentials.</w:t>
      </w:r>
    </w:p>
    <w:p>
      <w:pPr>
        <w:pStyle w:val="Heading2"/>
      </w:pPr>
      <w:r>
        <w:t>Sign in and sign out</w:t>
      </w:r>
    </w:p>
    <w:p>
      <w:r>
        <w:rPr>
          <w:rFonts w:ascii="Calibri" w:hAnsi="Calibri"/>
          <w:color w:val="1E293B"/>
        </w:rPr>
        <w:t>On successful login, the browser stores the JWT and current-user information locally for the active session. Use the sign-out icon at the bottom of the side menu to clear the session. If the token expires, sign in again.</w:t>
      </w:r>
    </w:p>
    <w:p>
      <w:pPr>
        <w:pStyle w:val="Heading2"/>
      </w:pPr>
      <w:r>
        <w:t>Side-menu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480"/>
        <w:gridCol w:w="2080"/>
      </w:tblGrid>
      <w:tr>
        <w:trPr>
          <w:tblHeader w:val="true"/>
        </w:trP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548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08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Upload Data</w:t>
            </w:r>
          </w:p>
        </w:tc>
        <w:tc>
          <w:tcPr>
            <w:tcW w:type="dxa" w:w="54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Import Excel or CSV transaction files.</w:t>
            </w:r>
          </w:p>
        </w:tc>
        <w:tc>
          <w:tcPr>
            <w:tcW w:type="dxa" w:w="20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Train Models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Create a database snapshot and compare five offline anomaly models across 10%, 25%, 50%, and 100% chronological partitions.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Model Governance</w:t>
            </w:r>
          </w:p>
        </w:tc>
        <w:tc>
          <w:tcPr>
            <w:tcW w:type="dxa" w:w="54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Review HST registry entries, validation evidence, active pointers, and deployment history.</w:t>
            </w:r>
          </w:p>
        </w:tc>
        <w:tc>
          <w:tcPr>
            <w:tcW w:type="dxa" w:w="20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Authenticated; actions are admin-only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Training Operations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Close business days, create immutable windows, export Parquet data, and train HST candidates.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 / AML_ADMIN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Case Management</w:t>
            </w:r>
          </w:p>
        </w:tc>
        <w:tc>
          <w:tcPr>
            <w:tcW w:type="dxa" w:w="54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Review generated cases, evidence, notes, and final actions.</w:t>
            </w:r>
          </w:p>
        </w:tc>
        <w:tc>
          <w:tcPr>
            <w:tcW w:type="dxa" w:w="20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Manual Case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Search transactions and create a case on demand.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Authenticated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Model Tuning</w:t>
            </w:r>
          </w:p>
        </w:tc>
        <w:tc>
          <w:tcPr>
            <w:tcW w:type="dxa" w:w="54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Edit model-search and optimization configuration.</w:t>
            </w:r>
          </w:p>
        </w:tc>
        <w:tc>
          <w:tcPr>
            <w:tcW w:type="dxa" w:w="20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 / AML_ADMIN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Anomaly Config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Configure the production batch fallback and its case threshold.</w:t>
            </w:r>
          </w:p>
        </w:tc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 / AML_ADMIN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Cold Start</w:t>
            </w:r>
          </w:p>
        </w:tc>
        <w:tc>
          <w:tcPr>
            <w:tcW w:type="dxa" w:w="54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Configure behavior for accounts with insufficient transaction history.</w:t>
            </w:r>
          </w:p>
        </w:tc>
        <w:tc>
          <w:tcPr>
            <w:tcW w:type="dxa" w:w="208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ADMIN / AML_ADMIN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E293B"/>
        </w:rPr>
        <w:t>The side menu is collapsible on desktop and becomes a toggleable mobile menu on smaller screens.</w:t>
      </w:r>
    </w:p>
    <w:p>
      <w:pPr>
        <w:pStyle w:val="Heading1"/>
      </w:pPr>
      <w:r>
        <w:t>4. Uploading Transaction Data</w:t>
      </w:r>
    </w:p>
    <w:p>
      <w:pPr>
        <w:pStyle w:val="Heading2"/>
      </w:pPr>
      <w:r>
        <w:t>Upload workflow</w:t>
      </w:r>
    </w:p>
    <w:p>
      <w:pPr>
        <w:pStyle w:val="ListNumber"/>
      </w:pPr>
      <w:r>
        <w:rPr>
          <w:rFonts w:ascii="Calibri" w:hAnsi="Calibri"/>
          <w:color w:val="1E293B"/>
        </w:rPr>
        <w:t>Open Upload Data.</w:t>
      </w:r>
    </w:p>
    <w:p>
      <w:pPr>
        <w:pStyle w:val="ListNumber"/>
      </w:pPr>
      <w:r>
        <w:rPr>
          <w:rFonts w:ascii="Calibri" w:hAnsi="Calibri"/>
          <w:color w:val="1E293B"/>
        </w:rPr>
        <w:t>Choose an Excel or CSV file containing transaction records.</w:t>
      </w:r>
    </w:p>
    <w:p>
      <w:pPr>
        <w:pStyle w:val="ListNumber"/>
      </w:pPr>
      <w:r>
        <w:rPr>
          <w:rFonts w:ascii="Calibri" w:hAnsi="Calibri"/>
          <w:color w:val="1E293B"/>
        </w:rPr>
        <w:t>Confirm the selected filename and select Upload.</w:t>
      </w:r>
    </w:p>
    <w:p>
      <w:pPr>
        <w:pStyle w:val="ListNumber"/>
      </w:pPr>
      <w:r>
        <w:rPr>
          <w:rFonts w:ascii="Calibri" w:hAnsi="Calibri"/>
          <w:color w:val="1E293B"/>
        </w:rPr>
        <w:t>Wait for the success popup. Review the returned success and failure counts if present.</w:t>
      </w:r>
    </w:p>
    <w:p>
      <w:pPr>
        <w:pStyle w:val="ListNumber"/>
      </w:pPr>
      <w:r>
        <w:rPr>
          <w:rFonts w:ascii="Calibri" w:hAnsi="Calibri"/>
          <w:color w:val="1E293B"/>
        </w:rPr>
        <w:t>Correct rejected rows in the source file and upload a corrected batch if necessary.</w:t>
      </w:r>
    </w:p>
    <w:p>
      <w:pPr>
        <w:pStyle w:val="Heading2"/>
      </w:pPr>
      <w:r>
        <w:t>Expected transaction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32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Representative fields</w:t>
            </w:r>
          </w:p>
        </w:tc>
        <w:tc>
          <w:tcPr>
            <w:tcW w:type="dxa" w:w="43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Identity</w:t>
            </w:r>
          </w:p>
        </w:tc>
        <w:tc>
          <w:tcPr>
            <w:tcW w:type="dxa" w:w="3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TransactionID, AccountID</w:t>
            </w:r>
          </w:p>
        </w:tc>
        <w:tc>
          <w:tcPr>
            <w:tcW w:type="dxa" w:w="43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Links transactions, accounts, predictions, alerts, and cases.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Transaction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TransactionAmount, TransactionDate, TransactionType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Core behavioral and chronological features.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Context</w:t>
            </w:r>
          </w:p>
        </w:tc>
        <w:tc>
          <w:tcPr>
            <w:tcW w:type="dxa" w:w="3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Location, Channel, LoginAttempts</w:t>
            </w:r>
          </w:p>
        </w:tc>
        <w:tc>
          <w:tcPr>
            <w:tcW w:type="dxa" w:w="43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Location-change, channel, and access-risk signals.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Customer/account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CustomerAge, CustomerOccupation, AccountBalance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Peer, demographic, and amount-to-balance context.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History</w:t>
            </w:r>
          </w:p>
        </w:tc>
        <w:tc>
          <w:tcPr>
            <w:tcW w:type="dxa" w:w="3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PreviousTransactionDate</w:t>
            </w:r>
          </w:p>
        </w:tc>
        <w:tc>
          <w:tcPr>
            <w:tcW w:type="dxa" w:w="43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Time-gap and behavioral history context when supplied.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</w:rPr>
              <w:t xml:space="preserve">Operational behavior: </w:t>
            </w:r>
            <w:r>
              <w:rPr>
                <w:rFonts w:ascii="Calibri" w:hAnsi="Calibri"/>
                <w:color w:val="1E293B"/>
              </w:rPr>
              <w:t>Uploading data and training are intentionally separate. Data may arrive through file upload or API ingestion; training can run later after business hours against transactions already stored in SQL Server.</w:t>
            </w:r>
          </w:p>
        </w:tc>
      </w:tr>
    </w:tbl>
    <w:p>
      <w:pPr>
        <w:spacing w:after="0"/>
      </w:pPr>
    </w:p>
    <w:p>
      <w:pPr>
        <w:pStyle w:val="Heading1"/>
      </w:pPr>
      <w:r>
        <w:t>5. Comparing Anomaly Models as Data Grows</w:t>
      </w:r>
    </w:p>
    <w:p>
      <w:r>
        <w:rPr>
          <w:rFonts w:ascii="Calibri" w:hAnsi="Calibri"/>
          <w:color w:val="1E293B"/>
        </w:rPr>
        <w:t>This is the primary academic and analytical feature. The Train Models page snapshots currently available database transactions, orders them from oldest to newest by transaction_date, and evaluates the same five models as the training population grows.</w:t>
      </w:r>
    </w:p>
    <w:p>
      <w:pPr>
        <w:pStyle w:val="Heading2"/>
      </w:pPr>
      <w:r>
        <w:t>Run a comparison</w:t>
      </w:r>
    </w:p>
    <w:p>
      <w:pPr>
        <w:pStyle w:val="ListNumber"/>
      </w:pPr>
      <w:r>
        <w:rPr>
          <w:rFonts w:ascii="Calibri" w:hAnsi="Calibri"/>
          <w:color w:val="1E293B"/>
        </w:rPr>
        <w:t>Open Train Models. The page initially shows only the training action and explanatory text.</w:t>
      </w:r>
    </w:p>
    <w:p>
      <w:pPr>
        <w:pStyle w:val="ListNumber"/>
      </w:pPr>
      <w:r>
        <w:rPr>
          <w:rFonts w:ascii="Calibri" w:hAnsi="Calibri"/>
          <w:color w:val="1E293B"/>
        </w:rPr>
        <w:t>Select Train. No new upload is required; the system creates a database snapshot from stored transactions.</w:t>
      </w:r>
    </w:p>
    <w:p>
      <w:pPr>
        <w:pStyle w:val="ListNumber"/>
      </w:pPr>
      <w:r>
        <w:rPr>
          <w:rFonts w:ascii="Calibri" w:hAnsi="Calibri"/>
          <w:color w:val="1E293B"/>
        </w:rPr>
        <w:t>The snapshot is divided into oldest 10%, 25%, 50%, and 100% partitions. A minimum of 200 rows is required.</w:t>
      </w:r>
    </w:p>
    <w:p>
      <w:pPr>
        <w:pStyle w:val="ListNumber"/>
      </w:pPr>
      <w:r>
        <w:rPr>
          <w:rFonts w:ascii="Calibri" w:hAnsi="Calibri"/>
          <w:color w:val="1E293B"/>
        </w:rPr>
        <w:t>The five offline models are trained sequentially for every available partition.</w:t>
      </w:r>
    </w:p>
    <w:p>
      <w:pPr>
        <w:pStyle w:val="ListNumber"/>
      </w:pPr>
      <w:r>
        <w:rPr>
          <w:rFonts w:ascii="Calibri" w:hAnsi="Calibri"/>
          <w:color w:val="1E293B"/>
        </w:rPr>
        <w:t>Monitor the progress label and wait for the Training complete popup.</w:t>
      </w:r>
    </w:p>
    <w:p>
      <w:pPr>
        <w:pStyle w:val="ListNumber"/>
      </w:pPr>
      <w:r>
        <w:rPr>
          <w:rFonts w:ascii="Calibri" w:hAnsi="Calibri"/>
          <w:color w:val="1E293B"/>
        </w:rPr>
        <w:t>Review the best-fit recommendation, model ranking, and every model's growth detail on the same page.</w:t>
      </w:r>
    </w:p>
    <w:p>
      <w:pPr>
        <w:pStyle w:val="Heading2"/>
      </w:pPr>
      <w:r>
        <w:t>Models in the research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7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detects</w:t>
            </w:r>
          </w:p>
        </w:tc>
        <w:tc>
          <w:tcPr>
            <w:tcW w:type="dxa" w:w="25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 position</w:t>
            </w:r>
          </w:p>
        </w:tc>
      </w:tr>
      <w:tr>
        <w:tc>
          <w:tcPr>
            <w:tcW w:type="dxa" w:w="21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Isolation Forest</w:t>
            </w:r>
          </w:p>
        </w:tc>
        <w:tc>
          <w:tcPr>
            <w:tcW w:type="dxa" w:w="47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Globally isolated observations through randomized tree partitions.</w:t>
            </w:r>
          </w:p>
        </w:tc>
        <w:tc>
          <w:tcPr>
            <w:tcW w:type="dxa" w:w="2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Production batch fallback and offline comparison.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Local Outlier Factor (LOF)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Points whose local density is substantially lower than their neighbors.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Offline/capped research only at bank scale.</w:t>
            </w:r>
          </w:p>
        </w:tc>
      </w:tr>
      <w:tr>
        <w:tc>
          <w:tcPr>
            <w:tcW w:type="dxa" w:w="21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One-Class SVM</w:t>
            </w:r>
          </w:p>
        </w:tc>
        <w:tc>
          <w:tcPr>
            <w:tcW w:type="dxa" w:w="47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learned boundary around normal observations.</w:t>
            </w:r>
          </w:p>
        </w:tc>
        <w:tc>
          <w:tcPr>
            <w:tcW w:type="dxa" w:w="2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Offline/capped research only; kernel training is not suitable for millions of rows.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Elliptic Envelope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Outliers relative to robust covariance assumptions.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Offline/capped research only; unsuitable for high-dimensional bank-scale production.</w:t>
            </w:r>
          </w:p>
        </w:tc>
      </w:tr>
      <w:tr>
        <w:tc>
          <w:tcPr>
            <w:tcW w:type="dxa" w:w="21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PCA Reconstruction</w:t>
            </w:r>
          </w:p>
        </w:tc>
        <w:tc>
          <w:tcPr>
            <w:tcW w:type="dxa" w:w="47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Observations poorly reconstructed by a lower-dimensional representation.</w:t>
            </w:r>
          </w:p>
        </w:tc>
        <w:tc>
          <w:tcPr>
            <w:tcW w:type="dxa" w:w="25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Offline research and diagnostic interpretation.</w:t>
            </w:r>
          </w:p>
        </w:tc>
      </w:tr>
    </w:tbl>
    <w:p>
      <w:pPr>
        <w:spacing w:after="0"/>
      </w:pPr>
    </w:p>
    <w:p>
      <w:pPr>
        <w:pStyle w:val="Heading2"/>
      </w:pPr>
      <w:r>
        <w:t>How to interpret the 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660"/>
        <w:gridCol w:w="1900"/>
      </w:tblGrid>
      <w:tr>
        <w:trPr>
          <w:tblHeader w:val="true"/>
        </w:trPr>
        <w:tc>
          <w:tcPr>
            <w:tcW w:type="dxa" w:w="18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6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19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Preferred direction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Proxy quality</w:t>
            </w:r>
          </w:p>
        </w:tc>
        <w:tc>
          <w:tcPr>
            <w:tcW w:type="dxa" w:w="5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Unsupervised separation quality on a common future holdout; it is not fraud accuracy.</w:t>
            </w:r>
          </w:p>
        </w:tc>
        <w:tc>
          <w:tcPr>
            <w:tcW w:type="dxa" w:w="19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Higher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Stability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Agreement under bootstrap/resampling and small data perturbations.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Higher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Rate control</w:t>
            </w:r>
          </w:p>
        </w:tc>
        <w:tc>
          <w:tcPr>
            <w:tcW w:type="dxa" w:w="5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How reasonably and consistently the model controls anomaly volume.</w:t>
            </w:r>
          </w:p>
        </w:tc>
        <w:tc>
          <w:tcPr>
            <w:tcW w:type="dxa" w:w="19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Higher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Fit score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0.50 x Proxy Quality + 0.35 x Stability + 0.15 x Rate Control, reported on a 0-100 scale.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Higher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Anomaly rate</w:t>
            </w:r>
          </w:p>
        </w:tc>
        <w:tc>
          <w:tcPr>
            <w:tcW w:type="dxa" w:w="5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Percentage of evaluated transactions classified as anomalous.</w:t>
            </w:r>
          </w:p>
        </w:tc>
        <w:tc>
          <w:tcPr>
            <w:tcW w:type="dxa" w:w="19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Context-dependent; extreme rates require review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Quality change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Difference between the earliest and full-data partition quality.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Stable or improving</w:t>
            </w:r>
          </w:p>
        </w:tc>
      </w:tr>
      <w:tr>
        <w:tc>
          <w:tcPr>
            <w:tcW w:type="dxa" w:w="18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Latency and artifact size</w:t>
            </w:r>
          </w:p>
        </w:tc>
        <w:tc>
          <w:tcPr>
            <w:tcW w:type="dxa" w:w="5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Operational cost per row and model storage footprint.</w:t>
            </w:r>
          </w:p>
        </w:tc>
        <w:tc>
          <w:tcPr>
            <w:tcW w:type="dxa" w:w="19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Lower, subject to quality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EF2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</w:rPr>
              <w:t xml:space="preserve">Do not report false accuracy: </w:t>
            </w:r>
            <w:r>
              <w:rPr>
                <w:rFonts w:ascii="Calibri" w:hAnsi="Calibri"/>
                <w:color w:val="1E293B"/>
              </w:rPr>
              <w:t>The source data has no complete confirmed-fraud label. Therefore, the comparison must not be described as accuracy, precision, recall, or F1 for the whole population. Those supervised measures become valid only after reliable reviewer labels exist.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interpretation sequence</w:t>
      </w:r>
    </w:p>
    <w:p>
      <w:pPr>
        <w:pStyle w:val="ListNumber"/>
      </w:pPr>
      <w:r>
        <w:rPr>
          <w:rFonts w:ascii="Calibri" w:hAnsi="Calibri"/>
          <w:color w:val="1E293B"/>
        </w:rPr>
        <w:t>Check whether quality improves, remains stable, or declines from 10% to 100%.</w:t>
      </w:r>
    </w:p>
    <w:p>
      <w:pPr>
        <w:pStyle w:val="ListNumber"/>
      </w:pPr>
      <w:r>
        <w:rPr>
          <w:rFonts w:ascii="Calibri" w:hAnsi="Calibri"/>
          <w:color w:val="1E293B"/>
        </w:rPr>
        <w:t>Reject a high-quality model if its resampling stability is poor.</w:t>
      </w:r>
    </w:p>
    <w:p>
      <w:pPr>
        <w:pStyle w:val="ListNumber"/>
      </w:pPr>
      <w:r>
        <w:rPr>
          <w:rFonts w:ascii="Calibri" w:hAnsi="Calibri"/>
          <w:color w:val="1E293B"/>
        </w:rPr>
        <w:t>Inspect anomaly rate and rate control so the model does not overwhelm investigators.</w:t>
      </w:r>
    </w:p>
    <w:p>
      <w:pPr>
        <w:pStyle w:val="ListNumber"/>
      </w:pPr>
      <w:r>
        <w:rPr>
          <w:rFonts w:ascii="Calibri" w:hAnsi="Calibri"/>
          <w:color w:val="1E293B"/>
        </w:rPr>
        <w:t>Compare latency and artifact size before recommending a production candidate.</w:t>
      </w:r>
    </w:p>
    <w:p>
      <w:pPr>
        <w:pStyle w:val="ListNumber"/>
      </w:pPr>
      <w:r>
        <w:rPr>
          <w:rFonts w:ascii="Calibri" w:hAnsi="Calibri"/>
          <w:color w:val="1E293B"/>
        </w:rPr>
        <w:t>Treat the top score as decision support, not an automatic production deployment.</w:t>
      </w:r>
    </w:p>
    <w:p>
      <w:pPr>
        <w:pStyle w:val="Heading1"/>
      </w:pPr>
      <w:r>
        <w:t>6. Governed Incremental Training Operations</w:t>
      </w:r>
    </w:p>
    <w:p>
      <w:r>
        <w:rPr>
          <w:rFonts w:ascii="Calibri" w:hAnsi="Calibri"/>
          <w:color w:val="1E293B"/>
        </w:rPr>
        <w:t>Training Operations is the bank-scale workflow for Half-Space Trees (HST). Unlike the research comparison, it uses immutable Parquet datasets, bounded chunks, asynchronous jobs, and a formal model registry.</w:t>
      </w:r>
    </w:p>
    <w:p>
      <w:pPr>
        <w:pStyle w:val="Heading2"/>
      </w:pPr>
      <w:r>
        <w:t>Step 1 - Close the business day</w:t>
      </w:r>
    </w:p>
    <w:p>
      <w:pPr>
        <w:pStyle w:val="ListNumber"/>
      </w:pPr>
      <w:r>
        <w:rPr>
          <w:rFonts w:ascii="Calibri" w:hAnsi="Calibri"/>
          <w:color w:val="1E293B"/>
        </w:rPr>
        <w:t>Open Training Operations as ADMIN or AML_ADMIN.</w:t>
      </w:r>
    </w:p>
    <w:p>
      <w:pPr>
        <w:pStyle w:val="ListNumber"/>
      </w:pPr>
      <w:r>
        <w:rPr>
          <w:rFonts w:ascii="Calibri" w:hAnsi="Calibri"/>
          <w:color w:val="1E293B"/>
        </w:rPr>
        <w:t>Confirm Application health is UP.</w:t>
      </w:r>
    </w:p>
    <w:p>
      <w:pPr>
        <w:pStyle w:val="ListNumber"/>
      </w:pPr>
      <w:r>
        <w:rPr>
          <w:rFonts w:ascii="Calibri" w:hAnsi="Calibri"/>
          <w:color w:val="1E293B"/>
        </w:rPr>
        <w:t>Select the business date and choose Close day.</w:t>
      </w:r>
    </w:p>
    <w:p>
      <w:pPr>
        <w:pStyle w:val="ListNumber"/>
      </w:pPr>
      <w:r>
        <w:rPr>
          <w:rFonts w:ascii="Calibri" w:hAnsi="Calibri"/>
          <w:color w:val="1E293B"/>
        </w:rPr>
        <w:t>Wait for the Business day closed popup. Closed dates cannot silently change underneath a reproducible training window.</w:t>
      </w:r>
    </w:p>
    <w:p>
      <w:pPr>
        <w:pStyle w:val="Heading2"/>
      </w:pPr>
      <w:r>
        <w:t>Step 2 - Create the training window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Training type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DAILY_INCREMENTAL for normal end-of-day learning; WEEKLY_BATCH or FULL_REBUILD for controlled larger jobs; BACKTEST for historical evaluation.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Feature 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Use the persisted feature contract expected by the trainer, for example AML_FEATURES_V2 or the configured current version.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Model type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Use HALF_SPACE_TREES/HST according to the configured registry convention.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Segment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Leave blank for GLOBAL or enter an approved customer/business segment.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From / To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Every date in the range must be closed.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Cutoff timestamp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The latest event time permitted in the immutable training snapshot.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/>
          <w:color w:val="1E293B"/>
        </w:rPr>
        <w:t>Complete all training-window fields.</w:t>
      </w:r>
    </w:p>
    <w:p>
      <w:pPr>
        <w:pStyle w:val="ListNumber"/>
      </w:pPr>
      <w:r>
        <w:rPr>
          <w:rFonts w:ascii="Calibri" w:hAnsi="Calibri"/>
          <w:color w:val="1E293B"/>
        </w:rPr>
        <w:t>Select Create run.</w:t>
      </w:r>
    </w:p>
    <w:p>
      <w:pPr>
        <w:pStyle w:val="ListNumber"/>
      </w:pPr>
      <w:r>
        <w:rPr>
          <w:rFonts w:ascii="Calibri" w:hAnsi="Calibri"/>
          <w:color w:val="1E293B"/>
        </w:rPr>
        <w:t>Select the new run in Recent pipeline activity.</w:t>
      </w:r>
    </w:p>
    <w:p>
      <w:pPr>
        <w:pStyle w:val="ListNumber"/>
      </w:pPr>
      <w:r>
        <w:rPr>
          <w:rFonts w:ascii="Calibri" w:hAnsi="Calibri"/>
          <w:color w:val="1E293B"/>
        </w:rPr>
        <w:t>Choose Generate dataset. The export runs asynchronously.</w:t>
      </w:r>
    </w:p>
    <w:p>
      <w:pPr>
        <w:pStyle w:val="ListNumber"/>
      </w:pPr>
      <w:r>
        <w:rPr>
          <w:rFonts w:ascii="Calibri" w:hAnsi="Calibri"/>
          <w:color w:val="1E293B"/>
        </w:rPr>
        <w:t>Use Refresh status until the run reaches DATASET_READY.</w:t>
      </w:r>
    </w:p>
    <w:p>
      <w:pPr>
        <w:pStyle w:val="ListNumber"/>
      </w:pPr>
      <w:r>
        <w:rPr>
          <w:rFonts w:ascii="Calibri" w:hAnsi="Calibri"/>
          <w:color w:val="1E293B"/>
        </w:rPr>
        <w:t>Optionally enter a compatible base model version for incremental continuation.</w:t>
      </w:r>
    </w:p>
    <w:p>
      <w:pPr>
        <w:pStyle w:val="ListNumber"/>
      </w:pPr>
      <w:r>
        <w:rPr>
          <w:rFonts w:ascii="Calibri" w:hAnsi="Calibri"/>
          <w:color w:val="1E293B"/>
        </w:rPr>
        <w:t>Choose Train candidate and refresh until CANDIDATE_READY or TRAINING_FAILED.</w:t>
      </w:r>
    </w:p>
    <w:p>
      <w:pPr>
        <w:pStyle w:val="Heading2"/>
      </w:pPr>
      <w:r>
        <w:t>Training-run statuses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Operator action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CREATED</w:t>
            </w:r>
          </w:p>
        </w:tc>
        <w:tc>
          <w:tcPr>
            <w:tcW w:type="dxa" w:w="43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Window recorded but export not queued.</w:t>
            </w:r>
          </w:p>
        </w:tc>
        <w:tc>
          <w:tcPr>
            <w:tcW w:type="dxa" w:w="28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Generate dataset.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QUEUED / EXPORTING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Feature rows are being exported in bounded chunks.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Wait and refresh.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DATASET_READY</w:t>
            </w:r>
          </w:p>
        </w:tc>
        <w:tc>
          <w:tcPr>
            <w:tcW w:type="dxa" w:w="43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Parquet files and checksums are complete.</w:t>
            </w:r>
          </w:p>
        </w:tc>
        <w:tc>
          <w:tcPr>
            <w:tcW w:type="dxa" w:w="28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Start candidate training.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TRAINING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Python is learning from chronological record batches.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Wait and refresh.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CANDIDATE_READY</w:t>
            </w:r>
          </w:p>
        </w:tc>
        <w:tc>
          <w:tcPr>
            <w:tcW w:type="dxa" w:w="43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Immutable candidate artifact has been registered.</w:t>
            </w:r>
          </w:p>
        </w:tc>
        <w:tc>
          <w:tcPr>
            <w:tcW w:type="dxa" w:w="28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Continue in Model Governance.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FAILED / TRAINING_FAILED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Export or training stopped safely.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Read the failure reason, correct the cause, and create/retry a controlled run.</w:t>
            </w:r>
          </w:p>
        </w:tc>
      </w:tr>
    </w:tbl>
    <w:p>
      <w:pPr>
        <w:spacing w:after="0"/>
      </w:pPr>
    </w:p>
    <w:p>
      <w:pPr>
        <w:pStyle w:val="Heading1"/>
      </w:pPr>
      <w:r>
        <w:t>7. Model Governance</w:t>
      </w:r>
    </w:p>
    <w:p>
      <w:r>
        <w:rPr>
          <w:rFonts w:ascii="Calibri" w:hAnsi="Calibri"/>
          <w:color w:val="1E293B"/>
        </w:rPr>
        <w:t>The Model Governance page prevents a newly trained model from affecting production automatically. It exposes registry status, active production pointers, silent-validation evidence, and an immutable deployment history.</w:t>
      </w:r>
    </w:p>
    <w:p>
      <w:pPr>
        <w:pStyle w:val="Heading2"/>
      </w:pPr>
      <w:r>
        <w:t>Validate a candidate</w:t>
      </w:r>
    </w:p>
    <w:p>
      <w:pPr>
        <w:pStyle w:val="ListNumber"/>
      </w:pPr>
      <w:r>
        <w:rPr>
          <w:rFonts w:ascii="Calibri" w:hAnsi="Calibri"/>
          <w:color w:val="1E293B"/>
        </w:rPr>
        <w:t>Allow the candidate to collect silent scores on real transactions. It must not affect votes or cases during this observation period.</w:t>
      </w:r>
    </w:p>
    <w:p>
      <w:pPr>
        <w:pStyle w:val="ListNumber"/>
      </w:pPr>
      <w:r>
        <w:rPr>
          <w:rFonts w:ascii="Calibri" w:hAnsi="Calibri"/>
          <w:color w:val="1E293B"/>
        </w:rPr>
        <w:t>Open Model Governance and select the candidate version.</w:t>
      </w:r>
    </w:p>
    <w:p>
      <w:pPr>
        <w:pStyle w:val="ListNumber"/>
      </w:pPr>
      <w:r>
        <w:rPr>
          <w:rFonts w:ascii="Calibri" w:hAnsi="Calibri"/>
          <w:color w:val="1E293B"/>
        </w:rPr>
        <w:t>Review the observation sample, anomaly rate, production alert rate, agreement, Jaccard overlap, score percentiles, daily stability, and reviewed outcomes.</w:t>
      </w:r>
    </w:p>
    <w:p>
      <w:pPr>
        <w:pStyle w:val="ListNumber"/>
      </w:pPr>
      <w:r>
        <w:rPr>
          <w:rFonts w:ascii="Calibri" w:hAnsi="Calibri"/>
          <w:color w:val="1E293B"/>
        </w:rPr>
        <w:t>Choose Validate. A PASSED result changes the model to VALIDATED; it does not deploy it.</w:t>
      </w:r>
    </w:p>
    <w:p>
      <w:pPr>
        <w:pStyle w:val="ListNumber"/>
      </w:pPr>
      <w:r>
        <w:rPr>
          <w:rFonts w:ascii="Calibri" w:hAnsi="Calibri"/>
          <w:color w:val="1E293B"/>
        </w:rPr>
        <w:t>If the result is INSUFFICIENT_DATA, continue collecting observations. If FAILED, investigate the displayed gate failure.</w:t>
      </w:r>
    </w:p>
    <w:p>
      <w:pPr>
        <w:pStyle w:val="Heading2"/>
      </w:pPr>
      <w:r>
        <w:t>Promote a validated model</w:t>
      </w:r>
    </w:p>
    <w:p>
      <w:pPr>
        <w:pStyle w:val="ListNumber"/>
      </w:pPr>
      <w:r>
        <w:rPr>
          <w:rFonts w:ascii="Calibri" w:hAnsi="Calibri"/>
          <w:color w:val="1E293B"/>
        </w:rPr>
        <w:t>Select a model whose registry status is VALIDATED.</w:t>
      </w:r>
    </w:p>
    <w:p>
      <w:pPr>
        <w:pStyle w:val="ListNumber"/>
      </w:pPr>
      <w:r>
        <w:rPr>
          <w:rFonts w:ascii="Calibri" w:hAnsi="Calibri"/>
          <w:color w:val="1E293B"/>
        </w:rPr>
        <w:t>Enter an audit reason of at least ten characters describing the governance decision.</w:t>
      </w:r>
    </w:p>
    <w:p>
      <w:pPr>
        <w:pStyle w:val="ListNumber"/>
      </w:pPr>
      <w:r>
        <w:rPr>
          <w:rFonts w:ascii="Calibri" w:hAnsi="Calibri"/>
          <w:color w:val="1E293B"/>
        </w:rPr>
        <w:t>Choose Promote.</w:t>
      </w:r>
    </w:p>
    <w:p>
      <w:pPr>
        <w:pStyle w:val="ListNumber"/>
      </w:pPr>
      <w:r>
        <w:rPr>
          <w:rFonts w:ascii="Calibri" w:hAnsi="Calibri"/>
          <w:color w:val="1E293B"/>
        </w:rPr>
        <w:t>Verify that the active pointer now identifies the promoted version and the audit timeline contains the promotion event.</w:t>
      </w:r>
    </w:p>
    <w:p>
      <w:pPr>
        <w:pStyle w:val="Heading2"/>
      </w:pPr>
      <w:r>
        <w:t>Roll back a champion</w:t>
      </w:r>
    </w:p>
    <w:p>
      <w:pPr>
        <w:pStyle w:val="ListNumber"/>
      </w:pPr>
      <w:r>
        <w:rPr>
          <w:rFonts w:ascii="Calibri" w:hAnsi="Calibri"/>
          <w:color w:val="1E293B"/>
        </w:rPr>
        <w:t>Select the active CHAMPION and confirm that a previous compatible model is available.</w:t>
      </w:r>
    </w:p>
    <w:p>
      <w:pPr>
        <w:pStyle w:val="ListNumber"/>
      </w:pPr>
      <w:r>
        <w:rPr>
          <w:rFonts w:ascii="Calibri" w:hAnsi="Calibri"/>
          <w:color w:val="1E293B"/>
        </w:rPr>
        <w:t>Enter a clear operational reason, such as abnormal alert volume or post-deployment drift.</w:t>
      </w:r>
    </w:p>
    <w:p>
      <w:pPr>
        <w:pStyle w:val="ListNumber"/>
      </w:pPr>
      <w:r>
        <w:rPr>
          <w:rFonts w:ascii="Calibri" w:hAnsi="Calibri"/>
          <w:color w:val="1E293B"/>
        </w:rPr>
        <w:t>Choose Roll back.</w:t>
      </w:r>
    </w:p>
    <w:p>
      <w:pPr>
        <w:pStyle w:val="ListNumber"/>
      </w:pPr>
      <w:r>
        <w:rPr>
          <w:rFonts w:ascii="Calibri" w:hAnsi="Calibri"/>
          <w:color w:val="1E293B"/>
        </w:rPr>
        <w:t>Verify that the previous model is restored atomically and the rollback appears in deployment history.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</w:rPr>
              <w:t xml:space="preserve">Governance guarantee: </w:t>
            </w:r>
            <w:r>
              <w:rPr>
                <w:rFonts w:ascii="Calibri" w:hAnsi="Calibri"/>
                <w:color w:val="1E293B"/>
              </w:rPr>
              <w:t>Validation, promotion, and rollback are separate actions. Artifact checksums are reverified before deployment, and every production change is authenticated, atomic, reasoned, auditable, and reversible while a previous champion is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8. Configuration Pages</w:t>
      </w:r>
    </w:p>
    <w:p>
      <w:pPr>
        <w:pStyle w:val="Heading2"/>
      </w:pPr>
      <w:r>
        <w:t>Model Tuning</w:t>
      </w:r>
    </w:p>
    <w:p>
      <w:r>
        <w:rPr>
          <w:rFonts w:ascii="Calibri" w:hAnsi="Calibri"/>
          <w:color w:val="1E293B"/>
        </w:rPr>
        <w:t>Use Model Tuning to edit configured optimization controls and model-specific search ranges. Reload saved values before changing them, modify only settings you understand, and save. Parameter search may use a capped recent sample while final fitting uses the complete selected partition.</w:t>
      </w:r>
    </w:p>
    <w:p>
      <w:pPr>
        <w:pStyle w:val="ListBullet"/>
      </w:pPr>
      <w:r>
        <w:rPr>
          <w:rFonts w:ascii="Calibri" w:hAnsi="Calibri"/>
          <w:color w:val="1E293B"/>
        </w:rPr>
        <w:t>Change one related group at a time and record why it changed.</w:t>
      </w:r>
    </w:p>
    <w:p>
      <w:pPr>
        <w:pStyle w:val="ListBullet"/>
      </w:pPr>
      <w:r>
        <w:rPr>
          <w:rFonts w:ascii="Calibri" w:hAnsi="Calibri"/>
          <w:color w:val="1E293B"/>
        </w:rPr>
        <w:t>Use the comparison page to observe whether tuning improves quality without harming stability or anomaly-rate control.</w:t>
      </w:r>
    </w:p>
    <w:p>
      <w:pPr>
        <w:pStyle w:val="ListBullet"/>
      </w:pPr>
      <w:r>
        <w:rPr>
          <w:rFonts w:ascii="Calibri" w:hAnsi="Calibri"/>
          <w:color w:val="1E293B"/>
        </w:rPr>
        <w:t>Do not use large kernel-model searches on millions of rows.</w:t>
      </w:r>
    </w:p>
    <w:p>
      <w:pPr>
        <w:pStyle w:val="Heading2"/>
      </w:pPr>
      <w:r>
        <w:t>Anomaly Configuration</w:t>
      </w:r>
    </w:p>
    <w:p>
      <w:r>
        <w:rPr>
          <w:rFonts w:ascii="Calibri" w:hAnsi="Calibri"/>
          <w:color w:val="1E293B"/>
        </w:rPr>
        <w:t>The current production batch fallback is Isolation Forest only. Select the available fallback model, set the required anomaly-vote threshold, and choose Save. The promoted HST champion remains the first production decision when available; Isolation Forest is the governed batch fallback.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2400E"/>
              </w:rPr>
              <w:t xml:space="preserve">Current production boundary: </w:t>
            </w:r>
            <w:r>
              <w:rPr>
                <w:rFonts w:ascii="Calibri" w:hAnsi="Calibri"/>
                <w:color w:val="1E293B"/>
              </w:rPr>
              <w:t>LOF, kernel One-Class SVM, Elliptic Envelope, and PCA Reconstruction remain available for offline research reports but cannot influence production alerts or cases.</w:t>
            </w:r>
          </w:p>
        </w:tc>
      </w:tr>
    </w:tbl>
    <w:p>
      <w:pPr>
        <w:spacing w:after="0"/>
      </w:pPr>
    </w:p>
    <w:p>
      <w:pPr>
        <w:pStyle w:val="Heading2"/>
      </w:pPr>
      <w:r>
        <w:t>Cold Start</w:t>
      </w:r>
    </w:p>
    <w:p>
      <w:r>
        <w:rPr>
          <w:rFonts w:ascii="Calibri" w:hAnsi="Calibri"/>
          <w:color w:val="1E293B"/>
        </w:rPr>
        <w:t>Cold-start controls define behavior when an account has insufficient trustworthy history. Boolean values use dropdowns. Review the minimum-history threshold and fallback behavior, then save. Cold start prevents unstable profile-derived decisions from being treated like mature-account evidence.</w:t>
      </w:r>
    </w:p>
    <w:p>
      <w:pPr>
        <w:pStyle w:val="Heading1"/>
      </w:pPr>
      <w:r>
        <w:t>9. Case Management</w:t>
      </w:r>
    </w:p>
    <w:p>
      <w:pPr>
        <w:pStyle w:val="Heading2"/>
      </w:pPr>
      <w:r>
        <w:t>Automatic case creation</w:t>
      </w:r>
    </w:p>
    <w:p>
      <w:r>
        <w:rPr>
          <w:rFonts w:ascii="Calibri" w:hAnsi="Calibri"/>
          <w:color w:val="1E293B"/>
        </w:rPr>
        <w:t>A case is created only when the active production decision meets the configured suspicious threshold. The case preserves the transaction, account, priority, source alert, and latest model prediction evidence.</w:t>
      </w:r>
    </w:p>
    <w:p>
      <w:pPr>
        <w:pStyle w:val="Heading2"/>
      </w:pPr>
      <w:r>
        <w:t>Review a generated case</w:t>
      </w:r>
    </w:p>
    <w:p>
      <w:pPr>
        <w:pStyle w:val="ListNumber"/>
      </w:pPr>
      <w:r>
        <w:rPr>
          <w:rFonts w:ascii="Calibri" w:hAnsi="Calibri"/>
          <w:color w:val="1E293B"/>
        </w:rPr>
        <w:t>Open Case Management and filter the queue if needed.</w:t>
      </w:r>
    </w:p>
    <w:p>
      <w:pPr>
        <w:pStyle w:val="ListNumber"/>
      </w:pPr>
      <w:r>
        <w:rPr>
          <w:rFonts w:ascii="Calibri" w:hAnsi="Calibri"/>
          <w:color w:val="1E293B"/>
        </w:rPr>
        <w:t>Select a case to load its details.</w:t>
      </w:r>
    </w:p>
    <w:p>
      <w:pPr>
        <w:pStyle w:val="ListNumber"/>
      </w:pPr>
      <w:r>
        <w:rPr>
          <w:rFonts w:ascii="Calibri" w:hAnsi="Calibri"/>
          <w:color w:val="1E293B"/>
        </w:rPr>
        <w:t>Review transaction ID, account, priority, assignment, origin, and status.</w:t>
      </w:r>
    </w:p>
    <w:p>
      <w:pPr>
        <w:pStyle w:val="ListNumber"/>
      </w:pPr>
      <w:r>
        <w:rPr>
          <w:rFonts w:ascii="Calibri" w:hAnsi="Calibri"/>
          <w:color w:val="1E293B"/>
        </w:rPr>
        <w:t>Inspect Decision evidence: risk level, anomaly votes, incremental score, batch score, model version, reason codes, and learning-control decision when available.</w:t>
      </w:r>
    </w:p>
    <w:p>
      <w:pPr>
        <w:pStyle w:val="ListNumber"/>
      </w:pPr>
      <w:r>
        <w:rPr>
          <w:rFonts w:ascii="Calibri" w:hAnsi="Calibri"/>
          <w:color w:val="1E293B"/>
        </w:rPr>
        <w:t>Add investigation notes with supporting context.</w:t>
      </w:r>
    </w:p>
    <w:p>
      <w:pPr>
        <w:pStyle w:val="ListNumber"/>
      </w:pPr>
      <w:r>
        <w:rPr>
          <w:rFonts w:ascii="Calibri" w:hAnsi="Calibri"/>
          <w:color w:val="1E293B"/>
        </w:rPr>
        <w:t>Choose Generate STR XML if activity remains suspicious, or Mark False Positive if the alert is explainable.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660"/>
        <w:gridCol w:w="2600"/>
      </w:tblGrid>
      <w:tr>
        <w:trPr>
          <w:tblHeader w:val="true"/>
        </w:trPr>
        <w:tc>
          <w:tcPr>
            <w:tcW w:type="dxa" w:w="21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6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result</w:t>
            </w:r>
          </w:p>
        </w:tc>
        <w:tc>
          <w:tcPr>
            <w:tcW w:type="dxa" w:w="26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Restriction</w:t>
            </w:r>
          </w:p>
        </w:tc>
      </w:tr>
      <w:tr>
        <w:tc>
          <w:tcPr>
            <w:tcW w:type="dxa" w:w="21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Generate STR XML</w:t>
            </w:r>
          </w:p>
        </w:tc>
        <w:tc>
          <w:tcPr>
            <w:tcW w:type="dxa" w:w="4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Downloads a draft XML, updates case status to STR_GENERATED, and records a system note.</w:t>
            </w:r>
          </w:p>
        </w:tc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false-positive case cannot generate an STR.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Mark False Positive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Updates the case and related alert outcome and records a system note.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case with generated STR cannot be marked false positive.</w:t>
            </w:r>
          </w:p>
        </w:tc>
      </w:tr>
      <w:tr>
        <w:tc>
          <w:tcPr>
            <w:tcW w:type="dxa" w:w="21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Add Note</w:t>
            </w:r>
          </w:p>
        </w:tc>
        <w:tc>
          <w:tcPr>
            <w:tcW w:type="dxa" w:w="46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Appends an attributed, timestamped analyst note.</w:t>
            </w:r>
          </w:p>
        </w:tc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Use factual language; notes form part of the audit trail.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2400E"/>
              </w:rPr>
              <w:t xml:space="preserve">STR boundary: </w:t>
            </w:r>
            <w:r>
              <w:rPr>
                <w:rFonts w:ascii="Calibri" w:hAnsi="Calibri"/>
                <w:color w:val="1E293B"/>
              </w:rPr>
              <w:t>The generated XML is a draft technical artifact. Institutional approval, regulatory validation, and submission remain outside this prototype unless separately integrated.</w:t>
            </w:r>
          </w:p>
        </w:tc>
      </w:tr>
    </w:tbl>
    <w:p>
      <w:pPr>
        <w:spacing w:after="0"/>
      </w:pPr>
    </w:p>
    <w:p>
      <w:pPr>
        <w:pStyle w:val="Heading2"/>
      </w:pPr>
      <w:r>
        <w:t>Create a manual case</w:t>
      </w:r>
    </w:p>
    <w:p>
      <w:pPr>
        <w:pStyle w:val="ListNumber"/>
      </w:pPr>
      <w:r>
        <w:rPr>
          <w:rFonts w:ascii="Calibri" w:hAnsi="Calibri"/>
          <w:color w:val="1E293B"/>
        </w:rPr>
        <w:t>Open Manual Case.</w:t>
      </w:r>
    </w:p>
    <w:p>
      <w:pPr>
        <w:pStyle w:val="ListNumber"/>
      </w:pPr>
      <w:r>
        <w:rPr>
          <w:rFonts w:ascii="Calibri" w:hAnsi="Calibri"/>
          <w:color w:val="1E293B"/>
        </w:rPr>
        <w:t>Search by transaction ID, account ID, or available search text.</w:t>
      </w:r>
    </w:p>
    <w:p>
      <w:pPr>
        <w:pStyle w:val="ListNumber"/>
      </w:pPr>
      <w:r>
        <w:rPr>
          <w:rFonts w:ascii="Calibri" w:hAnsi="Calibri"/>
          <w:color w:val="1E293B"/>
        </w:rPr>
        <w:t>Select the relevant transaction and review its details.</w:t>
      </w:r>
    </w:p>
    <w:p>
      <w:pPr>
        <w:pStyle w:val="ListNumber"/>
      </w:pPr>
      <w:r>
        <w:rPr>
          <w:rFonts w:ascii="Calibri" w:hAnsi="Calibri"/>
          <w:color w:val="1E293B"/>
        </w:rPr>
        <w:t>Enter a clear case title, priority, and optional assignee.</w:t>
      </w:r>
    </w:p>
    <w:p>
      <w:pPr>
        <w:pStyle w:val="ListNumber"/>
      </w:pPr>
      <w:r>
        <w:rPr>
          <w:rFonts w:ascii="Calibri" w:hAnsi="Calibri"/>
          <w:color w:val="1E293B"/>
        </w:rPr>
        <w:t>Choose Create Case. If a recent case already exists for the transaction, the system returns the existing case instead of duplicating it.</w:t>
      </w:r>
    </w:p>
    <w:p>
      <w:pPr>
        <w:pStyle w:val="Heading1"/>
      </w:pPr>
      <w:r>
        <w:t>10. Daily Operating Procedure</w:t>
      </w:r>
    </w:p>
    <w:p>
      <w:pPr>
        <w:pStyle w:val="Heading2"/>
      </w:pPr>
      <w:r>
        <w:t>During business hours</w:t>
      </w:r>
    </w:p>
    <w:p>
      <w:pPr>
        <w:pStyle w:val="ListBullet"/>
      </w:pPr>
      <w:r>
        <w:rPr>
          <w:rFonts w:ascii="Calibri" w:hAnsi="Calibri"/>
          <w:color w:val="1E293B"/>
        </w:rPr>
        <w:t>Monitor transaction ingestion and application health.</w:t>
      </w:r>
    </w:p>
    <w:p>
      <w:pPr>
        <w:pStyle w:val="ListBullet"/>
      </w:pPr>
      <w:r>
        <w:rPr>
          <w:rFonts w:ascii="Calibri" w:hAnsi="Calibri"/>
          <w:color w:val="1E293B"/>
        </w:rPr>
        <w:t>Review generated cases and prioritize HIGH-risk evidence.</w:t>
      </w:r>
    </w:p>
    <w:p>
      <w:pPr>
        <w:pStyle w:val="ListBullet"/>
      </w:pPr>
      <w:r>
        <w:rPr>
          <w:rFonts w:ascii="Calibri" w:hAnsi="Calibri"/>
          <w:color w:val="1E293B"/>
        </w:rPr>
        <w:t>Record analyst notes and resolve false positives promptly so learning eligibility can be audited.</w:t>
      </w:r>
    </w:p>
    <w:p>
      <w:pPr>
        <w:pStyle w:val="ListBullet"/>
      </w:pPr>
      <w:r>
        <w:rPr>
          <w:rFonts w:ascii="Calibri" w:hAnsi="Calibri"/>
          <w:color w:val="1E293B"/>
        </w:rPr>
        <w:t>Escalate unavailable ML service, abnormal case volume, or persistent API errors.</w:t>
      </w:r>
    </w:p>
    <w:p>
      <w:pPr>
        <w:pStyle w:val="Heading2"/>
      </w:pPr>
      <w:r>
        <w:t>After business hours</w:t>
      </w:r>
    </w:p>
    <w:p>
      <w:pPr>
        <w:pStyle w:val="ListNumber"/>
      </w:pPr>
      <w:r>
        <w:rPr>
          <w:rFonts w:ascii="Calibri" w:hAnsi="Calibri"/>
          <w:color w:val="1E293B"/>
        </w:rPr>
        <w:t>Confirm ingestion for the day is complete.</w:t>
      </w:r>
    </w:p>
    <w:p>
      <w:pPr>
        <w:pStyle w:val="ListNumber"/>
      </w:pPr>
      <w:r>
        <w:rPr>
          <w:rFonts w:ascii="Calibri" w:hAnsi="Calibri"/>
          <w:color w:val="1E293B"/>
        </w:rPr>
        <w:t>Close the business date in Training Operations.</w:t>
      </w:r>
    </w:p>
    <w:p>
      <w:pPr>
        <w:pStyle w:val="ListNumber"/>
      </w:pPr>
      <w:r>
        <w:rPr>
          <w:rFonts w:ascii="Calibri" w:hAnsi="Calibri"/>
          <w:color w:val="1E293B"/>
        </w:rPr>
        <w:t>Create a DAILY_INCREMENTAL HST training run.</w:t>
      </w:r>
    </w:p>
    <w:p>
      <w:pPr>
        <w:pStyle w:val="ListNumber"/>
      </w:pPr>
      <w:r>
        <w:rPr>
          <w:rFonts w:ascii="Calibri" w:hAnsi="Calibri"/>
          <w:color w:val="1E293B"/>
        </w:rPr>
        <w:t>Generate the immutable dataset and wait for DATASET_READY.</w:t>
      </w:r>
    </w:p>
    <w:p>
      <w:pPr>
        <w:pStyle w:val="ListNumber"/>
      </w:pPr>
      <w:r>
        <w:rPr>
          <w:rFonts w:ascii="Calibri" w:hAnsi="Calibri"/>
          <w:color w:val="1E293B"/>
        </w:rPr>
        <w:t>Train the candidate and verify CANDIDATE_READY.</w:t>
      </w:r>
    </w:p>
    <w:p>
      <w:pPr>
        <w:pStyle w:val="ListNumber"/>
      </w:pPr>
      <w:r>
        <w:rPr>
          <w:rFonts w:ascii="Calibri" w:hAnsi="Calibri"/>
          <w:color w:val="1E293B"/>
        </w:rPr>
        <w:t>Do not promote immediately; allow a silent observation period and run governance validation.</w:t>
      </w:r>
    </w:p>
    <w:p>
      <w:pPr>
        <w:pStyle w:val="Heading2"/>
      </w:pPr>
      <w:r>
        <w:t>Periodic research review</w:t>
      </w:r>
    </w:p>
    <w:p>
      <w:pPr>
        <w:pStyle w:val="ListBullet"/>
      </w:pPr>
      <w:r>
        <w:rPr>
          <w:rFonts w:ascii="Calibri" w:hAnsi="Calibri"/>
          <w:color w:val="1E293B"/>
        </w:rPr>
        <w:t>Run Train Models after meaningful data growth, not after every transaction.</w:t>
      </w:r>
    </w:p>
    <w:p>
      <w:pPr>
        <w:pStyle w:val="ListBullet"/>
      </w:pPr>
      <w:r>
        <w:rPr>
          <w:rFonts w:ascii="Calibri" w:hAnsi="Calibri"/>
          <w:color w:val="1E293B"/>
        </w:rPr>
        <w:t>Compare 10%, 25%, 50%, and 100% learning curves using the same chronology.</w:t>
      </w:r>
    </w:p>
    <w:p>
      <w:pPr>
        <w:pStyle w:val="ListBullet"/>
      </w:pPr>
      <w:r>
        <w:rPr>
          <w:rFonts w:ascii="Calibri" w:hAnsi="Calibri"/>
          <w:color w:val="1E293B"/>
        </w:rPr>
        <w:t>Document quality, stability, anomaly rate, latency, artifact size, and reviewer outcomes.</w:t>
      </w:r>
    </w:p>
    <w:p>
      <w:pPr>
        <w:pStyle w:val="ListBullet"/>
      </w:pPr>
      <w:r>
        <w:rPr>
          <w:rFonts w:ascii="Calibri" w:hAnsi="Calibri"/>
          <w:color w:val="1E293B"/>
        </w:rPr>
        <w:t>Revisit model and threshold choices when drift, false-positive rate, or operational load changes.</w:t>
      </w:r>
    </w:p>
    <w:p>
      <w:pPr>
        <w:pStyle w:val="Heading1"/>
      </w:pPr>
      <w:r>
        <w:t>11.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6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1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Angular cannot reach the backend</w:t>
            </w:r>
          </w:p>
        </w:tc>
        <w:tc>
          <w:tcPr>
            <w:tcW w:type="dxa" w:w="3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Spring is stopped, wrong port, expired token, or CORS mismatch.</w:t>
            </w:r>
          </w:p>
        </w:tc>
        <w:tc>
          <w:tcPr>
            <w:tcW w:type="dxa" w:w="3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Check http://localhost:8080/health, sign in again, and verify allowed origins.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Training page reports too few rows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Database snapshot contains fewer than 200 eligible transactions.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Load more valid data and rerun later.</w:t>
            </w:r>
          </w:p>
        </w:tc>
      </w:tr>
      <w:tr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Dataset export fails</w:t>
            </w:r>
          </w:p>
        </w:tc>
        <w:tc>
          <w:tcPr>
            <w:tcW w:type="dxa" w:w="3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Business date not closed, no eligible feature rows, output path collision, or schema/config issue.</w:t>
            </w:r>
          </w:p>
        </w:tc>
        <w:tc>
          <w:tcPr>
            <w:tcW w:type="dxa" w:w="3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Read the run failure reason; close all dates and verify export configuration.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Candidate training fails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Feature-schema mismatch, missing dependency, incompatible base version, or artifact error.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Check Spring and Python logs; correct the issue without replacing the current champion.</w:t>
            </w:r>
          </w:p>
        </w:tc>
      </w:tr>
      <w:tr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Validate button disabled</w:t>
            </w:r>
          </w:p>
        </w:tc>
        <w:tc>
          <w:tcPr>
            <w:tcW w:type="dxa" w:w="3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Wrong role or registry status is not CANDIDATE/VALIDATED.</w:t>
            </w:r>
          </w:p>
        </w:tc>
        <w:tc>
          <w:tcPr>
            <w:tcW w:type="dxa" w:w="3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Use an admin account and select an eligible model.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Promote button disabled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Model has not passed validation or user is not admin.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Complete validation and verify role.</w:t>
            </w:r>
          </w:p>
        </w:tc>
      </w:tr>
      <w:tr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Rollback disabled</w:t>
            </w:r>
          </w:p>
        </w:tc>
        <w:tc>
          <w:tcPr>
            <w:tcW w:type="dxa" w:w="3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Selected model is not active champion or has no previous model pointer.</w:t>
            </w:r>
          </w:p>
        </w:tc>
        <w:tc>
          <w:tcPr>
            <w:tcW w:type="dxa" w:w="3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Select the active champion and confirm rollback availability.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No model evidence on an old case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The transaction predates enriched prediction logging.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Use transaction and case notes; evidence appears for newer predictions.</w:t>
            </w:r>
          </w:p>
        </w:tc>
      </w:tr>
      <w:tr>
        <w:tc>
          <w:tcPr>
            <w:tcW w:type="dxa" w:w="2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Unexpected database column error</w:t>
            </w:r>
          </w:p>
        </w:tc>
        <w:tc>
          <w:tcPr>
            <w:tcW w:type="dxa" w:w="36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Required migration was not executed against the active database.</w:t>
            </w:r>
          </w:p>
        </w:tc>
        <w:tc>
          <w:tcPr>
            <w:tcW w:type="dxa" w:w="3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Run the matching phase migration and verification script in SSMS, then restart Spring.</w:t>
            </w:r>
          </w:p>
        </w:tc>
      </w:tr>
    </w:tbl>
    <w:p>
      <w:pPr>
        <w:spacing w:after="0"/>
      </w:pPr>
    </w:p>
    <w:p>
      <w:pPr>
        <w:pStyle w:val="Heading1"/>
      </w:pPr>
      <w:r>
        <w:t>12.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160"/>
            <w:shd w:fill="0F27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Anomaly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transaction whose behavior differs from learned or configured normal patterns; not proof of fraud.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Batch fallback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Isolation Forest decision used when no compatible promoted HST champion can score the transaction.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Candidate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newly trained immutable model version not approved for production.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Champion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The active approved model for a model type and segment.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Challenger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compatible non-active model retained for comparison or rollback.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Cold start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Account state with insufficient trustworthy history for mature profile-based scoring.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Feature version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Versioned contract describing the exact persisted input vector expected by a model.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HST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Half-Space Trees, a bounded-state incremental anomaly model used for bank-scale production learning.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Model segment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 routing scope such as RETAIL_GENERAL; GLOBAL is the fallback scope.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Parquet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Columnar file format used for efficient, checksummed, chunked training datasets.</w:t>
            </w:r>
          </w:p>
        </w:tc>
      </w:tr>
      <w:tr>
        <w:tc>
          <w:tcPr>
            <w:tcW w:type="dxa" w:w="220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Silent scoring</w:t>
            </w:r>
          </w:p>
        </w:tc>
        <w:tc>
          <w:tcPr>
            <w:tcW w:type="dxa" w:w="7160"/>
            <w:shd w:fill="F7FA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Challenger scoring that is logged for validation but cannot affect alerts or cases.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STR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Suspicious Transaction Report; here generated as a draft XML for review.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080" w:left="1238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Fraud Transaction Detector |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27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27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