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jc w:val="center"/>
      </w:pPr>
      <w:r>
        <w:rPr>
          <w:rFonts w:ascii="Calibri" w:hAnsi="Calibri"/>
          <w:b/>
          <w:color w:val="2563EB"/>
          <w:sz w:val="20"/>
        </w:rPr>
        <w:t>OPERATIONAL HANDBOOK</w:t>
      </w:r>
    </w:p>
    <w:p>
      <w:pPr>
        <w:spacing w:after="200"/>
        <w:jc w:val="center"/>
      </w:pPr>
      <w:r>
        <w:rPr>
          <w:rFonts w:ascii="Calibri" w:hAnsi="Calibri"/>
          <w:b/>
          <w:color w:val="0F2747"/>
          <w:sz w:val="60"/>
        </w:rPr>
        <w:t>Fraud Transaction Detector - Full User Guide</w:t>
      </w:r>
    </w:p>
    <w:p>
      <w:pPr>
        <w:spacing w:after="560"/>
        <w:jc w:val="center"/>
      </w:pPr>
      <w:r>
        <w:rPr>
          <w:rFonts w:ascii="Calibri" w:hAnsi="Calibri"/>
          <w:color w:val="64748B"/>
          <w:sz w:val="28"/>
        </w:rPr>
        <w:t>Step-by-step operation of transaction intake, model comparison, governed training, and case review</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0F2747"/>
            <w:tcMar>
              <w:top w:w="90" w:type="dxa"/>
              <w:start w:w="120" w:type="dxa"/>
              <w:bottom w:w="90" w:type="dxa"/>
              <w:end w:w="120" w:type="dxa"/>
            </w:tcMar>
            <w:vAlign w:val="center"/>
          </w:tcPr>
          <w:p>
            <w:r>
              <w:rPr>
                <w:rFonts w:ascii="Calibri" w:hAnsi="Calibri"/>
                <w:b/>
                <w:color w:val="FFFFFF"/>
                <w:sz w:val="19"/>
              </w:rPr>
              <w:t>Audience</w:t>
            </w:r>
          </w:p>
        </w:tc>
        <w:tc>
          <w:tcPr>
            <w:tcW w:type="dxa" w:w="7560"/>
            <w:shd w:fill="F7FAFF"/>
            <w:tcMar>
              <w:top w:w="90" w:type="dxa"/>
              <w:start w:w="120" w:type="dxa"/>
              <w:bottom w:w="90" w:type="dxa"/>
              <w:end w:w="120" w:type="dxa"/>
            </w:tcMar>
            <w:vAlign w:val="center"/>
          </w:tcPr>
          <w:p>
            <w:r>
              <w:rPr>
                <w:rFonts w:ascii="Calibri" w:hAnsi="Calibri"/>
                <w:color w:val="1E293B"/>
                <w:sz w:val="19"/>
              </w:rPr>
              <w:t>Administrators, AML analysts, reviewers, operators, and project evaluators</w:t>
            </w:r>
          </w:p>
        </w:tc>
      </w:tr>
      <w:tr>
        <w:tc>
          <w:tcPr>
            <w:tcW w:type="dxa" w:w="1800"/>
            <w:shd w:fill="0F2747"/>
            <w:tcMar>
              <w:top w:w="90" w:type="dxa"/>
              <w:start w:w="120" w:type="dxa"/>
              <w:bottom w:w="90" w:type="dxa"/>
              <w:end w:w="120" w:type="dxa"/>
            </w:tcMar>
            <w:vAlign w:val="center"/>
          </w:tcPr>
          <w:p>
            <w:r>
              <w:rPr>
                <w:rFonts w:ascii="Calibri" w:hAnsi="Calibri"/>
                <w:b/>
                <w:color w:val="FFFFFF"/>
                <w:sz w:val="19"/>
              </w:rPr>
              <w:t>Version</w:t>
            </w:r>
          </w:p>
        </w:tc>
        <w:tc>
          <w:tcPr>
            <w:tcW w:type="dxa" w:w="7560"/>
            <w:shd w:fill="F7FAFF"/>
            <w:tcMar>
              <w:top w:w="90" w:type="dxa"/>
              <w:start w:w="120" w:type="dxa"/>
              <w:bottom w:w="90" w:type="dxa"/>
              <w:end w:w="120" w:type="dxa"/>
            </w:tcMar>
            <w:vAlign w:val="center"/>
          </w:tcPr>
          <w:p>
            <w:r>
              <w:rPr>
                <w:rFonts w:ascii="Calibri" w:hAnsi="Calibri"/>
                <w:color w:val="1E293B"/>
                <w:sz w:val="19"/>
              </w:rPr>
              <w:t>2.0</w:t>
            </w:r>
          </w:p>
        </w:tc>
      </w:tr>
      <w:tr>
        <w:tc>
          <w:tcPr>
            <w:tcW w:type="dxa" w:w="1800"/>
            <w:shd w:fill="0F2747"/>
            <w:tcMar>
              <w:top w:w="90" w:type="dxa"/>
              <w:start w:w="120" w:type="dxa"/>
              <w:bottom w:w="90" w:type="dxa"/>
              <w:end w:w="120" w:type="dxa"/>
            </w:tcMar>
            <w:vAlign w:val="center"/>
          </w:tcPr>
          <w:p>
            <w:r>
              <w:rPr>
                <w:rFonts w:ascii="Calibri" w:hAnsi="Calibri"/>
                <w:b/>
                <w:color w:val="FFFFFF"/>
                <w:sz w:val="19"/>
              </w:rPr>
              <w:t>Prepared</w:t>
            </w:r>
          </w:p>
        </w:tc>
        <w:tc>
          <w:tcPr>
            <w:tcW w:type="dxa" w:w="7560"/>
            <w:shd w:fill="F7FAFF"/>
            <w:tcMar>
              <w:top w:w="90" w:type="dxa"/>
              <w:start w:w="120" w:type="dxa"/>
              <w:bottom w:w="90" w:type="dxa"/>
              <w:end w:w="120" w:type="dxa"/>
            </w:tcMar>
            <w:vAlign w:val="center"/>
          </w:tcPr>
          <w:p>
            <w:r>
              <w:rPr>
                <w:rFonts w:ascii="Calibri" w:hAnsi="Calibri"/>
                <w:color w:val="1E293B"/>
                <w:sz w:val="19"/>
              </w:rPr>
              <w:t>August 06, 2026</w:t>
            </w:r>
          </w:p>
        </w:tc>
      </w:tr>
    </w:tbl>
    <w:p>
      <w:pPr>
        <w:spacing w:before="560"/>
        <w:jc w:val="center"/>
      </w:pPr>
      <w:r>
        <w:rPr>
          <w:rFonts w:ascii="Calibri" w:hAnsi="Calibri"/>
          <w:b/>
          <w:color w:val="0F2747"/>
          <w:sz w:val="20"/>
        </w:rPr>
        <w:t>Fraud Transaction Detector | AML Anomaly Intelligence Platform</w:t>
      </w:r>
    </w:p>
    <w:p>
      <w:r>
        <w:br w:type="page"/>
      </w:r>
    </w:p>
    <w:p>
      <w:pPr>
        <w:pStyle w:val="Heading1"/>
      </w:pPr>
      <w:r>
        <w:t>How to Use This Guide</w:t>
      </w:r>
    </w:p>
    <w:p>
      <w:r>
        <w:rPr>
          <w:rFonts w:ascii="Calibri" w:hAnsi="Calibri"/>
          <w:color w:val="1E293B"/>
        </w:rPr>
        <w:t>This guide explains how to start the application, navigate every available Angular page, run the offline model-comparison workflow, operate the bank-scale Half-Space Trees lifecycle, configure production safeguards, and investigate generated cases. It describes the current implementation as of the document date.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Important scope: </w:t>
            </w:r>
            <w:r>
              <w:rPr>
                <w:rFonts w:ascii="Calibri" w:hAnsi="Calibri"/>
                <w:color w:val="1E293B"/>
              </w:rPr>
              <w:t>The system identifies suspicious or anomalous transactions. It does not declare that fraud has been proven. A human reviewer remains responsible for the final case decision.</w:t>
            </w:r>
          </w:p>
        </w:tc>
      </w:tr>
    </w:tbl>
    <w:p>
      <w:pPr>
        <w:spacing w:after="0"/>
      </w:pPr>
    </w:p>
    <w:p>
      <w:pPr>
        <w:pStyle w:val="Heading2"/>
      </w:pPr>
      <w:r>
        <w:t>Contents</w:t>
      </w:r>
    </w:p>
    <w:p>
      <w:pPr>
        <w:pStyle w:val="ListBullet"/>
      </w:pPr>
      <w:r>
        <w:rPr>
          <w:rFonts w:ascii="Calibri" w:hAnsi="Calibri"/>
          <w:color w:val="1E293B"/>
        </w:rPr>
        <w:t>1. System overview and roles</w:t>
      </w:r>
    </w:p>
    <w:p>
      <w:pPr>
        <w:pStyle w:val="ListBullet"/>
      </w:pPr>
      <w:r>
        <w:rPr>
          <w:rFonts w:ascii="Calibri" w:hAnsi="Calibri"/>
          <w:color w:val="1E293B"/>
        </w:rPr>
        <w:t>2. Installation prerequisites and startup</w:t>
      </w:r>
    </w:p>
    <w:p>
      <w:pPr>
        <w:pStyle w:val="ListBullet"/>
      </w:pPr>
      <w:r>
        <w:rPr>
          <w:rFonts w:ascii="Calibri" w:hAnsi="Calibri"/>
          <w:color w:val="1E293B"/>
        </w:rPr>
        <w:t>3. Authentication and navigation</w:t>
      </w:r>
    </w:p>
    <w:p>
      <w:pPr>
        <w:pStyle w:val="ListBullet"/>
      </w:pPr>
      <w:r>
        <w:rPr>
          <w:rFonts w:ascii="Calibri" w:hAnsi="Calibri"/>
          <w:color w:val="1E293B"/>
        </w:rPr>
        <w:t>4. Uploading transaction data</w:t>
      </w:r>
    </w:p>
    <w:p>
      <w:pPr>
        <w:pStyle w:val="ListBullet"/>
      </w:pPr>
      <w:r>
        <w:rPr>
          <w:rFonts w:ascii="Calibri" w:hAnsi="Calibri"/>
          <w:color w:val="1E293B"/>
        </w:rPr>
        <w:t>5. Comparing anomaly models as data grows</w:t>
      </w:r>
    </w:p>
    <w:p>
      <w:pPr>
        <w:pStyle w:val="ListBullet"/>
      </w:pPr>
      <w:r>
        <w:rPr>
          <w:rFonts w:ascii="Calibri" w:hAnsi="Calibri"/>
          <w:color w:val="1E293B"/>
        </w:rPr>
        <w:t>6. Operating governed incremental training</w:t>
      </w:r>
    </w:p>
    <w:p>
      <w:pPr>
        <w:pStyle w:val="ListBullet"/>
      </w:pPr>
      <w:r>
        <w:rPr>
          <w:rFonts w:ascii="Calibri" w:hAnsi="Calibri"/>
          <w:color w:val="1E293B"/>
        </w:rPr>
        <w:t>7. Validating models and controlling layered rollout</w:t>
      </w:r>
    </w:p>
    <w:p>
      <w:pPr>
        <w:pStyle w:val="ListBullet"/>
      </w:pPr>
      <w:r>
        <w:rPr>
          <w:rFonts w:ascii="Calibri" w:hAnsi="Calibri"/>
          <w:color w:val="1E293B"/>
        </w:rPr>
        <w:t>8. Model tuning, anomaly configuration, and cold start</w:t>
      </w:r>
    </w:p>
    <w:p>
      <w:pPr>
        <w:pStyle w:val="ListBullet"/>
      </w:pPr>
      <w:r>
        <w:rPr>
          <w:rFonts w:ascii="Calibri" w:hAnsi="Calibri"/>
          <w:color w:val="1E293B"/>
        </w:rPr>
        <w:t>9. Case management and STR XML generation</w:t>
      </w:r>
    </w:p>
    <w:p>
      <w:pPr>
        <w:pStyle w:val="ListBullet"/>
      </w:pPr>
      <w:r>
        <w:rPr>
          <w:rFonts w:ascii="Calibri" w:hAnsi="Calibri"/>
          <w:color w:val="1E293B"/>
        </w:rPr>
        <w:t>10. Daily operating procedure, troubleshooting, and glossary</w:t>
      </w:r>
    </w:p>
    <w:p>
      <w:pPr>
        <w:pStyle w:val="Heading1"/>
      </w:pPr>
      <w:r>
        <w:t>1. System Overview and User Roles</w:t>
      </w:r>
    </w:p>
    <w:p>
      <w:r>
        <w:rPr>
          <w:rFonts w:ascii="Calibri" w:hAnsi="Calibri"/>
          <w:color w:val="1E293B"/>
        </w:rPr>
        <w:t>The application consists of an Angular user interface, one Spring Boot modular-monolith backend, a Python FastAPI machine-learning service, and Microsoft SQL Server. Users work only through Angular or the Spring API. Spring owns database access and business decisions; Python owns model training and scoring.</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Angular</w:t>
            </w:r>
          </w:p>
          <w:p>
            <w:pPr>
              <w:jc w:val="center"/>
            </w:pPr>
            <w:r>
              <w:rPr>
                <w:rFonts w:ascii="Calibri" w:hAnsi="Calibri"/>
                <w:color w:val="1E293B"/>
                <w:sz w:val="16"/>
              </w:rPr>
              <w:t>Port 4200</w:t>
              <w:br/>
              <w:t>User interface</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Spring Boot</w:t>
            </w:r>
          </w:p>
          <w:p>
            <w:pPr>
              <w:jc w:val="center"/>
            </w:pPr>
            <w:r>
              <w:rPr>
                <w:rFonts w:ascii="Calibri" w:hAnsi="Calibri"/>
                <w:color w:val="1E293B"/>
                <w:sz w:val="16"/>
              </w:rPr>
              <w:t>Port 8080</w:t>
              <w:br/>
              <w:t>Business and database layer</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FastAPI</w:t>
            </w:r>
          </w:p>
          <w:p>
            <w:pPr>
              <w:jc w:val="center"/>
            </w:pPr>
            <w:r>
              <w:rPr>
                <w:rFonts w:ascii="Calibri" w:hAnsi="Calibri"/>
                <w:color w:val="1E293B"/>
                <w:sz w:val="16"/>
              </w:rPr>
              <w:t>Port 8000</w:t>
              <w:br/>
              <w:t>ML training and scoring</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SQL Server</w:t>
            </w:r>
          </w:p>
          <w:p>
            <w:pPr>
              <w:jc w:val="center"/>
            </w:pPr>
            <w:r>
              <w:rPr>
                <w:rFonts w:ascii="Calibri" w:hAnsi="Calibri"/>
                <w:color w:val="1E293B"/>
                <w:sz w:val="16"/>
              </w:rPr>
              <w:t>Transactions, cases, configuration, audit</w:t>
            </w:r>
          </w:p>
        </w:tc>
      </w:tr>
    </w:tbl>
    <w:p>
      <w:pPr>
        <w:spacing w:after="0"/>
      </w:pPr>
    </w:p>
    <w:p>
      <w:pPr>
        <w:pStyle w:val="Heading2"/>
      </w:pPr>
      <w:r>
        <w:t>User roles</w:t>
      </w:r>
    </w:p>
    <w:tbl>
      <w:tblPr>
        <w:tblStyle w:val="TableGrid"/>
        <w:tblW w:type="dxa" w:w="9360"/>
        <w:jc w:val="left"/>
        <w:tblLayout w:type="fixed"/>
        <w:tblLook w:firstColumn="1" w:firstRow="1" w:lastColumn="0" w:lastRow="0" w:noHBand="0" w:noVBand="1" w:val="04A0"/>
        <w:tblInd w:w="120" w:type="dxa"/>
      </w:tblPr>
      <w:tblGrid>
        <w:gridCol w:w="1600"/>
        <w:gridCol w:w="4700"/>
        <w:gridCol w:w="3060"/>
      </w:tblGrid>
      <w:tr>
        <w:trPr>
          <w:tblHeader w:val="true"/>
        </w:trPr>
        <w:tc>
          <w:tcPr>
            <w:tcW w:type="dxa" w:w="1600"/>
            <w:shd w:fill="0F2747"/>
            <w:tcMar>
              <w:top w:w="90" w:type="dxa"/>
              <w:start w:w="120" w:type="dxa"/>
              <w:bottom w:w="90" w:type="dxa"/>
              <w:end w:w="120" w:type="dxa"/>
            </w:tcMar>
            <w:vAlign w:val="center"/>
          </w:tcPr>
          <w:p>
            <w:r>
              <w:rPr>
                <w:rFonts w:ascii="Calibri" w:hAnsi="Calibri"/>
                <w:b/>
                <w:color w:val="FFFFFF"/>
                <w:sz w:val="18"/>
              </w:rPr>
              <w:t>Role</w:t>
            </w:r>
          </w:p>
        </w:tc>
        <w:tc>
          <w:tcPr>
            <w:tcW w:type="dxa" w:w="4700"/>
            <w:shd w:fill="0F2747"/>
            <w:tcMar>
              <w:top w:w="90" w:type="dxa"/>
              <w:start w:w="120" w:type="dxa"/>
              <w:bottom w:w="90" w:type="dxa"/>
              <w:end w:w="120" w:type="dxa"/>
            </w:tcMar>
            <w:vAlign w:val="center"/>
          </w:tcPr>
          <w:p>
            <w:r>
              <w:rPr>
                <w:rFonts w:ascii="Calibri" w:hAnsi="Calibri"/>
                <w:b/>
                <w:color w:val="FFFFFF"/>
                <w:sz w:val="18"/>
              </w:rPr>
              <w:t>Primary responsibilities</w:t>
            </w:r>
          </w:p>
        </w:tc>
        <w:tc>
          <w:tcPr>
            <w:tcW w:type="dxa" w:w="3060"/>
            <w:shd w:fill="0F2747"/>
            <w:tcMar>
              <w:top w:w="90" w:type="dxa"/>
              <w:start w:w="120" w:type="dxa"/>
              <w:bottom w:w="90" w:type="dxa"/>
              <w:end w:w="120" w:type="dxa"/>
            </w:tcMar>
            <w:vAlign w:val="center"/>
          </w:tcPr>
          <w:p>
            <w:r>
              <w:rPr>
                <w:rFonts w:ascii="Calibri" w:hAnsi="Calibri"/>
                <w:b/>
                <w:color w:val="FFFFFF"/>
                <w:sz w:val="18"/>
              </w:rPr>
              <w:t>Restricted functions</w:t>
            </w:r>
          </w:p>
        </w:tc>
      </w:tr>
      <w:tr>
        <w:tc>
          <w:tcPr>
            <w:tcW w:type="dxa" w:w="1600"/>
            <w:shd w:fill="F7FAFF"/>
            <w:tcMar>
              <w:top w:w="90" w:type="dxa"/>
              <w:start w:w="120" w:type="dxa"/>
              <w:bottom w:w="90" w:type="dxa"/>
              <w:end w:w="120" w:type="dxa"/>
            </w:tcMar>
            <w:vAlign w:val="center"/>
          </w:tcPr>
          <w:p>
            <w:r>
              <w:rPr>
                <w:rFonts w:ascii="Calibri" w:hAnsi="Calibri"/>
                <w:color w:val="1E293B"/>
                <w:sz w:val="18"/>
              </w:rPr>
              <w:t>REVIEWER</w:t>
            </w:r>
          </w:p>
        </w:tc>
        <w:tc>
          <w:tcPr>
            <w:tcW w:type="dxa" w:w="4700"/>
            <w:shd w:fill="F7FAFF"/>
            <w:tcMar>
              <w:top w:w="90" w:type="dxa"/>
              <w:start w:w="120" w:type="dxa"/>
              <w:bottom w:w="90" w:type="dxa"/>
              <w:end w:w="120" w:type="dxa"/>
            </w:tcMar>
            <w:vAlign w:val="center"/>
          </w:tcPr>
          <w:p>
            <w:r>
              <w:rPr>
                <w:rFonts w:ascii="Calibri" w:hAnsi="Calibri"/>
                <w:color w:val="1E293B"/>
                <w:sz w:val="18"/>
              </w:rPr>
              <w:t>Review cases, inspect model evidence, add notes, mark false positive, generate STR XML, create manual cases.</w:t>
            </w:r>
          </w:p>
        </w:tc>
        <w:tc>
          <w:tcPr>
            <w:tcW w:type="dxa" w:w="3060"/>
            <w:shd w:fill="F7FAFF"/>
            <w:tcMar>
              <w:top w:w="90" w:type="dxa"/>
              <w:start w:w="120" w:type="dxa"/>
              <w:bottom w:w="90" w:type="dxa"/>
              <w:end w:w="120" w:type="dxa"/>
            </w:tcMar>
            <w:vAlign w:val="center"/>
          </w:tcPr>
          <w:p>
            <w:r>
              <w:rPr>
                <w:rFonts w:ascii="Calibri" w:hAnsi="Calibri"/>
                <w:color w:val="1E293B"/>
                <w:sz w:val="18"/>
              </w:rPr>
              <w:t>Cannot access administrator configuration and training-operation pages.</w:t>
            </w:r>
          </w:p>
        </w:tc>
      </w:tr>
      <w:tr>
        <w:tc>
          <w:tcPr>
            <w:tcW w:type="dxa" w:w="1600"/>
            <w:tcMar>
              <w:top w:w="90" w:type="dxa"/>
              <w:start w:w="120" w:type="dxa"/>
              <w:bottom w:w="90" w:type="dxa"/>
              <w:end w:w="120" w:type="dxa"/>
            </w:tcMar>
            <w:vAlign w:val="center"/>
          </w:tcPr>
          <w:p>
            <w:r>
              <w:rPr>
                <w:rFonts w:ascii="Calibri" w:hAnsi="Calibri"/>
                <w:color w:val="1E293B"/>
                <w:sz w:val="18"/>
              </w:rPr>
              <w:t>ANALYST</w:t>
            </w:r>
          </w:p>
        </w:tc>
        <w:tc>
          <w:tcPr>
            <w:tcW w:type="dxa" w:w="4700"/>
            <w:tcMar>
              <w:top w:w="90" w:type="dxa"/>
              <w:start w:w="120" w:type="dxa"/>
              <w:bottom w:w="90" w:type="dxa"/>
              <w:end w:w="120" w:type="dxa"/>
            </w:tcMar>
            <w:vAlign w:val="center"/>
          </w:tcPr>
          <w:p>
            <w:r>
              <w:rPr>
                <w:rFonts w:ascii="Calibri" w:hAnsi="Calibri"/>
                <w:color w:val="1E293B"/>
                <w:sz w:val="18"/>
              </w:rPr>
              <w:t>Operational review and investigation where assigned by deployment policy.</w:t>
            </w:r>
          </w:p>
        </w:tc>
        <w:tc>
          <w:tcPr>
            <w:tcW w:type="dxa" w:w="3060"/>
            <w:tcMar>
              <w:top w:w="90" w:type="dxa"/>
              <w:start w:w="120" w:type="dxa"/>
              <w:bottom w:w="90" w:type="dxa"/>
              <w:end w:w="120" w:type="dxa"/>
            </w:tcMar>
            <w:vAlign w:val="center"/>
          </w:tcPr>
          <w:p>
            <w:r>
              <w:rPr>
                <w:rFonts w:ascii="Calibri" w:hAnsi="Calibri"/>
                <w:color w:val="1E293B"/>
                <w:sz w:val="18"/>
              </w:rPr>
              <w:t>Administrator-only model controls remain unavailable.</w:t>
            </w:r>
          </w:p>
        </w:tc>
      </w:tr>
      <w:tr>
        <w:tc>
          <w:tcPr>
            <w:tcW w:type="dxa" w:w="1600"/>
            <w:shd w:fill="F7FAFF"/>
            <w:tcMar>
              <w:top w:w="90" w:type="dxa"/>
              <w:start w:w="120" w:type="dxa"/>
              <w:bottom w:w="90" w:type="dxa"/>
              <w:end w:w="120" w:type="dxa"/>
            </w:tcMar>
            <w:vAlign w:val="center"/>
          </w:tcPr>
          <w:p>
            <w:r>
              <w:rPr>
                <w:rFonts w:ascii="Calibri" w:hAnsi="Calibri"/>
                <w:color w:val="1E293B"/>
                <w:sz w:val="18"/>
              </w:rPr>
              <w:t>ADMIN / AML_ADMIN</w:t>
            </w:r>
          </w:p>
        </w:tc>
        <w:tc>
          <w:tcPr>
            <w:tcW w:type="dxa" w:w="4700"/>
            <w:shd w:fill="F7FAFF"/>
            <w:tcMar>
              <w:top w:w="90" w:type="dxa"/>
              <w:start w:w="120" w:type="dxa"/>
              <w:bottom w:w="90" w:type="dxa"/>
              <w:end w:w="120" w:type="dxa"/>
            </w:tcMar>
            <w:vAlign w:val="center"/>
          </w:tcPr>
          <w:p>
            <w:r>
              <w:rPr>
                <w:rFonts w:ascii="Calibri" w:hAnsi="Calibri"/>
                <w:color w:val="1E293B"/>
                <w:sz w:val="18"/>
              </w:rPr>
              <w:t>All reviewer functions plus training operations, tuning, anomaly configuration, cold-start configuration, validation, promotion, and rollback.</w:t>
            </w:r>
          </w:p>
        </w:tc>
        <w:tc>
          <w:tcPr>
            <w:tcW w:type="dxa" w:w="3060"/>
            <w:shd w:fill="F7FAFF"/>
            <w:tcMar>
              <w:top w:w="90" w:type="dxa"/>
              <w:start w:w="120" w:type="dxa"/>
              <w:bottom w:w="90" w:type="dxa"/>
              <w:end w:w="120" w:type="dxa"/>
            </w:tcMar>
            <w:vAlign w:val="center"/>
          </w:tcPr>
          <w:p>
            <w:r>
              <w:rPr>
                <w:rFonts w:ascii="Calibri" w:hAnsi="Calibri"/>
                <w:color w:val="1E293B"/>
                <w:sz w:val="18"/>
              </w:rPr>
              <w:t>Every governed deployment action requires an audit reason.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F"/>
            <w:tcMar>
              <w:top w:w="90" w:type="dxa"/>
              <w:start w:w="120" w:type="dxa"/>
              <w:bottom w:w="90" w:type="dxa"/>
              <w:end w:w="120" w:type="dxa"/>
            </w:tcMar>
            <w:vAlign w:val="center"/>
          </w:tcPr>
          <w:p>
            <w:pPr>
              <w:spacing w:after="0"/>
            </w:pPr>
            <w:r>
              <w:rPr>
                <w:rFonts w:ascii="Calibri" w:hAnsi="Calibri"/>
                <w:b/>
                <w:color w:val="2563EB"/>
              </w:rPr>
              <w:t xml:space="preserve">Registration security: </w:t>
            </w:r>
            <w:r>
              <w:rPr>
                <w:rFonts w:ascii="Calibri" w:hAnsi="Calibri"/>
                <w:color w:val="1E293B"/>
              </w:rPr>
              <w:t>Self-registration always creates a REVIEWER account. Administrative roles must be assigned through a controlled administrative/database process; they cannot be selected on the public registration page.</w:t>
            </w:r>
          </w:p>
        </w:tc>
      </w:tr>
    </w:tbl>
    <w:p>
      <w:pPr>
        <w:spacing w:after="0"/>
      </w:pPr>
    </w:p>
    <w:p>
      <w:pPr>
        <w:pStyle w:val="Heading1"/>
      </w:pPr>
      <w:r>
        <w:t>2. Prerequisites and Startup</w:t>
      </w:r>
    </w:p>
    <w:p>
      <w:pPr>
        <w:pStyle w:val="Heading2"/>
      </w:pPr>
      <w:r>
        <w:t>Required software and services</w:t>
      </w:r>
    </w:p>
    <w:p>
      <w:pPr>
        <w:pStyle w:val="ListBullet"/>
      </w:pPr>
      <w:r>
        <w:rPr>
          <w:rFonts w:ascii="Calibri" w:hAnsi="Calibri"/>
          <w:color w:val="1E293B"/>
        </w:rPr>
        <w:t>Microsoft SQL Server with the fraud-transaction-detector database and all applicable migration scripts already executed.</w:t>
      </w:r>
    </w:p>
    <w:p>
      <w:pPr>
        <w:pStyle w:val="ListBullet"/>
      </w:pPr>
      <w:r>
        <w:rPr>
          <w:rFonts w:ascii="Calibri" w:hAnsi="Calibri"/>
          <w:color w:val="1E293B"/>
        </w:rPr>
        <w:t>Java 17 and Maven for the Spring Boot application.</w:t>
      </w:r>
    </w:p>
    <w:p>
      <w:pPr>
        <w:pStyle w:val="ListBullet"/>
      </w:pPr>
      <w:r>
        <w:rPr>
          <w:rFonts w:ascii="Calibri" w:hAnsi="Calibri"/>
          <w:color w:val="1E293B"/>
        </w:rPr>
        <w:t>Python virtual environment with dependencies from fraud-ml-service/requirements.txt.</w:t>
      </w:r>
    </w:p>
    <w:p>
      <w:pPr>
        <w:pStyle w:val="ListBullet"/>
      </w:pPr>
      <w:r>
        <w:rPr>
          <w:rFonts w:ascii="Calibri" w:hAnsi="Calibri"/>
          <w:color w:val="1E293B"/>
        </w:rPr>
        <w:t>Node.js, npm, and Angular dependencies for fraud-transaction-ui.</w:t>
      </w:r>
    </w:p>
    <w:p>
      <w:pPr>
        <w:pStyle w:val="ListBullet"/>
      </w:pPr>
      <w:r>
        <w:rPr>
          <w:rFonts w:ascii="Calibri" w:hAnsi="Calibri"/>
          <w:color w:val="1E293B"/>
        </w:rPr>
        <w:t>Ports 1433, 8000, 8080, and 4200 available locally, unless configuration is changed.</w:t>
      </w:r>
    </w:p>
    <w:p>
      <w:pPr>
        <w:pStyle w:val="Heading2"/>
      </w:pPr>
      <w:r>
        <w:t>Recommended startup order</w:t>
      </w:r>
    </w:p>
    <w:p>
      <w:pPr>
        <w:pStyle w:val="ListNumber"/>
      </w:pPr>
      <w:r>
        <w:rPr>
          <w:rFonts w:ascii="Calibri" w:hAnsi="Calibri"/>
          <w:color w:val="1E293B"/>
        </w:rPr>
        <w:t>Start SQL Server and verify that the fraud-transaction-detector database is reachable.</w:t>
      </w:r>
    </w:p>
    <w:p>
      <w:pPr>
        <w:pStyle w:val="ListNumber"/>
      </w:pPr>
      <w:r>
        <w:rPr>
          <w:rFonts w:ascii="Calibri" w:hAnsi="Calibri"/>
          <w:color w:val="1E293B"/>
        </w:rPr>
        <w:t>Start the Python ML service on port 8000.</w:t>
      </w:r>
    </w:p>
    <w:p>
      <w:pPr>
        <w:pStyle w:val="ListNumber"/>
      </w:pPr>
      <w:r>
        <w:rPr>
          <w:rFonts w:ascii="Calibri" w:hAnsi="Calibri"/>
          <w:color w:val="1E293B"/>
        </w:rPr>
        <w:t>Start the Spring Boot application on port 8080.</w:t>
      </w:r>
    </w:p>
    <w:p>
      <w:pPr>
        <w:pStyle w:val="ListNumber"/>
      </w:pPr>
      <w:r>
        <w:rPr>
          <w:rFonts w:ascii="Calibri" w:hAnsi="Calibri"/>
          <w:color w:val="1E293B"/>
        </w:rPr>
        <w:t>Start the Angular development server on port 4200.</w:t>
      </w:r>
    </w:p>
    <w:p>
      <w:pPr>
        <w:pStyle w:val="ListNumber"/>
      </w:pPr>
      <w:r>
        <w:rPr>
          <w:rFonts w:ascii="Calibri" w:hAnsi="Calibri"/>
          <w:color w:val="1E293B"/>
        </w:rPr>
        <w:t>Open http://localhost:4200 and sign in.</w:t>
      </w:r>
    </w:p>
    <w:p>
      <w:pPr>
        <w:pStyle w:val="Heading2"/>
      </w:pPr>
      <w:r>
        <w:t>Commands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AFC"/>
            <w:tcMar>
              <w:top w:w="90" w:type="dxa"/>
              <w:start w:w="120" w:type="dxa"/>
              <w:bottom w:w="90" w:type="dxa"/>
              <w:end w:w="120" w:type="dxa"/>
            </w:tcMar>
            <w:vAlign w:val="center"/>
          </w:tcPr>
          <w:p>
            <w:pPr>
              <w:spacing w:after="0"/>
            </w:pPr>
            <w:r>
              <w:rPr>
                <w:rFonts w:ascii="Consolas" w:hAnsi="Consolas"/>
                <w:color w:val="0F2747"/>
                <w:sz w:val="17"/>
              </w:rPr>
              <w:t># Terminal 1 - Python ML service</w:t>
            </w:r>
            <w:r>
              <w:br/>
            </w:r>
            <w:r>
              <w:rPr>
                <w:rFonts w:ascii="Consolas" w:hAnsi="Consolas"/>
                <w:color w:val="0F2747"/>
                <w:sz w:val="17"/>
              </w:rPr>
              <w:t>cd fraud-ml-service</w:t>
            </w:r>
            <w:r>
              <w:br/>
            </w:r>
            <w:r>
              <w:rPr>
                <w:rFonts w:ascii="Consolas" w:hAnsi="Consolas"/>
                <w:color w:val="0F2747"/>
                <w:sz w:val="17"/>
              </w:rPr>
              <w:t>.\.venv\Scripts\python.exe -m uvicorn app.main:app --host 0.0.0.0 --port 8000 --reload</w:t>
            </w:r>
            <w:r>
              <w:br/>
            </w:r>
            <w:r>
              <w:rPr>
                <w:rFonts w:ascii="Consolas" w:hAnsi="Consolas"/>
                <w:color w:val="0F2747"/>
                <w:sz w:val="17"/>
              </w:rPr>
            </w:r>
            <w:r>
              <w:br/>
            </w:r>
            <w:r>
              <w:rPr>
                <w:rFonts w:ascii="Consolas" w:hAnsi="Consolas"/>
                <w:color w:val="0F2747"/>
                <w:sz w:val="17"/>
              </w:rPr>
              <w:t># Terminal 2 - Spring Boot</w:t>
            </w:r>
            <w:r>
              <w:br/>
            </w:r>
            <w:r>
              <w:rPr>
                <w:rFonts w:ascii="Consolas" w:hAnsi="Consolas"/>
                <w:color w:val="0F2747"/>
                <w:sz w:val="17"/>
              </w:rPr>
              <w:t>cd fraud-transaction-detector</w:t>
            </w:r>
            <w:r>
              <w:br/>
            </w:r>
            <w:r>
              <w:rPr>
                <w:rFonts w:ascii="Consolas" w:hAnsi="Consolas"/>
                <w:color w:val="0F2747"/>
                <w:sz w:val="17"/>
              </w:rPr>
              <w:t>mvn spring-boot:run</w:t>
            </w:r>
            <w:r>
              <w:br/>
            </w:r>
            <w:r>
              <w:rPr>
                <w:rFonts w:ascii="Consolas" w:hAnsi="Consolas"/>
                <w:color w:val="0F2747"/>
                <w:sz w:val="17"/>
              </w:rPr>
            </w:r>
            <w:r>
              <w:br/>
            </w:r>
            <w:r>
              <w:rPr>
                <w:rFonts w:ascii="Consolas" w:hAnsi="Consolas"/>
                <w:color w:val="0F2747"/>
                <w:sz w:val="17"/>
              </w:rPr>
              <w:t># Terminal 3 - Angular UI</w:t>
            </w:r>
            <w:r>
              <w:br/>
            </w:r>
            <w:r>
              <w:rPr>
                <w:rFonts w:ascii="Consolas" w:hAnsi="Consolas"/>
                <w:color w:val="0F2747"/>
                <w:sz w:val="17"/>
              </w:rPr>
              <w:t>cd fraud-transaction-ui</w:t>
            </w:r>
            <w:r>
              <w:br/>
            </w:r>
            <w:r>
              <w:rPr>
                <w:rFonts w:ascii="Consolas" w:hAnsi="Consolas"/>
                <w:color w:val="0F2747"/>
                <w:sz w:val="17"/>
              </w:rPr>
              <w:t>npm install   # first run or after dependency changes</w:t>
            </w:r>
            <w:r>
              <w:br/>
            </w:r>
            <w:r>
              <w:rPr>
                <w:rFonts w:ascii="Consolas" w:hAnsi="Consolas"/>
                <w:color w:val="0F2747"/>
                <w:sz w:val="17"/>
              </w:rPr>
              <w:t>npm start</w:t>
            </w:r>
          </w:p>
        </w:tc>
      </w:tr>
    </w:tbl>
    <w:p>
      <w:pPr>
        <w:pStyle w:val="Heading2"/>
      </w:pPr>
      <w:r>
        <w:t>Startup checks</w:t>
      </w:r>
    </w:p>
    <w:tbl>
      <w:tblPr>
        <w:tblStyle w:val="TableGrid"/>
        <w:tblW w:type="dxa" w:w="9360"/>
        <w:jc w:val="left"/>
        <w:tblLayout w:type="fixed"/>
        <w:tblLook w:firstColumn="1" w:firstRow="1" w:lastColumn="0" w:lastRow="0" w:noHBand="0" w:noVBand="1" w:val="04A0"/>
        <w:tblInd w:w="120" w:type="dxa"/>
      </w:tblPr>
      <w:tblGrid>
        <w:gridCol w:w="2500"/>
        <w:gridCol w:w="3300"/>
        <w:gridCol w:w="3560"/>
      </w:tblGrid>
      <w:tr>
        <w:trPr>
          <w:tblHeader w:val="true"/>
        </w:trPr>
        <w:tc>
          <w:tcPr>
            <w:tcW w:type="dxa" w:w="2500"/>
            <w:shd w:fill="0F2747"/>
            <w:tcMar>
              <w:top w:w="90" w:type="dxa"/>
              <w:start w:w="120" w:type="dxa"/>
              <w:bottom w:w="90" w:type="dxa"/>
              <w:end w:w="120" w:type="dxa"/>
            </w:tcMar>
            <w:vAlign w:val="center"/>
          </w:tcPr>
          <w:p>
            <w:r>
              <w:rPr>
                <w:rFonts w:ascii="Calibri" w:hAnsi="Calibri"/>
                <w:b/>
                <w:color w:val="FFFFFF"/>
                <w:sz w:val="18"/>
              </w:rPr>
              <w:t>Check</w:t>
            </w:r>
          </w:p>
        </w:tc>
        <w:tc>
          <w:tcPr>
            <w:tcW w:type="dxa" w:w="3300"/>
            <w:shd w:fill="0F2747"/>
            <w:tcMar>
              <w:top w:w="90" w:type="dxa"/>
              <w:start w:w="120" w:type="dxa"/>
              <w:bottom w:w="90" w:type="dxa"/>
              <w:end w:w="120" w:type="dxa"/>
            </w:tcMar>
            <w:vAlign w:val="center"/>
          </w:tcPr>
          <w:p>
            <w:r>
              <w:rPr>
                <w:rFonts w:ascii="Calibri" w:hAnsi="Calibri"/>
                <w:b/>
                <w:color w:val="FFFFFF"/>
                <w:sz w:val="18"/>
              </w:rPr>
              <w:t>Expected result</w:t>
            </w:r>
          </w:p>
        </w:tc>
        <w:tc>
          <w:tcPr>
            <w:tcW w:type="dxa" w:w="3560"/>
            <w:shd w:fill="0F2747"/>
            <w:tcMar>
              <w:top w:w="90" w:type="dxa"/>
              <w:start w:w="120" w:type="dxa"/>
              <w:bottom w:w="90" w:type="dxa"/>
              <w:end w:w="120" w:type="dxa"/>
            </w:tcMar>
            <w:vAlign w:val="center"/>
          </w:tcPr>
          <w:p>
            <w:r>
              <w:rPr>
                <w:rFonts w:ascii="Calibri" w:hAnsi="Calibri"/>
                <w:b/>
                <w:color w:val="FFFFFF"/>
                <w:sz w:val="18"/>
              </w:rPr>
              <w:t>If it fails</w:t>
            </w:r>
          </w:p>
        </w:tc>
      </w:tr>
      <w:tr>
        <w:tc>
          <w:tcPr>
            <w:tcW w:type="dxa" w:w="2500"/>
            <w:shd w:fill="F7FAFF"/>
            <w:tcMar>
              <w:top w:w="90" w:type="dxa"/>
              <w:start w:w="120" w:type="dxa"/>
              <w:bottom w:w="90" w:type="dxa"/>
              <w:end w:w="120" w:type="dxa"/>
            </w:tcMar>
            <w:vAlign w:val="center"/>
          </w:tcPr>
          <w:p>
            <w:r>
              <w:rPr>
                <w:rFonts w:ascii="Calibri" w:hAnsi="Calibri"/>
                <w:color w:val="1E293B"/>
                <w:sz w:val="18"/>
              </w:rPr>
              <w:t>http://localhost:8080/health</w:t>
            </w:r>
          </w:p>
        </w:tc>
        <w:tc>
          <w:tcPr>
            <w:tcW w:type="dxa" w:w="3300"/>
            <w:shd w:fill="F7FAFF"/>
            <w:tcMar>
              <w:top w:w="90" w:type="dxa"/>
              <w:start w:w="120" w:type="dxa"/>
              <w:bottom w:w="90" w:type="dxa"/>
              <w:end w:w="120" w:type="dxa"/>
            </w:tcMar>
            <w:vAlign w:val="center"/>
          </w:tcPr>
          <w:p>
            <w:r>
              <w:rPr>
                <w:rFonts w:ascii="Calibri" w:hAnsi="Calibri"/>
                <w:color w:val="1E293B"/>
                <w:sz w:val="18"/>
              </w:rPr>
              <w:t>status = UP and modular-monolith architecture</w:t>
            </w:r>
          </w:p>
        </w:tc>
        <w:tc>
          <w:tcPr>
            <w:tcW w:type="dxa" w:w="3560"/>
            <w:shd w:fill="F7FAFF"/>
            <w:tcMar>
              <w:top w:w="90" w:type="dxa"/>
              <w:start w:w="120" w:type="dxa"/>
              <w:bottom w:w="90" w:type="dxa"/>
              <w:end w:w="120" w:type="dxa"/>
            </w:tcMar>
            <w:vAlign w:val="center"/>
          </w:tcPr>
          <w:p>
            <w:r>
              <w:rPr>
                <w:rFonts w:ascii="Calibri" w:hAnsi="Calibri"/>
                <w:color w:val="1E293B"/>
                <w:sz w:val="18"/>
              </w:rPr>
              <w:t>Check Java logs, database connectivity, and port 8080.</w:t>
            </w:r>
          </w:p>
        </w:tc>
      </w:tr>
      <w:tr>
        <w:tc>
          <w:tcPr>
            <w:tcW w:type="dxa" w:w="2500"/>
            <w:tcMar>
              <w:top w:w="90" w:type="dxa"/>
              <w:start w:w="120" w:type="dxa"/>
              <w:bottom w:w="90" w:type="dxa"/>
              <w:end w:w="120" w:type="dxa"/>
            </w:tcMar>
            <w:vAlign w:val="center"/>
          </w:tcPr>
          <w:p>
            <w:r>
              <w:rPr>
                <w:rFonts w:ascii="Calibri" w:hAnsi="Calibri"/>
                <w:color w:val="1E293B"/>
                <w:sz w:val="18"/>
              </w:rPr>
              <w:t>http://localhost:8000/docs</w:t>
            </w:r>
          </w:p>
        </w:tc>
        <w:tc>
          <w:tcPr>
            <w:tcW w:type="dxa" w:w="3300"/>
            <w:tcMar>
              <w:top w:w="90" w:type="dxa"/>
              <w:start w:w="120" w:type="dxa"/>
              <w:bottom w:w="90" w:type="dxa"/>
              <w:end w:w="120" w:type="dxa"/>
            </w:tcMar>
            <w:vAlign w:val="center"/>
          </w:tcPr>
          <w:p>
            <w:r>
              <w:rPr>
                <w:rFonts w:ascii="Calibri" w:hAnsi="Calibri"/>
                <w:color w:val="1E293B"/>
                <w:sz w:val="18"/>
              </w:rPr>
              <w:t>FastAPI OpenAPI page loads</w:t>
            </w:r>
          </w:p>
        </w:tc>
        <w:tc>
          <w:tcPr>
            <w:tcW w:type="dxa" w:w="3560"/>
            <w:tcMar>
              <w:top w:w="90" w:type="dxa"/>
              <w:start w:w="120" w:type="dxa"/>
              <w:bottom w:w="90" w:type="dxa"/>
              <w:end w:w="120" w:type="dxa"/>
            </w:tcMar>
            <w:vAlign w:val="center"/>
          </w:tcPr>
          <w:p>
            <w:r>
              <w:rPr>
                <w:rFonts w:ascii="Calibri" w:hAnsi="Calibri"/>
                <w:color w:val="1E293B"/>
                <w:sz w:val="18"/>
              </w:rPr>
              <w:t>Check the Python virtual environment and requirements.</w:t>
            </w:r>
          </w:p>
        </w:tc>
      </w:tr>
      <w:tr>
        <w:tc>
          <w:tcPr>
            <w:tcW w:type="dxa" w:w="2500"/>
            <w:shd w:fill="F7FAFF"/>
            <w:tcMar>
              <w:top w:w="90" w:type="dxa"/>
              <w:start w:w="120" w:type="dxa"/>
              <w:bottom w:w="90" w:type="dxa"/>
              <w:end w:w="120" w:type="dxa"/>
            </w:tcMar>
            <w:vAlign w:val="center"/>
          </w:tcPr>
          <w:p>
            <w:r>
              <w:rPr>
                <w:rFonts w:ascii="Calibri" w:hAnsi="Calibri"/>
                <w:color w:val="1E293B"/>
                <w:sz w:val="18"/>
              </w:rPr>
              <w:t>http://localhost:4200</w:t>
            </w:r>
          </w:p>
        </w:tc>
        <w:tc>
          <w:tcPr>
            <w:tcW w:type="dxa" w:w="3300"/>
            <w:shd w:fill="F7FAFF"/>
            <w:tcMar>
              <w:top w:w="90" w:type="dxa"/>
              <w:start w:w="120" w:type="dxa"/>
              <w:bottom w:w="90" w:type="dxa"/>
              <w:end w:w="120" w:type="dxa"/>
            </w:tcMar>
            <w:vAlign w:val="center"/>
          </w:tcPr>
          <w:p>
            <w:r>
              <w:rPr>
                <w:rFonts w:ascii="Calibri" w:hAnsi="Calibri"/>
                <w:color w:val="1E293B"/>
                <w:sz w:val="18"/>
              </w:rPr>
              <w:t>Login page loads on a white interface</w:t>
            </w:r>
          </w:p>
        </w:tc>
        <w:tc>
          <w:tcPr>
            <w:tcW w:type="dxa" w:w="3560"/>
            <w:shd w:fill="F7FAFF"/>
            <w:tcMar>
              <w:top w:w="90" w:type="dxa"/>
              <w:start w:w="120" w:type="dxa"/>
              <w:bottom w:w="90" w:type="dxa"/>
              <w:end w:w="120" w:type="dxa"/>
            </w:tcMar>
            <w:vAlign w:val="center"/>
          </w:tcPr>
          <w:p>
            <w:r>
              <w:rPr>
                <w:rFonts w:ascii="Calibri" w:hAnsi="Calibri"/>
                <w:color w:val="1E293B"/>
                <w:sz w:val="18"/>
              </w:rPr>
              <w:t>Check npm output and browser console.</w:t>
            </w:r>
          </w:p>
        </w:tc>
      </w:tr>
    </w:tbl>
    <w:p>
      <w:pPr>
        <w:spacing w:after="0"/>
      </w:pPr>
    </w:p>
    <w:p>
      <w:pPr>
        <w:pStyle w:val="Heading1"/>
      </w:pPr>
      <w:r>
        <w:t>3. Authentication and Navigation</w:t>
      </w:r>
    </w:p>
    <w:p>
      <w:pPr>
        <w:pStyle w:val="Heading2"/>
      </w:pPr>
      <w:r>
        <w:t>Create a reviewer account</w:t>
      </w:r>
    </w:p>
    <w:p>
      <w:pPr>
        <w:pStyle w:val="ListNumber"/>
      </w:pPr>
      <w:r>
        <w:rPr>
          <w:rFonts w:ascii="Calibri" w:hAnsi="Calibri"/>
          <w:color w:val="1E293B"/>
        </w:rPr>
        <w:t>Open the Register page from the login screen.</w:t>
      </w:r>
    </w:p>
    <w:p>
      <w:pPr>
        <w:pStyle w:val="ListNumber"/>
      </w:pPr>
      <w:r>
        <w:rPr>
          <w:rFonts w:ascii="Calibri" w:hAnsi="Calibri"/>
          <w:color w:val="1E293B"/>
        </w:rPr>
        <w:t>Enter full name, username, and a password of at least six characters.</w:t>
      </w:r>
    </w:p>
    <w:p>
      <w:pPr>
        <w:pStyle w:val="ListNumber"/>
      </w:pPr>
      <w:r>
        <w:rPr>
          <w:rFonts w:ascii="Calibri" w:hAnsi="Calibri"/>
          <w:color w:val="1E293B"/>
        </w:rPr>
        <w:t>Select Create account. The account is created with the REVIEWER role.</w:t>
      </w:r>
    </w:p>
    <w:p>
      <w:pPr>
        <w:pStyle w:val="ListNumber"/>
      </w:pPr>
      <w:r>
        <w:rPr>
          <w:rFonts w:ascii="Calibri" w:hAnsi="Calibri"/>
          <w:color w:val="1E293B"/>
        </w:rPr>
        <w:t>Return to the Login page and sign in with the new credentials.</w:t>
      </w:r>
    </w:p>
    <w:p>
      <w:pPr>
        <w:pStyle w:val="Heading2"/>
      </w:pPr>
      <w:r>
        <w:t>Sign in and sign out</w:t>
      </w:r>
    </w:p>
    <w:p>
      <w:r>
        <w:rPr>
          <w:rFonts w:ascii="Calibri" w:hAnsi="Calibri"/>
          <w:color w:val="1E293B"/>
        </w:rPr>
        <w:t>On successful login, the browser stores the JWT and current-user information locally for the active session. Use the sign-out icon at the bottom of the side menu to clear the session. If the token expires, sign in again.</w:t>
      </w:r>
    </w:p>
    <w:p>
      <w:pPr>
        <w:pStyle w:val="Heading2"/>
      </w:pPr>
      <w:r>
        <w:t>Side-menu map</w:t>
      </w:r>
    </w:p>
    <w:tbl>
      <w:tblPr>
        <w:tblStyle w:val="TableGrid"/>
        <w:tblW w:type="dxa" w:w="9360"/>
        <w:jc w:val="left"/>
        <w:tblLayout w:type="fixed"/>
        <w:tblLook w:firstColumn="1" w:firstRow="1" w:lastColumn="0" w:lastRow="0" w:noHBand="0" w:noVBand="1" w:val="04A0"/>
        <w:tblInd w:w="120" w:type="dxa"/>
      </w:tblPr>
      <w:tblGrid>
        <w:gridCol w:w="1800"/>
        <w:gridCol w:w="5480"/>
        <w:gridCol w:w="208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Menu item</w:t>
            </w:r>
          </w:p>
        </w:tc>
        <w:tc>
          <w:tcPr>
            <w:tcW w:type="dxa" w:w="5480"/>
            <w:shd w:fill="0F2747"/>
            <w:tcMar>
              <w:top w:w="90" w:type="dxa"/>
              <w:start w:w="120" w:type="dxa"/>
              <w:bottom w:w="90" w:type="dxa"/>
              <w:end w:w="120" w:type="dxa"/>
            </w:tcMar>
            <w:vAlign w:val="center"/>
          </w:tcPr>
          <w:p>
            <w:r>
              <w:rPr>
                <w:rFonts w:ascii="Calibri" w:hAnsi="Calibri"/>
                <w:b/>
                <w:color w:val="FFFFFF"/>
                <w:sz w:val="18"/>
              </w:rPr>
              <w:t>Purpose</w:t>
            </w:r>
          </w:p>
        </w:tc>
        <w:tc>
          <w:tcPr>
            <w:tcW w:type="dxa" w:w="2080"/>
            <w:shd w:fill="0F2747"/>
            <w:tcMar>
              <w:top w:w="90" w:type="dxa"/>
              <w:start w:w="120" w:type="dxa"/>
              <w:bottom w:w="90" w:type="dxa"/>
              <w:end w:w="120" w:type="dxa"/>
            </w:tcMar>
            <w:vAlign w:val="center"/>
          </w:tcPr>
          <w:p>
            <w:r>
              <w:rPr>
                <w:rFonts w:ascii="Calibri" w:hAnsi="Calibri"/>
                <w:b/>
                <w:color w:val="FFFFFF"/>
                <w:sz w:val="18"/>
              </w:rPr>
              <w:t>Access</w:t>
            </w:r>
          </w:p>
        </w:tc>
      </w:tr>
      <w:tr>
        <w:tc>
          <w:tcPr>
            <w:tcW w:type="dxa" w:w="1800"/>
            <w:shd w:fill="F7FAFF"/>
            <w:tcMar>
              <w:top w:w="90" w:type="dxa"/>
              <w:start w:w="120" w:type="dxa"/>
              <w:bottom w:w="90" w:type="dxa"/>
              <w:end w:w="120" w:type="dxa"/>
            </w:tcMar>
            <w:vAlign w:val="center"/>
          </w:tcPr>
          <w:p>
            <w:r>
              <w:rPr>
                <w:rFonts w:ascii="Calibri" w:hAnsi="Calibri"/>
                <w:color w:val="1E293B"/>
                <w:sz w:val="18"/>
              </w:rPr>
              <w:t>Upload Data</w:t>
            </w:r>
          </w:p>
        </w:tc>
        <w:tc>
          <w:tcPr>
            <w:tcW w:type="dxa" w:w="5480"/>
            <w:shd w:fill="F7FAFF"/>
            <w:tcMar>
              <w:top w:w="90" w:type="dxa"/>
              <w:start w:w="120" w:type="dxa"/>
              <w:bottom w:w="90" w:type="dxa"/>
              <w:end w:w="120" w:type="dxa"/>
            </w:tcMar>
            <w:vAlign w:val="center"/>
          </w:tcPr>
          <w:p>
            <w:r>
              <w:rPr>
                <w:rFonts w:ascii="Calibri" w:hAnsi="Calibri"/>
                <w:color w:val="1E293B"/>
                <w:sz w:val="18"/>
              </w:rPr>
              <w:t>Import Excel or CSV transaction files.</w:t>
            </w:r>
          </w:p>
        </w:tc>
        <w:tc>
          <w:tcPr>
            <w:tcW w:type="dxa" w:w="2080"/>
            <w:shd w:fill="F7FAFF"/>
            <w:tcMar>
              <w:top w:w="90" w:type="dxa"/>
              <w:start w:w="120" w:type="dxa"/>
              <w:bottom w:w="90" w:type="dxa"/>
              <w:end w:w="120" w:type="dxa"/>
            </w:tcMar>
            <w:vAlign w:val="center"/>
          </w:tcPr>
          <w:p>
            <w:r>
              <w:rPr>
                <w:rFonts w:ascii="Calibri" w:hAnsi="Calibri"/>
                <w:color w:val="1E293B"/>
                <w:sz w:val="18"/>
              </w:rPr>
              <w:t>Authenticated</w:t>
            </w:r>
          </w:p>
        </w:tc>
      </w:tr>
      <w:tr>
        <w:tc>
          <w:tcPr>
            <w:tcW w:type="dxa" w:w="1800"/>
            <w:tcMar>
              <w:top w:w="90" w:type="dxa"/>
              <w:start w:w="120" w:type="dxa"/>
              <w:bottom w:w="90" w:type="dxa"/>
              <w:end w:w="120" w:type="dxa"/>
            </w:tcMar>
            <w:vAlign w:val="center"/>
          </w:tcPr>
          <w:p>
            <w:r>
              <w:rPr>
                <w:rFonts w:ascii="Calibri" w:hAnsi="Calibri"/>
                <w:color w:val="1E293B"/>
                <w:sz w:val="18"/>
              </w:rPr>
              <w:t>Research Comparison</w:t>
            </w:r>
          </w:p>
        </w:tc>
        <w:tc>
          <w:tcPr>
            <w:tcW w:type="dxa" w:w="5480"/>
            <w:tcMar>
              <w:top w:w="90" w:type="dxa"/>
              <w:start w:w="120" w:type="dxa"/>
              <w:bottom w:w="90" w:type="dxa"/>
              <w:end w:w="120" w:type="dxa"/>
            </w:tcMar>
            <w:vAlign w:val="center"/>
          </w:tcPr>
          <w:p>
            <w:r>
              <w:rPr>
                <w:rFonts w:ascii="Calibri" w:hAnsi="Calibri"/>
                <w:color w:val="1E293B"/>
                <w:sz w:val="18"/>
              </w:rPr>
              <w:t>Create a database snapshot and compare five offline anomaly models across 10%, 25%, 50%, and 100% chronological partitions.</w:t>
            </w:r>
          </w:p>
        </w:tc>
        <w:tc>
          <w:tcPr>
            <w:tcW w:type="dxa" w:w="2080"/>
            <w:tcMar>
              <w:top w:w="90" w:type="dxa"/>
              <w:start w:w="120" w:type="dxa"/>
              <w:bottom w:w="90" w:type="dxa"/>
              <w:end w:w="120" w:type="dxa"/>
            </w:tcMar>
            <w:vAlign w:val="center"/>
          </w:tcPr>
          <w:p>
            <w:r>
              <w:rPr>
                <w:rFonts w:ascii="Calibri" w:hAnsi="Calibri"/>
                <w:color w:val="1E293B"/>
                <w:sz w:val="18"/>
              </w:rPr>
              <w:t>Authenticated</w:t>
            </w:r>
          </w:p>
        </w:tc>
      </w:tr>
      <w:tr>
        <w:tc>
          <w:tcPr>
            <w:tcW w:type="dxa" w:w="1800"/>
            <w:shd w:fill="F7FAFF"/>
            <w:tcMar>
              <w:top w:w="90" w:type="dxa"/>
              <w:start w:w="120" w:type="dxa"/>
              <w:bottom w:w="90" w:type="dxa"/>
              <w:end w:w="120" w:type="dxa"/>
            </w:tcMar>
            <w:vAlign w:val="center"/>
          </w:tcPr>
          <w:p>
            <w:r>
              <w:rPr>
                <w:rFonts w:ascii="Calibri" w:hAnsi="Calibri"/>
                <w:color w:val="1E293B"/>
                <w:sz w:val="18"/>
              </w:rPr>
              <w:t>Model Governance</w:t>
            </w:r>
          </w:p>
        </w:tc>
        <w:tc>
          <w:tcPr>
            <w:tcW w:type="dxa" w:w="5480"/>
            <w:shd w:fill="F7FAFF"/>
            <w:tcMar>
              <w:top w:w="90" w:type="dxa"/>
              <w:start w:w="120" w:type="dxa"/>
              <w:bottom w:w="90" w:type="dxa"/>
              <w:end w:w="120" w:type="dxa"/>
            </w:tcMar>
            <w:vAlign w:val="center"/>
          </w:tcPr>
          <w:p>
            <w:r>
              <w:rPr>
                <w:rFonts w:ascii="Calibri" w:hAnsi="Calibri"/>
                <w:color w:val="1E293B"/>
                <w:sz w:val="18"/>
              </w:rPr>
              <w:t>Review model evidence and control exact-version layered canary promotion or Isolation Forest rollback.</w:t>
            </w:r>
          </w:p>
        </w:tc>
        <w:tc>
          <w:tcPr>
            <w:tcW w:type="dxa" w:w="2080"/>
            <w:shd w:fill="F7FAFF"/>
            <w:tcMar>
              <w:top w:w="90" w:type="dxa"/>
              <w:start w:w="120" w:type="dxa"/>
              <w:bottom w:w="90" w:type="dxa"/>
              <w:end w:w="120" w:type="dxa"/>
            </w:tcMar>
            <w:vAlign w:val="center"/>
          </w:tcPr>
          <w:p>
            <w:r>
              <w:rPr>
                <w:rFonts w:ascii="Calibri" w:hAnsi="Calibri"/>
                <w:color w:val="1E293B"/>
                <w:sz w:val="18"/>
              </w:rPr>
              <w:t>Authenticated; actions are admin-only</w:t>
            </w:r>
          </w:p>
        </w:tc>
      </w:tr>
      <w:tr>
        <w:tc>
          <w:tcPr>
            <w:tcW w:type="dxa" w:w="1800"/>
            <w:tcMar>
              <w:top w:w="90" w:type="dxa"/>
              <w:start w:w="120" w:type="dxa"/>
              <w:bottom w:w="90" w:type="dxa"/>
              <w:end w:w="120" w:type="dxa"/>
            </w:tcMar>
            <w:vAlign w:val="center"/>
          </w:tcPr>
          <w:p>
            <w:r>
              <w:rPr>
                <w:rFonts w:ascii="Calibri" w:hAnsi="Calibri"/>
                <w:color w:val="1E293B"/>
                <w:sz w:val="18"/>
              </w:rPr>
              <w:t>Training Operations</w:t>
            </w:r>
          </w:p>
        </w:tc>
        <w:tc>
          <w:tcPr>
            <w:tcW w:type="dxa" w:w="5480"/>
            <w:tcMar>
              <w:top w:w="90" w:type="dxa"/>
              <w:start w:w="120" w:type="dxa"/>
              <w:bottom w:w="90" w:type="dxa"/>
              <w:end w:w="120" w:type="dxa"/>
            </w:tcMar>
            <w:vAlign w:val="center"/>
          </w:tcPr>
          <w:p>
            <w:r>
              <w:rPr>
                <w:rFonts w:ascii="Calibri" w:hAnsi="Calibri"/>
                <w:color w:val="1E293B"/>
                <w:sz w:val="18"/>
              </w:rPr>
              <w:t>Close business days, create immutable windows, export Parquet data, and train HST or Online OCSVM candidates.</w:t>
            </w:r>
          </w:p>
        </w:tc>
        <w:tc>
          <w:tcPr>
            <w:tcW w:type="dxa" w:w="2080"/>
            <w:tcMar>
              <w:top w:w="90" w:type="dxa"/>
              <w:start w:w="120" w:type="dxa"/>
              <w:bottom w:w="90" w:type="dxa"/>
              <w:end w:w="120" w:type="dxa"/>
            </w:tcMar>
            <w:vAlign w:val="center"/>
          </w:tcPr>
          <w:p>
            <w:r>
              <w:rPr>
                <w:rFonts w:ascii="Calibri" w:hAnsi="Calibri"/>
                <w:color w:val="1E293B"/>
                <w:sz w:val="18"/>
              </w:rPr>
              <w:t>ADMIN / AML_ADMIN</w:t>
            </w:r>
          </w:p>
        </w:tc>
      </w:tr>
      <w:tr>
        <w:tc>
          <w:tcPr>
            <w:tcW w:type="dxa" w:w="1800"/>
            <w:shd w:fill="F7FAFF"/>
            <w:tcMar>
              <w:top w:w="90" w:type="dxa"/>
              <w:start w:w="120" w:type="dxa"/>
              <w:bottom w:w="90" w:type="dxa"/>
              <w:end w:w="120" w:type="dxa"/>
            </w:tcMar>
            <w:vAlign w:val="center"/>
          </w:tcPr>
          <w:p>
            <w:r>
              <w:rPr>
                <w:rFonts w:ascii="Calibri" w:hAnsi="Calibri"/>
                <w:color w:val="1E293B"/>
                <w:sz w:val="18"/>
              </w:rPr>
              <w:t>Case Management</w:t>
            </w:r>
          </w:p>
        </w:tc>
        <w:tc>
          <w:tcPr>
            <w:tcW w:type="dxa" w:w="5480"/>
            <w:shd w:fill="F7FAFF"/>
            <w:tcMar>
              <w:top w:w="90" w:type="dxa"/>
              <w:start w:w="120" w:type="dxa"/>
              <w:bottom w:w="90" w:type="dxa"/>
              <w:end w:w="120" w:type="dxa"/>
            </w:tcMar>
            <w:vAlign w:val="center"/>
          </w:tcPr>
          <w:p>
            <w:r>
              <w:rPr>
                <w:rFonts w:ascii="Calibri" w:hAnsi="Calibri"/>
                <w:color w:val="1E293B"/>
                <w:sz w:val="18"/>
              </w:rPr>
              <w:t>Review generated cases, evidence, notes, and final actions.</w:t>
            </w:r>
          </w:p>
        </w:tc>
        <w:tc>
          <w:tcPr>
            <w:tcW w:type="dxa" w:w="2080"/>
            <w:shd w:fill="F7FAFF"/>
            <w:tcMar>
              <w:top w:w="90" w:type="dxa"/>
              <w:start w:w="120" w:type="dxa"/>
              <w:bottom w:w="90" w:type="dxa"/>
              <w:end w:w="120" w:type="dxa"/>
            </w:tcMar>
            <w:vAlign w:val="center"/>
          </w:tcPr>
          <w:p>
            <w:r>
              <w:rPr>
                <w:rFonts w:ascii="Calibri" w:hAnsi="Calibri"/>
                <w:color w:val="1E293B"/>
                <w:sz w:val="18"/>
              </w:rPr>
              <w:t>Authenticated</w:t>
            </w:r>
          </w:p>
        </w:tc>
      </w:tr>
      <w:tr>
        <w:tc>
          <w:tcPr>
            <w:tcW w:type="dxa" w:w="1800"/>
            <w:tcMar>
              <w:top w:w="90" w:type="dxa"/>
              <w:start w:w="120" w:type="dxa"/>
              <w:bottom w:w="90" w:type="dxa"/>
              <w:end w:w="120" w:type="dxa"/>
            </w:tcMar>
            <w:vAlign w:val="center"/>
          </w:tcPr>
          <w:p>
            <w:r>
              <w:rPr>
                <w:rFonts w:ascii="Calibri" w:hAnsi="Calibri"/>
                <w:color w:val="1E293B"/>
                <w:sz w:val="18"/>
              </w:rPr>
              <w:t>Manual Case</w:t>
            </w:r>
          </w:p>
        </w:tc>
        <w:tc>
          <w:tcPr>
            <w:tcW w:type="dxa" w:w="5480"/>
            <w:tcMar>
              <w:top w:w="90" w:type="dxa"/>
              <w:start w:w="120" w:type="dxa"/>
              <w:bottom w:w="90" w:type="dxa"/>
              <w:end w:w="120" w:type="dxa"/>
            </w:tcMar>
            <w:vAlign w:val="center"/>
          </w:tcPr>
          <w:p>
            <w:r>
              <w:rPr>
                <w:rFonts w:ascii="Calibri" w:hAnsi="Calibri"/>
                <w:color w:val="1E293B"/>
                <w:sz w:val="18"/>
              </w:rPr>
              <w:t>Search transactions and create a case on demand.</w:t>
            </w:r>
          </w:p>
        </w:tc>
        <w:tc>
          <w:tcPr>
            <w:tcW w:type="dxa" w:w="2080"/>
            <w:tcMar>
              <w:top w:w="90" w:type="dxa"/>
              <w:start w:w="120" w:type="dxa"/>
              <w:bottom w:w="90" w:type="dxa"/>
              <w:end w:w="120" w:type="dxa"/>
            </w:tcMar>
            <w:vAlign w:val="center"/>
          </w:tcPr>
          <w:p>
            <w:r>
              <w:rPr>
                <w:rFonts w:ascii="Calibri" w:hAnsi="Calibri"/>
                <w:color w:val="1E293B"/>
                <w:sz w:val="18"/>
              </w:rPr>
              <w:t>Authenticated</w:t>
            </w:r>
          </w:p>
        </w:tc>
      </w:tr>
      <w:tr>
        <w:tc>
          <w:tcPr>
            <w:tcW w:type="dxa" w:w="1800"/>
            <w:shd w:fill="F7FAFF"/>
            <w:tcMar>
              <w:top w:w="90" w:type="dxa"/>
              <w:start w:w="120" w:type="dxa"/>
              <w:bottom w:w="90" w:type="dxa"/>
              <w:end w:w="120" w:type="dxa"/>
            </w:tcMar>
            <w:vAlign w:val="center"/>
          </w:tcPr>
          <w:p>
            <w:r>
              <w:rPr>
                <w:rFonts w:ascii="Calibri" w:hAnsi="Calibri"/>
                <w:color w:val="1E293B"/>
                <w:sz w:val="18"/>
              </w:rPr>
              <w:t>Model Tuning</w:t>
            </w:r>
          </w:p>
        </w:tc>
        <w:tc>
          <w:tcPr>
            <w:tcW w:type="dxa" w:w="5480"/>
            <w:shd w:fill="F7FAFF"/>
            <w:tcMar>
              <w:top w:w="90" w:type="dxa"/>
              <w:start w:w="120" w:type="dxa"/>
              <w:bottom w:w="90" w:type="dxa"/>
              <w:end w:w="120" w:type="dxa"/>
            </w:tcMar>
            <w:vAlign w:val="center"/>
          </w:tcPr>
          <w:p>
            <w:r>
              <w:rPr>
                <w:rFonts w:ascii="Calibri" w:hAnsi="Calibri"/>
                <w:color w:val="1E293B"/>
                <w:sz w:val="18"/>
              </w:rPr>
              <w:t>Edit model-search and optimization configuration.</w:t>
            </w:r>
          </w:p>
        </w:tc>
        <w:tc>
          <w:tcPr>
            <w:tcW w:type="dxa" w:w="2080"/>
            <w:shd w:fill="F7FAFF"/>
            <w:tcMar>
              <w:top w:w="90" w:type="dxa"/>
              <w:start w:w="120" w:type="dxa"/>
              <w:bottom w:w="90" w:type="dxa"/>
              <w:end w:w="120" w:type="dxa"/>
            </w:tcMar>
            <w:vAlign w:val="center"/>
          </w:tcPr>
          <w:p>
            <w:r>
              <w:rPr>
                <w:rFonts w:ascii="Calibri" w:hAnsi="Calibri"/>
                <w:color w:val="1E293B"/>
                <w:sz w:val="18"/>
              </w:rPr>
              <w:t>ADMIN / AML_ADMIN</w:t>
            </w:r>
          </w:p>
        </w:tc>
      </w:tr>
      <w:tr>
        <w:tc>
          <w:tcPr>
            <w:tcW w:type="dxa" w:w="1800"/>
            <w:tcMar>
              <w:top w:w="90" w:type="dxa"/>
              <w:start w:w="120" w:type="dxa"/>
              <w:bottom w:w="90" w:type="dxa"/>
              <w:end w:w="120" w:type="dxa"/>
            </w:tcMar>
            <w:vAlign w:val="center"/>
          </w:tcPr>
          <w:p>
            <w:r>
              <w:rPr>
                <w:rFonts w:ascii="Calibri" w:hAnsi="Calibri"/>
                <w:color w:val="1E293B"/>
                <w:sz w:val="18"/>
              </w:rPr>
              <w:t>Anomaly Config</w:t>
            </w:r>
          </w:p>
        </w:tc>
        <w:tc>
          <w:tcPr>
            <w:tcW w:type="dxa" w:w="5480"/>
            <w:tcMar>
              <w:top w:w="90" w:type="dxa"/>
              <w:start w:w="120" w:type="dxa"/>
              <w:bottom w:w="90" w:type="dxa"/>
              <w:end w:w="120" w:type="dxa"/>
            </w:tcMar>
            <w:vAlign w:val="center"/>
          </w:tcPr>
          <w:p>
            <w:r>
              <w:rPr>
                <w:rFonts w:ascii="Calibri" w:hAnsi="Calibri"/>
                <w:color w:val="1E293B"/>
                <w:sz w:val="18"/>
              </w:rPr>
              <w:t>Configure the production batch fallback and its case threshold.</w:t>
            </w:r>
          </w:p>
        </w:tc>
        <w:tc>
          <w:tcPr>
            <w:tcW w:type="dxa" w:w="2080"/>
            <w:tcMar>
              <w:top w:w="90" w:type="dxa"/>
              <w:start w:w="120" w:type="dxa"/>
              <w:bottom w:w="90" w:type="dxa"/>
              <w:end w:w="120" w:type="dxa"/>
            </w:tcMar>
            <w:vAlign w:val="center"/>
          </w:tcPr>
          <w:p>
            <w:r>
              <w:rPr>
                <w:rFonts w:ascii="Calibri" w:hAnsi="Calibri"/>
                <w:color w:val="1E293B"/>
                <w:sz w:val="18"/>
              </w:rPr>
              <w:t>ADMIN / AML_ADMIN</w:t>
            </w:r>
          </w:p>
        </w:tc>
      </w:tr>
      <w:tr>
        <w:tc>
          <w:tcPr>
            <w:tcW w:type="dxa" w:w="1800"/>
            <w:shd w:fill="F7FAFF"/>
            <w:tcMar>
              <w:top w:w="90" w:type="dxa"/>
              <w:start w:w="120" w:type="dxa"/>
              <w:bottom w:w="90" w:type="dxa"/>
              <w:end w:w="120" w:type="dxa"/>
            </w:tcMar>
            <w:vAlign w:val="center"/>
          </w:tcPr>
          <w:p>
            <w:r>
              <w:rPr>
                <w:rFonts w:ascii="Calibri" w:hAnsi="Calibri"/>
                <w:color w:val="1E293B"/>
                <w:sz w:val="18"/>
              </w:rPr>
              <w:t>Cold Start</w:t>
            </w:r>
          </w:p>
        </w:tc>
        <w:tc>
          <w:tcPr>
            <w:tcW w:type="dxa" w:w="5480"/>
            <w:shd w:fill="F7FAFF"/>
            <w:tcMar>
              <w:top w:w="90" w:type="dxa"/>
              <w:start w:w="120" w:type="dxa"/>
              <w:bottom w:w="90" w:type="dxa"/>
              <w:end w:w="120" w:type="dxa"/>
            </w:tcMar>
            <w:vAlign w:val="center"/>
          </w:tcPr>
          <w:p>
            <w:r>
              <w:rPr>
                <w:rFonts w:ascii="Calibri" w:hAnsi="Calibri"/>
                <w:color w:val="1E293B"/>
                <w:sz w:val="18"/>
              </w:rPr>
              <w:t>Configure behavior for accounts with insufficient transaction history.</w:t>
            </w:r>
          </w:p>
        </w:tc>
        <w:tc>
          <w:tcPr>
            <w:tcW w:type="dxa" w:w="2080"/>
            <w:shd w:fill="F7FAFF"/>
            <w:tcMar>
              <w:top w:w="90" w:type="dxa"/>
              <w:start w:w="120" w:type="dxa"/>
              <w:bottom w:w="90" w:type="dxa"/>
              <w:end w:w="120" w:type="dxa"/>
            </w:tcMar>
            <w:vAlign w:val="center"/>
          </w:tcPr>
          <w:p>
            <w:r>
              <w:rPr>
                <w:rFonts w:ascii="Calibri" w:hAnsi="Calibri"/>
                <w:color w:val="1E293B"/>
                <w:sz w:val="18"/>
              </w:rPr>
              <w:t>ADMIN / AML_ADMIN</w:t>
            </w:r>
          </w:p>
        </w:tc>
      </w:tr>
    </w:tbl>
    <w:p>
      <w:pPr>
        <w:spacing w:after="0"/>
      </w:pPr>
    </w:p>
    <w:p>
      <w:r>
        <w:rPr>
          <w:rFonts w:ascii="Calibri" w:hAnsi="Calibri"/>
          <w:color w:val="1E293B"/>
        </w:rPr>
        <w:t>The side menu is collapsible on desktop and becomes a toggleable mobile menu on smaller screens.</w:t>
      </w:r>
    </w:p>
    <w:p>
      <w:pPr>
        <w:pStyle w:val="Heading1"/>
      </w:pPr>
      <w:r>
        <w:t>4. Uploading Transaction Data</w:t>
      </w:r>
    </w:p>
    <w:p>
      <w:pPr>
        <w:pStyle w:val="Heading2"/>
      </w:pPr>
      <w:r>
        <w:t>Upload workflow</w:t>
      </w:r>
    </w:p>
    <w:p>
      <w:pPr>
        <w:pStyle w:val="ListNumber"/>
      </w:pPr>
      <w:r>
        <w:rPr>
          <w:rFonts w:ascii="Calibri" w:hAnsi="Calibri"/>
          <w:color w:val="1E293B"/>
        </w:rPr>
        <w:t>Open Upload Data.</w:t>
      </w:r>
    </w:p>
    <w:p>
      <w:pPr>
        <w:pStyle w:val="ListNumber"/>
      </w:pPr>
      <w:r>
        <w:rPr>
          <w:rFonts w:ascii="Calibri" w:hAnsi="Calibri"/>
          <w:color w:val="1E293B"/>
        </w:rPr>
        <w:t>Choose an Excel or CSV file containing transaction records.</w:t>
      </w:r>
    </w:p>
    <w:p>
      <w:pPr>
        <w:pStyle w:val="ListNumber"/>
      </w:pPr>
      <w:r>
        <w:rPr>
          <w:rFonts w:ascii="Calibri" w:hAnsi="Calibri"/>
          <w:color w:val="1E293B"/>
        </w:rPr>
        <w:t>Confirm the selected filename and select Upload.</w:t>
      </w:r>
    </w:p>
    <w:p>
      <w:pPr>
        <w:pStyle w:val="ListNumber"/>
      </w:pPr>
      <w:r>
        <w:rPr>
          <w:rFonts w:ascii="Calibri" w:hAnsi="Calibri"/>
          <w:color w:val="1E293B"/>
        </w:rPr>
        <w:t>Wait for the success popup. Review the returned success and failure counts if present.</w:t>
      </w:r>
    </w:p>
    <w:p>
      <w:pPr>
        <w:pStyle w:val="ListNumber"/>
      </w:pPr>
      <w:r>
        <w:rPr>
          <w:rFonts w:ascii="Calibri" w:hAnsi="Calibri"/>
          <w:color w:val="1E293B"/>
        </w:rPr>
        <w:t>Correct rejected rows in the source file and upload a corrected batch if necessary.</w:t>
      </w:r>
    </w:p>
    <w:p>
      <w:pPr>
        <w:pStyle w:val="Heading2"/>
      </w:pPr>
      <w:r>
        <w:t>Expected transaction fields</w:t>
      </w:r>
    </w:p>
    <w:tbl>
      <w:tblPr>
        <w:tblStyle w:val="TableGrid"/>
        <w:tblW w:type="dxa" w:w="9360"/>
        <w:jc w:val="left"/>
        <w:tblLayout w:type="fixed"/>
        <w:tblLook w:firstColumn="1" w:firstRow="1" w:lastColumn="0" w:lastRow="0" w:noHBand="0" w:noVBand="1" w:val="04A0"/>
        <w:tblInd w:w="120" w:type="dxa"/>
      </w:tblPr>
      <w:tblGrid>
        <w:gridCol w:w="1800"/>
        <w:gridCol w:w="3200"/>
        <w:gridCol w:w="436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Field group</w:t>
            </w:r>
          </w:p>
        </w:tc>
        <w:tc>
          <w:tcPr>
            <w:tcW w:type="dxa" w:w="3200"/>
            <w:shd w:fill="0F2747"/>
            <w:tcMar>
              <w:top w:w="90" w:type="dxa"/>
              <w:start w:w="120" w:type="dxa"/>
              <w:bottom w:w="90" w:type="dxa"/>
              <w:end w:w="120" w:type="dxa"/>
            </w:tcMar>
            <w:vAlign w:val="center"/>
          </w:tcPr>
          <w:p>
            <w:r>
              <w:rPr>
                <w:rFonts w:ascii="Calibri" w:hAnsi="Calibri"/>
                <w:b/>
                <w:color w:val="FFFFFF"/>
                <w:sz w:val="18"/>
              </w:rPr>
              <w:t>Representative fields</w:t>
            </w:r>
          </w:p>
        </w:tc>
        <w:tc>
          <w:tcPr>
            <w:tcW w:type="dxa" w:w="4360"/>
            <w:shd w:fill="0F2747"/>
            <w:tcMar>
              <w:top w:w="90" w:type="dxa"/>
              <w:start w:w="120" w:type="dxa"/>
              <w:bottom w:w="90" w:type="dxa"/>
              <w:end w:w="120" w:type="dxa"/>
            </w:tcMar>
            <w:vAlign w:val="center"/>
          </w:tcPr>
          <w:p>
            <w:r>
              <w:rPr>
                <w:rFonts w:ascii="Calibri" w:hAnsi="Calibri"/>
                <w:b/>
                <w:color w:val="FFFFFF"/>
                <w:sz w:val="18"/>
              </w:rPr>
              <w:t>Purpose</w:t>
            </w:r>
          </w:p>
        </w:tc>
      </w:tr>
      <w:tr>
        <w:tc>
          <w:tcPr>
            <w:tcW w:type="dxa" w:w="1800"/>
            <w:shd w:fill="F7FAFF"/>
            <w:tcMar>
              <w:top w:w="90" w:type="dxa"/>
              <w:start w:w="120" w:type="dxa"/>
              <w:bottom w:w="90" w:type="dxa"/>
              <w:end w:w="120" w:type="dxa"/>
            </w:tcMar>
            <w:vAlign w:val="center"/>
          </w:tcPr>
          <w:p>
            <w:r>
              <w:rPr>
                <w:rFonts w:ascii="Calibri" w:hAnsi="Calibri"/>
                <w:color w:val="1E293B"/>
                <w:sz w:val="18"/>
              </w:rPr>
              <w:t>Identity</w:t>
            </w:r>
          </w:p>
        </w:tc>
        <w:tc>
          <w:tcPr>
            <w:tcW w:type="dxa" w:w="3200"/>
            <w:shd w:fill="F7FAFF"/>
            <w:tcMar>
              <w:top w:w="90" w:type="dxa"/>
              <w:start w:w="120" w:type="dxa"/>
              <w:bottom w:w="90" w:type="dxa"/>
              <w:end w:w="120" w:type="dxa"/>
            </w:tcMar>
            <w:vAlign w:val="center"/>
          </w:tcPr>
          <w:p>
            <w:r>
              <w:rPr>
                <w:rFonts w:ascii="Calibri" w:hAnsi="Calibri"/>
                <w:color w:val="1E293B"/>
                <w:sz w:val="18"/>
              </w:rPr>
              <w:t>TransactionID, AccountID</w:t>
            </w:r>
          </w:p>
        </w:tc>
        <w:tc>
          <w:tcPr>
            <w:tcW w:type="dxa" w:w="4360"/>
            <w:shd w:fill="F7FAFF"/>
            <w:tcMar>
              <w:top w:w="90" w:type="dxa"/>
              <w:start w:w="120" w:type="dxa"/>
              <w:bottom w:w="90" w:type="dxa"/>
              <w:end w:w="120" w:type="dxa"/>
            </w:tcMar>
            <w:vAlign w:val="center"/>
          </w:tcPr>
          <w:p>
            <w:r>
              <w:rPr>
                <w:rFonts w:ascii="Calibri" w:hAnsi="Calibri"/>
                <w:color w:val="1E293B"/>
                <w:sz w:val="18"/>
              </w:rPr>
              <w:t>Links transactions, accounts, predictions, alerts, and cases.</w:t>
            </w:r>
          </w:p>
        </w:tc>
      </w:tr>
      <w:tr>
        <w:tc>
          <w:tcPr>
            <w:tcW w:type="dxa" w:w="1800"/>
            <w:tcMar>
              <w:top w:w="90" w:type="dxa"/>
              <w:start w:w="120" w:type="dxa"/>
              <w:bottom w:w="90" w:type="dxa"/>
              <w:end w:w="120" w:type="dxa"/>
            </w:tcMar>
            <w:vAlign w:val="center"/>
          </w:tcPr>
          <w:p>
            <w:r>
              <w:rPr>
                <w:rFonts w:ascii="Calibri" w:hAnsi="Calibri"/>
                <w:color w:val="1E293B"/>
                <w:sz w:val="18"/>
              </w:rPr>
              <w:t>Transaction</w:t>
            </w:r>
          </w:p>
        </w:tc>
        <w:tc>
          <w:tcPr>
            <w:tcW w:type="dxa" w:w="3200"/>
            <w:tcMar>
              <w:top w:w="90" w:type="dxa"/>
              <w:start w:w="120" w:type="dxa"/>
              <w:bottom w:w="90" w:type="dxa"/>
              <w:end w:w="120" w:type="dxa"/>
            </w:tcMar>
            <w:vAlign w:val="center"/>
          </w:tcPr>
          <w:p>
            <w:r>
              <w:rPr>
                <w:rFonts w:ascii="Calibri" w:hAnsi="Calibri"/>
                <w:color w:val="1E293B"/>
                <w:sz w:val="18"/>
              </w:rPr>
              <w:t>TransactionAmount, TransactionDate, TransactionType</w:t>
            </w:r>
          </w:p>
        </w:tc>
        <w:tc>
          <w:tcPr>
            <w:tcW w:type="dxa" w:w="4360"/>
            <w:tcMar>
              <w:top w:w="90" w:type="dxa"/>
              <w:start w:w="120" w:type="dxa"/>
              <w:bottom w:w="90" w:type="dxa"/>
              <w:end w:w="120" w:type="dxa"/>
            </w:tcMar>
            <w:vAlign w:val="center"/>
          </w:tcPr>
          <w:p>
            <w:r>
              <w:rPr>
                <w:rFonts w:ascii="Calibri" w:hAnsi="Calibri"/>
                <w:color w:val="1E293B"/>
                <w:sz w:val="18"/>
              </w:rPr>
              <w:t>Core behavioral and chronological features.</w:t>
            </w:r>
          </w:p>
        </w:tc>
      </w:tr>
      <w:tr>
        <w:tc>
          <w:tcPr>
            <w:tcW w:type="dxa" w:w="1800"/>
            <w:shd w:fill="F7FAFF"/>
            <w:tcMar>
              <w:top w:w="90" w:type="dxa"/>
              <w:start w:w="120" w:type="dxa"/>
              <w:bottom w:w="90" w:type="dxa"/>
              <w:end w:w="120" w:type="dxa"/>
            </w:tcMar>
            <w:vAlign w:val="center"/>
          </w:tcPr>
          <w:p>
            <w:r>
              <w:rPr>
                <w:rFonts w:ascii="Calibri" w:hAnsi="Calibri"/>
                <w:color w:val="1E293B"/>
                <w:sz w:val="18"/>
              </w:rPr>
              <w:t>Context</w:t>
            </w:r>
          </w:p>
        </w:tc>
        <w:tc>
          <w:tcPr>
            <w:tcW w:type="dxa" w:w="3200"/>
            <w:shd w:fill="F7FAFF"/>
            <w:tcMar>
              <w:top w:w="90" w:type="dxa"/>
              <w:start w:w="120" w:type="dxa"/>
              <w:bottom w:w="90" w:type="dxa"/>
              <w:end w:w="120" w:type="dxa"/>
            </w:tcMar>
            <w:vAlign w:val="center"/>
          </w:tcPr>
          <w:p>
            <w:r>
              <w:rPr>
                <w:rFonts w:ascii="Calibri" w:hAnsi="Calibri"/>
                <w:color w:val="1E293B"/>
                <w:sz w:val="18"/>
              </w:rPr>
              <w:t>Location, Channel, LoginAttempts</w:t>
            </w:r>
          </w:p>
        </w:tc>
        <w:tc>
          <w:tcPr>
            <w:tcW w:type="dxa" w:w="4360"/>
            <w:shd w:fill="F7FAFF"/>
            <w:tcMar>
              <w:top w:w="90" w:type="dxa"/>
              <w:start w:w="120" w:type="dxa"/>
              <w:bottom w:w="90" w:type="dxa"/>
              <w:end w:w="120" w:type="dxa"/>
            </w:tcMar>
            <w:vAlign w:val="center"/>
          </w:tcPr>
          <w:p>
            <w:r>
              <w:rPr>
                <w:rFonts w:ascii="Calibri" w:hAnsi="Calibri"/>
                <w:color w:val="1E293B"/>
                <w:sz w:val="18"/>
              </w:rPr>
              <w:t>Location-change, channel, and access-risk signals.</w:t>
            </w:r>
          </w:p>
        </w:tc>
      </w:tr>
      <w:tr>
        <w:tc>
          <w:tcPr>
            <w:tcW w:type="dxa" w:w="1800"/>
            <w:tcMar>
              <w:top w:w="90" w:type="dxa"/>
              <w:start w:w="120" w:type="dxa"/>
              <w:bottom w:w="90" w:type="dxa"/>
              <w:end w:w="120" w:type="dxa"/>
            </w:tcMar>
            <w:vAlign w:val="center"/>
          </w:tcPr>
          <w:p>
            <w:r>
              <w:rPr>
                <w:rFonts w:ascii="Calibri" w:hAnsi="Calibri"/>
                <w:color w:val="1E293B"/>
                <w:sz w:val="18"/>
              </w:rPr>
              <w:t>Customer/account</w:t>
            </w:r>
          </w:p>
        </w:tc>
        <w:tc>
          <w:tcPr>
            <w:tcW w:type="dxa" w:w="3200"/>
            <w:tcMar>
              <w:top w:w="90" w:type="dxa"/>
              <w:start w:w="120" w:type="dxa"/>
              <w:bottom w:w="90" w:type="dxa"/>
              <w:end w:w="120" w:type="dxa"/>
            </w:tcMar>
            <w:vAlign w:val="center"/>
          </w:tcPr>
          <w:p>
            <w:r>
              <w:rPr>
                <w:rFonts w:ascii="Calibri" w:hAnsi="Calibri"/>
                <w:color w:val="1E293B"/>
                <w:sz w:val="18"/>
              </w:rPr>
              <w:t>CustomerAge, CustomerOccupation, AccountBalance</w:t>
            </w:r>
          </w:p>
        </w:tc>
        <w:tc>
          <w:tcPr>
            <w:tcW w:type="dxa" w:w="4360"/>
            <w:tcMar>
              <w:top w:w="90" w:type="dxa"/>
              <w:start w:w="120" w:type="dxa"/>
              <w:bottom w:w="90" w:type="dxa"/>
              <w:end w:w="120" w:type="dxa"/>
            </w:tcMar>
            <w:vAlign w:val="center"/>
          </w:tcPr>
          <w:p>
            <w:r>
              <w:rPr>
                <w:rFonts w:ascii="Calibri" w:hAnsi="Calibri"/>
                <w:color w:val="1E293B"/>
                <w:sz w:val="18"/>
              </w:rPr>
              <w:t>Peer, demographic, and amount-to-balance context.</w:t>
            </w:r>
          </w:p>
        </w:tc>
      </w:tr>
      <w:tr>
        <w:tc>
          <w:tcPr>
            <w:tcW w:type="dxa" w:w="1800"/>
            <w:shd w:fill="F7FAFF"/>
            <w:tcMar>
              <w:top w:w="90" w:type="dxa"/>
              <w:start w:w="120" w:type="dxa"/>
              <w:bottom w:w="90" w:type="dxa"/>
              <w:end w:w="120" w:type="dxa"/>
            </w:tcMar>
            <w:vAlign w:val="center"/>
          </w:tcPr>
          <w:p>
            <w:r>
              <w:rPr>
                <w:rFonts w:ascii="Calibri" w:hAnsi="Calibri"/>
                <w:color w:val="1E293B"/>
                <w:sz w:val="18"/>
              </w:rPr>
              <w:t>History</w:t>
            </w:r>
          </w:p>
        </w:tc>
        <w:tc>
          <w:tcPr>
            <w:tcW w:type="dxa" w:w="3200"/>
            <w:shd w:fill="F7FAFF"/>
            <w:tcMar>
              <w:top w:w="90" w:type="dxa"/>
              <w:start w:w="120" w:type="dxa"/>
              <w:bottom w:w="90" w:type="dxa"/>
              <w:end w:w="120" w:type="dxa"/>
            </w:tcMar>
            <w:vAlign w:val="center"/>
          </w:tcPr>
          <w:p>
            <w:r>
              <w:rPr>
                <w:rFonts w:ascii="Calibri" w:hAnsi="Calibri"/>
                <w:color w:val="1E293B"/>
                <w:sz w:val="18"/>
              </w:rPr>
              <w:t>PreviousTransactionDate</w:t>
            </w:r>
          </w:p>
        </w:tc>
        <w:tc>
          <w:tcPr>
            <w:tcW w:type="dxa" w:w="4360"/>
            <w:shd w:fill="F7FAFF"/>
            <w:tcMar>
              <w:top w:w="90" w:type="dxa"/>
              <w:start w:w="120" w:type="dxa"/>
              <w:bottom w:w="90" w:type="dxa"/>
              <w:end w:w="120" w:type="dxa"/>
            </w:tcMar>
            <w:vAlign w:val="center"/>
          </w:tcPr>
          <w:p>
            <w:r>
              <w:rPr>
                <w:rFonts w:ascii="Calibri" w:hAnsi="Calibri"/>
                <w:color w:val="1E293B"/>
                <w:sz w:val="18"/>
              </w:rPr>
              <w:t>Time-gap and behavioral history context when supplied.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Operational behavior: </w:t>
            </w:r>
            <w:r>
              <w:rPr>
                <w:rFonts w:ascii="Calibri" w:hAnsi="Calibri"/>
                <w:color w:val="1E293B"/>
              </w:rPr>
              <w:t>Uploading data and training are intentionally separate. Data may arrive through file upload or API ingestion; training can run later after business hours against transactions already stored in SQL Server.</w:t>
            </w:r>
          </w:p>
        </w:tc>
      </w:tr>
    </w:tbl>
    <w:p>
      <w:pPr>
        <w:spacing w:after="0"/>
      </w:pPr>
    </w:p>
    <w:p>
      <w:pPr>
        <w:pStyle w:val="Heading1"/>
      </w:pPr>
      <w:r>
        <w:t>5. Comparing Anomaly Models as Data Grows</w:t>
      </w:r>
    </w:p>
    <w:p>
      <w:r>
        <w:rPr>
          <w:rFonts w:ascii="Calibri" w:hAnsi="Calibri"/>
          <w:color w:val="1E293B"/>
        </w:rPr>
        <w:t>This is the primary academic and analytical feature. The Research Comparison page snapshots currently available database transactions, orders them from oldest to newest by transaction_date, and evaluates the same five offline models as the training population grows. These results never activate the layered production architecture.</w:t>
      </w:r>
    </w:p>
    <w:p>
      <w:pPr>
        <w:pStyle w:val="Heading2"/>
      </w:pPr>
      <w:r>
        <w:t>Run a comparison</w:t>
      </w:r>
    </w:p>
    <w:p>
      <w:pPr>
        <w:pStyle w:val="ListNumber"/>
      </w:pPr>
      <w:r>
        <w:rPr>
          <w:rFonts w:ascii="Calibri" w:hAnsi="Calibri"/>
          <w:color w:val="1E293B"/>
        </w:rPr>
        <w:t>Open Research Comparison. The page initially shows only the comparison action and explanatory text.</w:t>
      </w:r>
    </w:p>
    <w:p>
      <w:pPr>
        <w:pStyle w:val="ListNumber"/>
      </w:pPr>
      <w:r>
        <w:rPr>
          <w:rFonts w:ascii="Calibri" w:hAnsi="Calibri"/>
          <w:color w:val="1E293B"/>
        </w:rPr>
        <w:t>Select Train. No new upload is required; the system creates a database snapshot from stored transactions.</w:t>
      </w:r>
    </w:p>
    <w:p>
      <w:pPr>
        <w:pStyle w:val="ListNumber"/>
      </w:pPr>
      <w:r>
        <w:rPr>
          <w:rFonts w:ascii="Calibri" w:hAnsi="Calibri"/>
          <w:color w:val="1E293B"/>
        </w:rPr>
        <w:t>The snapshot is divided into oldest 10%, 25%, 50%, and 100% partitions. A minimum of 200 rows is required.</w:t>
      </w:r>
    </w:p>
    <w:p>
      <w:pPr>
        <w:pStyle w:val="ListNumber"/>
      </w:pPr>
      <w:r>
        <w:rPr>
          <w:rFonts w:ascii="Calibri" w:hAnsi="Calibri"/>
          <w:color w:val="1E293B"/>
        </w:rPr>
        <w:t>The five offline models are trained sequentially for every available partition.</w:t>
      </w:r>
    </w:p>
    <w:p>
      <w:pPr>
        <w:pStyle w:val="ListNumber"/>
      </w:pPr>
      <w:r>
        <w:rPr>
          <w:rFonts w:ascii="Calibri" w:hAnsi="Calibri"/>
          <w:color w:val="1E293B"/>
        </w:rPr>
        <w:t>Monitor the progress label and wait for the Training complete popup.</w:t>
      </w:r>
    </w:p>
    <w:p>
      <w:pPr>
        <w:pStyle w:val="ListNumber"/>
      </w:pPr>
      <w:r>
        <w:rPr>
          <w:rFonts w:ascii="Calibri" w:hAnsi="Calibri"/>
          <w:color w:val="1E293B"/>
        </w:rPr>
        <w:t>Review the best-fit recommendation, model ranking, and every model's growth detail on the same page.</w:t>
      </w:r>
    </w:p>
    <w:p>
      <w:pPr>
        <w:pStyle w:val="Heading2"/>
      </w:pPr>
      <w:r>
        <w:t>Models in the research comparison</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trPr>
        <w:tc>
          <w:tcPr>
            <w:tcW w:type="dxa" w:w="2100"/>
            <w:shd w:fill="0F2747"/>
            <w:tcMar>
              <w:top w:w="90" w:type="dxa"/>
              <w:start w:w="120" w:type="dxa"/>
              <w:bottom w:w="90" w:type="dxa"/>
              <w:end w:w="120" w:type="dxa"/>
            </w:tcMar>
            <w:vAlign w:val="center"/>
          </w:tcPr>
          <w:p>
            <w:r>
              <w:rPr>
                <w:rFonts w:ascii="Calibri" w:hAnsi="Calibri"/>
                <w:b/>
                <w:color w:val="FFFFFF"/>
                <w:sz w:val="18"/>
              </w:rPr>
              <w:t>Model</w:t>
            </w:r>
          </w:p>
        </w:tc>
        <w:tc>
          <w:tcPr>
            <w:tcW w:type="dxa" w:w="4700"/>
            <w:shd w:fill="0F2747"/>
            <w:tcMar>
              <w:top w:w="90" w:type="dxa"/>
              <w:start w:w="120" w:type="dxa"/>
              <w:bottom w:w="90" w:type="dxa"/>
              <w:end w:w="120" w:type="dxa"/>
            </w:tcMar>
            <w:vAlign w:val="center"/>
          </w:tcPr>
          <w:p>
            <w:r>
              <w:rPr>
                <w:rFonts w:ascii="Calibri" w:hAnsi="Calibri"/>
                <w:b/>
                <w:color w:val="FFFFFF"/>
                <w:sz w:val="18"/>
              </w:rPr>
              <w:t>What it detects</w:t>
            </w:r>
          </w:p>
        </w:tc>
        <w:tc>
          <w:tcPr>
            <w:tcW w:type="dxa" w:w="2560"/>
            <w:shd w:fill="0F2747"/>
            <w:tcMar>
              <w:top w:w="90" w:type="dxa"/>
              <w:start w:w="120" w:type="dxa"/>
              <w:bottom w:w="90" w:type="dxa"/>
              <w:end w:w="120" w:type="dxa"/>
            </w:tcMar>
            <w:vAlign w:val="center"/>
          </w:tcPr>
          <w:p>
            <w:r>
              <w:rPr>
                <w:rFonts w:ascii="Calibri" w:hAnsi="Calibri"/>
                <w:b/>
                <w:color w:val="FFFFFF"/>
                <w:sz w:val="18"/>
              </w:rPr>
              <w:t>Scale position</w:t>
            </w:r>
          </w:p>
        </w:tc>
      </w:tr>
      <w:tr>
        <w:tc>
          <w:tcPr>
            <w:tcW w:type="dxa" w:w="2100"/>
            <w:shd w:fill="F7FAFF"/>
            <w:tcMar>
              <w:top w:w="90" w:type="dxa"/>
              <w:start w:w="120" w:type="dxa"/>
              <w:bottom w:w="90" w:type="dxa"/>
              <w:end w:w="120" w:type="dxa"/>
            </w:tcMar>
            <w:vAlign w:val="center"/>
          </w:tcPr>
          <w:p>
            <w:r>
              <w:rPr>
                <w:rFonts w:ascii="Calibri" w:hAnsi="Calibri"/>
                <w:color w:val="1E293B"/>
                <w:sz w:val="18"/>
              </w:rPr>
              <w:t>Isolation Forest</w:t>
            </w:r>
          </w:p>
        </w:tc>
        <w:tc>
          <w:tcPr>
            <w:tcW w:type="dxa" w:w="4700"/>
            <w:shd w:fill="F7FAFF"/>
            <w:tcMar>
              <w:top w:w="90" w:type="dxa"/>
              <w:start w:w="120" w:type="dxa"/>
              <w:bottom w:w="90" w:type="dxa"/>
              <w:end w:w="120" w:type="dxa"/>
            </w:tcMar>
            <w:vAlign w:val="center"/>
          </w:tcPr>
          <w:p>
            <w:r>
              <w:rPr>
                <w:rFonts w:ascii="Calibri" w:hAnsi="Calibri"/>
                <w:color w:val="1E293B"/>
                <w:sz w:val="18"/>
              </w:rPr>
              <w:t>Globally isolated observations through randomized tree partitions.</w:t>
            </w:r>
          </w:p>
        </w:tc>
        <w:tc>
          <w:tcPr>
            <w:tcW w:type="dxa" w:w="2560"/>
            <w:shd w:fill="F7FAFF"/>
            <w:tcMar>
              <w:top w:w="90" w:type="dxa"/>
              <w:start w:w="120" w:type="dxa"/>
              <w:bottom w:w="90" w:type="dxa"/>
              <w:end w:w="120" w:type="dxa"/>
            </w:tcMar>
            <w:vAlign w:val="center"/>
          </w:tcPr>
          <w:p>
            <w:r>
              <w:rPr>
                <w:rFonts w:ascii="Calibri" w:hAnsi="Calibri"/>
                <w:color w:val="1E293B"/>
                <w:sz w:val="18"/>
              </w:rPr>
              <w:t>Production batch fallback and offline comparison.</w:t>
            </w:r>
          </w:p>
        </w:tc>
      </w:tr>
      <w:tr>
        <w:tc>
          <w:tcPr>
            <w:tcW w:type="dxa" w:w="2100"/>
            <w:tcMar>
              <w:top w:w="90" w:type="dxa"/>
              <w:start w:w="120" w:type="dxa"/>
              <w:bottom w:w="90" w:type="dxa"/>
              <w:end w:w="120" w:type="dxa"/>
            </w:tcMar>
            <w:vAlign w:val="center"/>
          </w:tcPr>
          <w:p>
            <w:r>
              <w:rPr>
                <w:rFonts w:ascii="Calibri" w:hAnsi="Calibri"/>
                <w:color w:val="1E293B"/>
                <w:sz w:val="18"/>
              </w:rPr>
              <w:t>Local Outlier Factor (LOF)</w:t>
            </w:r>
          </w:p>
        </w:tc>
        <w:tc>
          <w:tcPr>
            <w:tcW w:type="dxa" w:w="4700"/>
            <w:tcMar>
              <w:top w:w="90" w:type="dxa"/>
              <w:start w:w="120" w:type="dxa"/>
              <w:bottom w:w="90" w:type="dxa"/>
              <w:end w:w="120" w:type="dxa"/>
            </w:tcMar>
            <w:vAlign w:val="center"/>
          </w:tcPr>
          <w:p>
            <w:r>
              <w:rPr>
                <w:rFonts w:ascii="Calibri" w:hAnsi="Calibri"/>
                <w:color w:val="1E293B"/>
                <w:sz w:val="18"/>
              </w:rPr>
              <w:t>Points whose local density is substantially lower than their neighbors.</w:t>
            </w:r>
          </w:p>
        </w:tc>
        <w:tc>
          <w:tcPr>
            <w:tcW w:type="dxa" w:w="2560"/>
            <w:tcMar>
              <w:top w:w="90" w:type="dxa"/>
              <w:start w:w="120" w:type="dxa"/>
              <w:bottom w:w="90" w:type="dxa"/>
              <w:end w:w="120" w:type="dxa"/>
            </w:tcMar>
            <w:vAlign w:val="center"/>
          </w:tcPr>
          <w:p>
            <w:r>
              <w:rPr>
                <w:rFonts w:ascii="Calibri" w:hAnsi="Calibri"/>
                <w:color w:val="1E293B"/>
                <w:sz w:val="18"/>
              </w:rPr>
              <w:t>Offline/capped research only at bank scale.</w:t>
            </w:r>
          </w:p>
        </w:tc>
      </w:tr>
      <w:tr>
        <w:tc>
          <w:tcPr>
            <w:tcW w:type="dxa" w:w="2100"/>
            <w:shd w:fill="F7FAFF"/>
            <w:tcMar>
              <w:top w:w="90" w:type="dxa"/>
              <w:start w:w="120" w:type="dxa"/>
              <w:bottom w:w="90" w:type="dxa"/>
              <w:end w:w="120" w:type="dxa"/>
            </w:tcMar>
            <w:vAlign w:val="center"/>
          </w:tcPr>
          <w:p>
            <w:r>
              <w:rPr>
                <w:rFonts w:ascii="Calibri" w:hAnsi="Calibri"/>
                <w:color w:val="1E293B"/>
                <w:sz w:val="18"/>
              </w:rPr>
              <w:t>One-Class SVM</w:t>
            </w:r>
          </w:p>
        </w:tc>
        <w:tc>
          <w:tcPr>
            <w:tcW w:type="dxa" w:w="4700"/>
            <w:shd w:fill="F7FAFF"/>
            <w:tcMar>
              <w:top w:w="90" w:type="dxa"/>
              <w:start w:w="120" w:type="dxa"/>
              <w:bottom w:w="90" w:type="dxa"/>
              <w:end w:w="120" w:type="dxa"/>
            </w:tcMar>
            <w:vAlign w:val="center"/>
          </w:tcPr>
          <w:p>
            <w:r>
              <w:rPr>
                <w:rFonts w:ascii="Calibri" w:hAnsi="Calibri"/>
                <w:color w:val="1E293B"/>
                <w:sz w:val="18"/>
              </w:rPr>
              <w:t>A learned boundary around normal observations.</w:t>
            </w:r>
          </w:p>
        </w:tc>
        <w:tc>
          <w:tcPr>
            <w:tcW w:type="dxa" w:w="2560"/>
            <w:shd w:fill="F7FAFF"/>
            <w:tcMar>
              <w:top w:w="90" w:type="dxa"/>
              <w:start w:w="120" w:type="dxa"/>
              <w:bottom w:w="90" w:type="dxa"/>
              <w:end w:w="120" w:type="dxa"/>
            </w:tcMar>
            <w:vAlign w:val="center"/>
          </w:tcPr>
          <w:p>
            <w:r>
              <w:rPr>
                <w:rFonts w:ascii="Calibri" w:hAnsi="Calibri"/>
                <w:color w:val="1E293B"/>
                <w:sz w:val="18"/>
              </w:rPr>
              <w:t>Offline/capped research only; kernel training is not suitable for millions of rows.</w:t>
            </w:r>
          </w:p>
        </w:tc>
      </w:tr>
      <w:tr>
        <w:tc>
          <w:tcPr>
            <w:tcW w:type="dxa" w:w="2100"/>
            <w:tcMar>
              <w:top w:w="90" w:type="dxa"/>
              <w:start w:w="120" w:type="dxa"/>
              <w:bottom w:w="90" w:type="dxa"/>
              <w:end w:w="120" w:type="dxa"/>
            </w:tcMar>
            <w:vAlign w:val="center"/>
          </w:tcPr>
          <w:p>
            <w:r>
              <w:rPr>
                <w:rFonts w:ascii="Calibri" w:hAnsi="Calibri"/>
                <w:color w:val="1E293B"/>
                <w:sz w:val="18"/>
              </w:rPr>
              <w:t>Elliptic Envelope</w:t>
            </w:r>
          </w:p>
        </w:tc>
        <w:tc>
          <w:tcPr>
            <w:tcW w:type="dxa" w:w="4700"/>
            <w:tcMar>
              <w:top w:w="90" w:type="dxa"/>
              <w:start w:w="120" w:type="dxa"/>
              <w:bottom w:w="90" w:type="dxa"/>
              <w:end w:w="120" w:type="dxa"/>
            </w:tcMar>
            <w:vAlign w:val="center"/>
          </w:tcPr>
          <w:p>
            <w:r>
              <w:rPr>
                <w:rFonts w:ascii="Calibri" w:hAnsi="Calibri"/>
                <w:color w:val="1E293B"/>
                <w:sz w:val="18"/>
              </w:rPr>
              <w:t>Outliers relative to robust covariance assumptions.</w:t>
            </w:r>
          </w:p>
        </w:tc>
        <w:tc>
          <w:tcPr>
            <w:tcW w:type="dxa" w:w="2560"/>
            <w:tcMar>
              <w:top w:w="90" w:type="dxa"/>
              <w:start w:w="120" w:type="dxa"/>
              <w:bottom w:w="90" w:type="dxa"/>
              <w:end w:w="120" w:type="dxa"/>
            </w:tcMar>
            <w:vAlign w:val="center"/>
          </w:tcPr>
          <w:p>
            <w:r>
              <w:rPr>
                <w:rFonts w:ascii="Calibri" w:hAnsi="Calibri"/>
                <w:color w:val="1E293B"/>
                <w:sz w:val="18"/>
              </w:rPr>
              <w:t>Offline/capped research only; unsuitable for high-dimensional bank-scale production.</w:t>
            </w:r>
          </w:p>
        </w:tc>
      </w:tr>
      <w:tr>
        <w:tc>
          <w:tcPr>
            <w:tcW w:type="dxa" w:w="2100"/>
            <w:shd w:fill="F7FAFF"/>
            <w:tcMar>
              <w:top w:w="90" w:type="dxa"/>
              <w:start w:w="120" w:type="dxa"/>
              <w:bottom w:w="90" w:type="dxa"/>
              <w:end w:w="120" w:type="dxa"/>
            </w:tcMar>
            <w:vAlign w:val="center"/>
          </w:tcPr>
          <w:p>
            <w:r>
              <w:rPr>
                <w:rFonts w:ascii="Calibri" w:hAnsi="Calibri"/>
                <w:color w:val="1E293B"/>
                <w:sz w:val="18"/>
              </w:rPr>
              <w:t>PCA Reconstruction</w:t>
            </w:r>
          </w:p>
        </w:tc>
        <w:tc>
          <w:tcPr>
            <w:tcW w:type="dxa" w:w="4700"/>
            <w:shd w:fill="F7FAFF"/>
            <w:tcMar>
              <w:top w:w="90" w:type="dxa"/>
              <w:start w:w="120" w:type="dxa"/>
              <w:bottom w:w="90" w:type="dxa"/>
              <w:end w:w="120" w:type="dxa"/>
            </w:tcMar>
            <w:vAlign w:val="center"/>
          </w:tcPr>
          <w:p>
            <w:r>
              <w:rPr>
                <w:rFonts w:ascii="Calibri" w:hAnsi="Calibri"/>
                <w:color w:val="1E293B"/>
                <w:sz w:val="18"/>
              </w:rPr>
              <w:t>Observations poorly reconstructed by a lower-dimensional representation.</w:t>
            </w:r>
          </w:p>
        </w:tc>
        <w:tc>
          <w:tcPr>
            <w:tcW w:type="dxa" w:w="2560"/>
            <w:shd w:fill="F7FAFF"/>
            <w:tcMar>
              <w:top w:w="90" w:type="dxa"/>
              <w:start w:w="120" w:type="dxa"/>
              <w:bottom w:w="90" w:type="dxa"/>
              <w:end w:w="120" w:type="dxa"/>
            </w:tcMar>
            <w:vAlign w:val="center"/>
          </w:tcPr>
          <w:p>
            <w:r>
              <w:rPr>
                <w:rFonts w:ascii="Calibri" w:hAnsi="Calibri"/>
                <w:color w:val="1E293B"/>
                <w:sz w:val="18"/>
              </w:rPr>
              <w:t>Offline research and diagnostic interpretation.</w:t>
            </w:r>
          </w:p>
        </w:tc>
      </w:tr>
    </w:tbl>
    <w:p>
      <w:pPr>
        <w:spacing w:after="0"/>
      </w:pPr>
    </w:p>
    <w:p>
      <w:pPr>
        <w:pStyle w:val="Heading2"/>
      </w:pPr>
      <w:r>
        <w:t>How to interpret the report</w:t>
      </w:r>
    </w:p>
    <w:tbl>
      <w:tblPr>
        <w:tblStyle w:val="TableGrid"/>
        <w:tblW w:type="dxa" w:w="9360"/>
        <w:jc w:val="left"/>
        <w:tblLayout w:type="fixed"/>
        <w:tblLook w:firstColumn="1" w:firstRow="1" w:lastColumn="0" w:lastRow="0" w:noHBand="0" w:noVBand="1" w:val="04A0"/>
        <w:tblInd w:w="120" w:type="dxa"/>
      </w:tblPr>
      <w:tblGrid>
        <w:gridCol w:w="1800"/>
        <w:gridCol w:w="5660"/>
        <w:gridCol w:w="190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Metric</w:t>
            </w:r>
          </w:p>
        </w:tc>
        <w:tc>
          <w:tcPr>
            <w:tcW w:type="dxa" w:w="5660"/>
            <w:shd w:fill="0F2747"/>
            <w:tcMar>
              <w:top w:w="90" w:type="dxa"/>
              <w:start w:w="120" w:type="dxa"/>
              <w:bottom w:w="90" w:type="dxa"/>
              <w:end w:w="120" w:type="dxa"/>
            </w:tcMar>
            <w:vAlign w:val="center"/>
          </w:tcPr>
          <w:p>
            <w:r>
              <w:rPr>
                <w:rFonts w:ascii="Calibri" w:hAnsi="Calibri"/>
                <w:b/>
                <w:color w:val="FFFFFF"/>
                <w:sz w:val="18"/>
              </w:rPr>
              <w:t>Meaning</w:t>
            </w:r>
          </w:p>
        </w:tc>
        <w:tc>
          <w:tcPr>
            <w:tcW w:type="dxa" w:w="1900"/>
            <w:shd w:fill="0F2747"/>
            <w:tcMar>
              <w:top w:w="90" w:type="dxa"/>
              <w:start w:w="120" w:type="dxa"/>
              <w:bottom w:w="90" w:type="dxa"/>
              <w:end w:w="120" w:type="dxa"/>
            </w:tcMar>
            <w:vAlign w:val="center"/>
          </w:tcPr>
          <w:p>
            <w:r>
              <w:rPr>
                <w:rFonts w:ascii="Calibri" w:hAnsi="Calibri"/>
                <w:b/>
                <w:color w:val="FFFFFF"/>
                <w:sz w:val="18"/>
              </w:rPr>
              <w:t>Preferred direction</w:t>
            </w:r>
          </w:p>
        </w:tc>
      </w:tr>
      <w:tr>
        <w:tc>
          <w:tcPr>
            <w:tcW w:type="dxa" w:w="1800"/>
            <w:shd w:fill="F7FAFF"/>
            <w:tcMar>
              <w:top w:w="90" w:type="dxa"/>
              <w:start w:w="120" w:type="dxa"/>
              <w:bottom w:w="90" w:type="dxa"/>
              <w:end w:w="120" w:type="dxa"/>
            </w:tcMar>
            <w:vAlign w:val="center"/>
          </w:tcPr>
          <w:p>
            <w:r>
              <w:rPr>
                <w:rFonts w:ascii="Calibri" w:hAnsi="Calibri"/>
                <w:color w:val="1E293B"/>
                <w:sz w:val="18"/>
              </w:rPr>
              <w:t>Proxy quality</w:t>
            </w:r>
          </w:p>
        </w:tc>
        <w:tc>
          <w:tcPr>
            <w:tcW w:type="dxa" w:w="5660"/>
            <w:shd w:fill="F7FAFF"/>
            <w:tcMar>
              <w:top w:w="90" w:type="dxa"/>
              <w:start w:w="120" w:type="dxa"/>
              <w:bottom w:w="90" w:type="dxa"/>
              <w:end w:w="120" w:type="dxa"/>
            </w:tcMar>
            <w:vAlign w:val="center"/>
          </w:tcPr>
          <w:p>
            <w:r>
              <w:rPr>
                <w:rFonts w:ascii="Calibri" w:hAnsi="Calibri"/>
                <w:color w:val="1E293B"/>
                <w:sz w:val="18"/>
              </w:rPr>
              <w:t>Unsupervised separation quality on a common future holdout; it is not fraud accuracy.</w:t>
            </w:r>
          </w:p>
        </w:tc>
        <w:tc>
          <w:tcPr>
            <w:tcW w:type="dxa" w:w="1900"/>
            <w:shd w:fill="F7FAFF"/>
            <w:tcMar>
              <w:top w:w="90" w:type="dxa"/>
              <w:start w:w="120" w:type="dxa"/>
              <w:bottom w:w="90" w:type="dxa"/>
              <w:end w:w="120" w:type="dxa"/>
            </w:tcMar>
            <w:vAlign w:val="center"/>
          </w:tcPr>
          <w:p>
            <w:r>
              <w:rPr>
                <w:rFonts w:ascii="Calibri" w:hAnsi="Calibri"/>
                <w:color w:val="1E293B"/>
                <w:sz w:val="18"/>
              </w:rPr>
              <w:t>Higher</w:t>
            </w:r>
          </w:p>
        </w:tc>
      </w:tr>
      <w:tr>
        <w:tc>
          <w:tcPr>
            <w:tcW w:type="dxa" w:w="1800"/>
            <w:tcMar>
              <w:top w:w="90" w:type="dxa"/>
              <w:start w:w="120" w:type="dxa"/>
              <w:bottom w:w="90" w:type="dxa"/>
              <w:end w:w="120" w:type="dxa"/>
            </w:tcMar>
            <w:vAlign w:val="center"/>
          </w:tcPr>
          <w:p>
            <w:r>
              <w:rPr>
                <w:rFonts w:ascii="Calibri" w:hAnsi="Calibri"/>
                <w:color w:val="1E293B"/>
                <w:sz w:val="18"/>
              </w:rPr>
              <w:t>Stability</w:t>
            </w:r>
          </w:p>
        </w:tc>
        <w:tc>
          <w:tcPr>
            <w:tcW w:type="dxa" w:w="5660"/>
            <w:tcMar>
              <w:top w:w="90" w:type="dxa"/>
              <w:start w:w="120" w:type="dxa"/>
              <w:bottom w:w="90" w:type="dxa"/>
              <w:end w:w="120" w:type="dxa"/>
            </w:tcMar>
            <w:vAlign w:val="center"/>
          </w:tcPr>
          <w:p>
            <w:r>
              <w:rPr>
                <w:rFonts w:ascii="Calibri" w:hAnsi="Calibri"/>
                <w:color w:val="1E293B"/>
                <w:sz w:val="18"/>
              </w:rPr>
              <w:t>Agreement under bootstrap/resampling and small data perturbations.</w:t>
            </w:r>
          </w:p>
        </w:tc>
        <w:tc>
          <w:tcPr>
            <w:tcW w:type="dxa" w:w="1900"/>
            <w:tcMar>
              <w:top w:w="90" w:type="dxa"/>
              <w:start w:w="120" w:type="dxa"/>
              <w:bottom w:w="90" w:type="dxa"/>
              <w:end w:w="120" w:type="dxa"/>
            </w:tcMar>
            <w:vAlign w:val="center"/>
          </w:tcPr>
          <w:p>
            <w:r>
              <w:rPr>
                <w:rFonts w:ascii="Calibri" w:hAnsi="Calibri"/>
                <w:color w:val="1E293B"/>
                <w:sz w:val="18"/>
              </w:rPr>
              <w:t>Higher</w:t>
            </w:r>
          </w:p>
        </w:tc>
      </w:tr>
      <w:tr>
        <w:tc>
          <w:tcPr>
            <w:tcW w:type="dxa" w:w="1800"/>
            <w:shd w:fill="F7FAFF"/>
            <w:tcMar>
              <w:top w:w="90" w:type="dxa"/>
              <w:start w:w="120" w:type="dxa"/>
              <w:bottom w:w="90" w:type="dxa"/>
              <w:end w:w="120" w:type="dxa"/>
            </w:tcMar>
            <w:vAlign w:val="center"/>
          </w:tcPr>
          <w:p>
            <w:r>
              <w:rPr>
                <w:rFonts w:ascii="Calibri" w:hAnsi="Calibri"/>
                <w:color w:val="1E293B"/>
                <w:sz w:val="18"/>
              </w:rPr>
              <w:t>Rate control</w:t>
            </w:r>
          </w:p>
        </w:tc>
        <w:tc>
          <w:tcPr>
            <w:tcW w:type="dxa" w:w="5660"/>
            <w:shd w:fill="F7FAFF"/>
            <w:tcMar>
              <w:top w:w="90" w:type="dxa"/>
              <w:start w:w="120" w:type="dxa"/>
              <w:bottom w:w="90" w:type="dxa"/>
              <w:end w:w="120" w:type="dxa"/>
            </w:tcMar>
            <w:vAlign w:val="center"/>
          </w:tcPr>
          <w:p>
            <w:r>
              <w:rPr>
                <w:rFonts w:ascii="Calibri" w:hAnsi="Calibri"/>
                <w:color w:val="1E293B"/>
                <w:sz w:val="18"/>
              </w:rPr>
              <w:t>How reasonably and consistently the model controls anomaly volume.</w:t>
            </w:r>
          </w:p>
        </w:tc>
        <w:tc>
          <w:tcPr>
            <w:tcW w:type="dxa" w:w="1900"/>
            <w:shd w:fill="F7FAFF"/>
            <w:tcMar>
              <w:top w:w="90" w:type="dxa"/>
              <w:start w:w="120" w:type="dxa"/>
              <w:bottom w:w="90" w:type="dxa"/>
              <w:end w:w="120" w:type="dxa"/>
            </w:tcMar>
            <w:vAlign w:val="center"/>
          </w:tcPr>
          <w:p>
            <w:r>
              <w:rPr>
                <w:rFonts w:ascii="Calibri" w:hAnsi="Calibri"/>
                <w:color w:val="1E293B"/>
                <w:sz w:val="18"/>
              </w:rPr>
              <w:t>Higher</w:t>
            </w:r>
          </w:p>
        </w:tc>
      </w:tr>
      <w:tr>
        <w:tc>
          <w:tcPr>
            <w:tcW w:type="dxa" w:w="1800"/>
            <w:tcMar>
              <w:top w:w="90" w:type="dxa"/>
              <w:start w:w="120" w:type="dxa"/>
              <w:bottom w:w="90" w:type="dxa"/>
              <w:end w:w="120" w:type="dxa"/>
            </w:tcMar>
            <w:vAlign w:val="center"/>
          </w:tcPr>
          <w:p>
            <w:r>
              <w:rPr>
                <w:rFonts w:ascii="Calibri" w:hAnsi="Calibri"/>
                <w:color w:val="1E293B"/>
                <w:sz w:val="18"/>
              </w:rPr>
              <w:t>Fit score</w:t>
            </w:r>
          </w:p>
        </w:tc>
        <w:tc>
          <w:tcPr>
            <w:tcW w:type="dxa" w:w="5660"/>
            <w:tcMar>
              <w:top w:w="90" w:type="dxa"/>
              <w:start w:w="120" w:type="dxa"/>
              <w:bottom w:w="90" w:type="dxa"/>
              <w:end w:w="120" w:type="dxa"/>
            </w:tcMar>
            <w:vAlign w:val="center"/>
          </w:tcPr>
          <w:p>
            <w:r>
              <w:rPr>
                <w:rFonts w:ascii="Calibri" w:hAnsi="Calibri"/>
                <w:color w:val="1E293B"/>
                <w:sz w:val="18"/>
              </w:rPr>
              <w:t>0.50 x Proxy Quality + 0.35 x Stability + 0.15 x Rate Control, reported on a 0-100 scale.</w:t>
            </w:r>
          </w:p>
        </w:tc>
        <w:tc>
          <w:tcPr>
            <w:tcW w:type="dxa" w:w="1900"/>
            <w:tcMar>
              <w:top w:w="90" w:type="dxa"/>
              <w:start w:w="120" w:type="dxa"/>
              <w:bottom w:w="90" w:type="dxa"/>
              <w:end w:w="120" w:type="dxa"/>
            </w:tcMar>
            <w:vAlign w:val="center"/>
          </w:tcPr>
          <w:p>
            <w:r>
              <w:rPr>
                <w:rFonts w:ascii="Calibri" w:hAnsi="Calibri"/>
                <w:color w:val="1E293B"/>
                <w:sz w:val="18"/>
              </w:rPr>
              <w:t>Higher</w:t>
            </w:r>
          </w:p>
        </w:tc>
      </w:tr>
      <w:tr>
        <w:tc>
          <w:tcPr>
            <w:tcW w:type="dxa" w:w="1800"/>
            <w:shd w:fill="F7FAFF"/>
            <w:tcMar>
              <w:top w:w="90" w:type="dxa"/>
              <w:start w:w="120" w:type="dxa"/>
              <w:bottom w:w="90" w:type="dxa"/>
              <w:end w:w="120" w:type="dxa"/>
            </w:tcMar>
            <w:vAlign w:val="center"/>
          </w:tcPr>
          <w:p>
            <w:r>
              <w:rPr>
                <w:rFonts w:ascii="Calibri" w:hAnsi="Calibri"/>
                <w:color w:val="1E293B"/>
                <w:sz w:val="18"/>
              </w:rPr>
              <w:t>Anomaly rate</w:t>
            </w:r>
          </w:p>
        </w:tc>
        <w:tc>
          <w:tcPr>
            <w:tcW w:type="dxa" w:w="5660"/>
            <w:shd w:fill="F7FAFF"/>
            <w:tcMar>
              <w:top w:w="90" w:type="dxa"/>
              <w:start w:w="120" w:type="dxa"/>
              <w:bottom w:w="90" w:type="dxa"/>
              <w:end w:w="120" w:type="dxa"/>
            </w:tcMar>
            <w:vAlign w:val="center"/>
          </w:tcPr>
          <w:p>
            <w:r>
              <w:rPr>
                <w:rFonts w:ascii="Calibri" w:hAnsi="Calibri"/>
                <w:color w:val="1E293B"/>
                <w:sz w:val="18"/>
              </w:rPr>
              <w:t>Percentage of evaluated transactions classified as anomalous.</w:t>
            </w:r>
          </w:p>
        </w:tc>
        <w:tc>
          <w:tcPr>
            <w:tcW w:type="dxa" w:w="1900"/>
            <w:shd w:fill="F7FAFF"/>
            <w:tcMar>
              <w:top w:w="90" w:type="dxa"/>
              <w:start w:w="120" w:type="dxa"/>
              <w:bottom w:w="90" w:type="dxa"/>
              <w:end w:w="120" w:type="dxa"/>
            </w:tcMar>
            <w:vAlign w:val="center"/>
          </w:tcPr>
          <w:p>
            <w:r>
              <w:rPr>
                <w:rFonts w:ascii="Calibri" w:hAnsi="Calibri"/>
                <w:color w:val="1E293B"/>
                <w:sz w:val="18"/>
              </w:rPr>
              <w:t>Context-dependent; extreme rates require review</w:t>
            </w:r>
          </w:p>
        </w:tc>
      </w:tr>
      <w:tr>
        <w:tc>
          <w:tcPr>
            <w:tcW w:type="dxa" w:w="1800"/>
            <w:tcMar>
              <w:top w:w="90" w:type="dxa"/>
              <w:start w:w="120" w:type="dxa"/>
              <w:bottom w:w="90" w:type="dxa"/>
              <w:end w:w="120" w:type="dxa"/>
            </w:tcMar>
            <w:vAlign w:val="center"/>
          </w:tcPr>
          <w:p>
            <w:r>
              <w:rPr>
                <w:rFonts w:ascii="Calibri" w:hAnsi="Calibri"/>
                <w:color w:val="1E293B"/>
                <w:sz w:val="18"/>
              </w:rPr>
              <w:t>Quality change</w:t>
            </w:r>
          </w:p>
        </w:tc>
        <w:tc>
          <w:tcPr>
            <w:tcW w:type="dxa" w:w="5660"/>
            <w:tcMar>
              <w:top w:w="90" w:type="dxa"/>
              <w:start w:w="120" w:type="dxa"/>
              <w:bottom w:w="90" w:type="dxa"/>
              <w:end w:w="120" w:type="dxa"/>
            </w:tcMar>
            <w:vAlign w:val="center"/>
          </w:tcPr>
          <w:p>
            <w:r>
              <w:rPr>
                <w:rFonts w:ascii="Calibri" w:hAnsi="Calibri"/>
                <w:color w:val="1E293B"/>
                <w:sz w:val="18"/>
              </w:rPr>
              <w:t>Difference between the earliest and full-data partition quality.</w:t>
            </w:r>
          </w:p>
        </w:tc>
        <w:tc>
          <w:tcPr>
            <w:tcW w:type="dxa" w:w="1900"/>
            <w:tcMar>
              <w:top w:w="90" w:type="dxa"/>
              <w:start w:w="120" w:type="dxa"/>
              <w:bottom w:w="90" w:type="dxa"/>
              <w:end w:w="120" w:type="dxa"/>
            </w:tcMar>
            <w:vAlign w:val="center"/>
          </w:tcPr>
          <w:p>
            <w:r>
              <w:rPr>
                <w:rFonts w:ascii="Calibri" w:hAnsi="Calibri"/>
                <w:color w:val="1E293B"/>
                <w:sz w:val="18"/>
              </w:rPr>
              <w:t>Stable or improving</w:t>
            </w:r>
          </w:p>
        </w:tc>
      </w:tr>
      <w:tr>
        <w:tc>
          <w:tcPr>
            <w:tcW w:type="dxa" w:w="1800"/>
            <w:shd w:fill="F7FAFF"/>
            <w:tcMar>
              <w:top w:w="90" w:type="dxa"/>
              <w:start w:w="120" w:type="dxa"/>
              <w:bottom w:w="90" w:type="dxa"/>
              <w:end w:w="120" w:type="dxa"/>
            </w:tcMar>
            <w:vAlign w:val="center"/>
          </w:tcPr>
          <w:p>
            <w:r>
              <w:rPr>
                <w:rFonts w:ascii="Calibri" w:hAnsi="Calibri"/>
                <w:color w:val="1E293B"/>
                <w:sz w:val="18"/>
              </w:rPr>
              <w:t>Latency and artifact size</w:t>
            </w:r>
          </w:p>
        </w:tc>
        <w:tc>
          <w:tcPr>
            <w:tcW w:type="dxa" w:w="5660"/>
            <w:shd w:fill="F7FAFF"/>
            <w:tcMar>
              <w:top w:w="90" w:type="dxa"/>
              <w:start w:w="120" w:type="dxa"/>
              <w:bottom w:w="90" w:type="dxa"/>
              <w:end w:w="120" w:type="dxa"/>
            </w:tcMar>
            <w:vAlign w:val="center"/>
          </w:tcPr>
          <w:p>
            <w:r>
              <w:rPr>
                <w:rFonts w:ascii="Calibri" w:hAnsi="Calibri"/>
                <w:color w:val="1E293B"/>
                <w:sz w:val="18"/>
              </w:rPr>
              <w:t>Operational cost per row and model storage footprint.</w:t>
            </w:r>
          </w:p>
        </w:tc>
        <w:tc>
          <w:tcPr>
            <w:tcW w:type="dxa" w:w="1900"/>
            <w:shd w:fill="F7FAFF"/>
            <w:tcMar>
              <w:top w:w="90" w:type="dxa"/>
              <w:start w:w="120" w:type="dxa"/>
              <w:bottom w:w="90" w:type="dxa"/>
              <w:end w:w="120" w:type="dxa"/>
            </w:tcMar>
            <w:vAlign w:val="center"/>
          </w:tcPr>
          <w:p>
            <w:r>
              <w:rPr>
                <w:rFonts w:ascii="Calibri" w:hAnsi="Calibri"/>
                <w:color w:val="1E293B"/>
                <w:sz w:val="18"/>
              </w:rPr>
              <w:t>Lower, subject to quality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90" w:type="dxa"/>
              <w:start w:w="120" w:type="dxa"/>
              <w:bottom w:w="90" w:type="dxa"/>
              <w:end w:w="120" w:type="dxa"/>
            </w:tcMar>
            <w:vAlign w:val="center"/>
          </w:tcPr>
          <w:p>
            <w:pPr>
              <w:spacing w:after="0"/>
            </w:pPr>
            <w:r>
              <w:rPr>
                <w:rFonts w:ascii="Calibri" w:hAnsi="Calibri"/>
                <w:b/>
                <w:color w:val="B91C1C"/>
              </w:rPr>
              <w:t xml:space="preserve">Do not report false accuracy: </w:t>
            </w:r>
            <w:r>
              <w:rPr>
                <w:rFonts w:ascii="Calibri" w:hAnsi="Calibri"/>
                <w:color w:val="1E293B"/>
              </w:rPr>
              <w:t>The source data has no complete confirmed-fraud label. Therefore, the comparison must not be described as accuracy, precision, recall, or F1 for the whole population. Those supervised measures become valid only after reliable reviewer labels exist.</w:t>
            </w:r>
          </w:p>
        </w:tc>
      </w:tr>
    </w:tbl>
    <w:p>
      <w:pPr>
        <w:spacing w:after="0"/>
      </w:pPr>
    </w:p>
    <w:p>
      <w:pPr>
        <w:pStyle w:val="Heading2"/>
      </w:pPr>
      <w:r>
        <w:t>Recommended interpretation sequence</w:t>
      </w:r>
    </w:p>
    <w:p>
      <w:pPr>
        <w:pStyle w:val="ListNumber"/>
      </w:pPr>
      <w:r>
        <w:rPr>
          <w:rFonts w:ascii="Calibri" w:hAnsi="Calibri"/>
          <w:color w:val="1E293B"/>
        </w:rPr>
        <w:t>Check whether quality improves, remains stable, or declines from 10% to 100%.</w:t>
      </w:r>
    </w:p>
    <w:p>
      <w:pPr>
        <w:pStyle w:val="ListNumber"/>
      </w:pPr>
      <w:r>
        <w:rPr>
          <w:rFonts w:ascii="Calibri" w:hAnsi="Calibri"/>
          <w:color w:val="1E293B"/>
        </w:rPr>
        <w:t>Reject a high-quality model if its resampling stability is poor.</w:t>
      </w:r>
    </w:p>
    <w:p>
      <w:pPr>
        <w:pStyle w:val="ListNumber"/>
      </w:pPr>
      <w:r>
        <w:rPr>
          <w:rFonts w:ascii="Calibri" w:hAnsi="Calibri"/>
          <w:color w:val="1E293B"/>
        </w:rPr>
        <w:t>Inspect anomaly rate and rate control so the model does not overwhelm investigators.</w:t>
      </w:r>
    </w:p>
    <w:p>
      <w:pPr>
        <w:pStyle w:val="ListNumber"/>
      </w:pPr>
      <w:r>
        <w:rPr>
          <w:rFonts w:ascii="Calibri" w:hAnsi="Calibri"/>
          <w:color w:val="1E293B"/>
        </w:rPr>
        <w:t>Compare latency and artifact size before recommending a production candidate.</w:t>
      </w:r>
    </w:p>
    <w:p>
      <w:pPr>
        <w:pStyle w:val="ListNumber"/>
      </w:pPr>
      <w:r>
        <w:rPr>
          <w:rFonts w:ascii="Calibri" w:hAnsi="Calibri"/>
          <w:color w:val="1E293B"/>
        </w:rPr>
        <w:t>Treat the top score as decision support, not an automatic production deployment.</w:t>
      </w:r>
    </w:p>
    <w:p>
      <w:pPr>
        <w:pStyle w:val="Heading1"/>
      </w:pPr>
      <w:r>
        <w:t>6. Governed Incremental Training Operations</w:t>
      </w:r>
    </w:p>
    <w:p>
      <w:r>
        <w:rPr>
          <w:rFonts w:ascii="Calibri" w:hAnsi="Calibri"/>
          <w:color w:val="1E293B"/>
        </w:rPr>
        <w:t>Training Operations is the bank-scale workflow for Half-Space Trees (HST) and Online One-Class SVM. Unlike the research comparison, it uses immutable Parquet datasets, bounded chunks, asynchronous jobs, and a formal model registry.</w:t>
      </w:r>
    </w:p>
    <w:p>
      <w:pPr>
        <w:pStyle w:val="Heading2"/>
      </w:pPr>
      <w:r>
        <w:t>Step 1 - Close the business day</w:t>
      </w:r>
    </w:p>
    <w:p>
      <w:pPr>
        <w:pStyle w:val="ListNumber"/>
      </w:pPr>
      <w:r>
        <w:rPr>
          <w:rFonts w:ascii="Calibri" w:hAnsi="Calibri"/>
          <w:color w:val="1E293B"/>
        </w:rPr>
        <w:t>Open Training Operations as ADMIN or AML_ADMIN.</w:t>
      </w:r>
    </w:p>
    <w:p>
      <w:pPr>
        <w:pStyle w:val="ListNumber"/>
      </w:pPr>
      <w:r>
        <w:rPr>
          <w:rFonts w:ascii="Calibri" w:hAnsi="Calibri"/>
          <w:color w:val="1E293B"/>
        </w:rPr>
        <w:t>Confirm Application health is UP.</w:t>
      </w:r>
    </w:p>
    <w:p>
      <w:pPr>
        <w:pStyle w:val="ListNumber"/>
      </w:pPr>
      <w:r>
        <w:rPr>
          <w:rFonts w:ascii="Calibri" w:hAnsi="Calibri"/>
          <w:color w:val="1E293B"/>
        </w:rPr>
        <w:t>Select the business date and choose Close day.</w:t>
      </w:r>
    </w:p>
    <w:p>
      <w:pPr>
        <w:pStyle w:val="ListNumber"/>
      </w:pPr>
      <w:r>
        <w:rPr>
          <w:rFonts w:ascii="Calibri" w:hAnsi="Calibri"/>
          <w:color w:val="1E293B"/>
        </w:rPr>
        <w:t>Wait for the Business day closed popup. Closed dates cannot silently change underneath a reproducible training window.</w:t>
      </w:r>
    </w:p>
    <w:p>
      <w:pPr>
        <w:pStyle w:val="Heading2"/>
      </w:pPr>
      <w:r>
        <w:t>Step 2 - Create the training window</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Field</w:t>
            </w:r>
          </w:p>
        </w:tc>
        <w:tc>
          <w:tcPr>
            <w:tcW w:type="dxa" w:w="7160"/>
            <w:shd w:fill="0F2747"/>
            <w:tcMar>
              <w:top w:w="90" w:type="dxa"/>
              <w:start w:w="120" w:type="dxa"/>
              <w:bottom w:w="90" w:type="dxa"/>
              <w:end w:w="120" w:type="dxa"/>
            </w:tcMar>
            <w:vAlign w:val="center"/>
          </w:tcPr>
          <w:p>
            <w:r>
              <w:rPr>
                <w:rFonts w:ascii="Calibri" w:hAnsi="Calibri"/>
                <w:b/>
                <w:color w:val="FFFFFF"/>
                <w:sz w:val="18"/>
              </w:rPr>
              <w:t>Guidance</w:t>
            </w:r>
          </w:p>
        </w:tc>
      </w:tr>
      <w:tr>
        <w:tc>
          <w:tcPr>
            <w:tcW w:type="dxa" w:w="2200"/>
            <w:shd w:fill="F7FAFF"/>
            <w:tcMar>
              <w:top w:w="90" w:type="dxa"/>
              <w:start w:w="120" w:type="dxa"/>
              <w:bottom w:w="90" w:type="dxa"/>
              <w:end w:w="120" w:type="dxa"/>
            </w:tcMar>
            <w:vAlign w:val="center"/>
          </w:tcPr>
          <w:p>
            <w:r>
              <w:rPr>
                <w:rFonts w:ascii="Calibri" w:hAnsi="Calibri"/>
                <w:color w:val="1E293B"/>
                <w:sz w:val="18"/>
              </w:rPr>
              <w:t>Training type</w:t>
            </w:r>
          </w:p>
        </w:tc>
        <w:tc>
          <w:tcPr>
            <w:tcW w:type="dxa" w:w="7160"/>
            <w:shd w:fill="F7FAFF"/>
            <w:tcMar>
              <w:top w:w="90" w:type="dxa"/>
              <w:start w:w="120" w:type="dxa"/>
              <w:bottom w:w="90" w:type="dxa"/>
              <w:end w:w="120" w:type="dxa"/>
            </w:tcMar>
            <w:vAlign w:val="center"/>
          </w:tcPr>
          <w:p>
            <w:r>
              <w:rPr>
                <w:rFonts w:ascii="Calibri" w:hAnsi="Calibri"/>
                <w:color w:val="1E293B"/>
                <w:sz w:val="18"/>
              </w:rPr>
              <w:t>DAILY_INCREMENTAL for normal end-of-day learning; WEEKLY_BATCH or FULL_REBUILD for controlled larger jobs; BACKTEST for historical evaluation.</w:t>
            </w:r>
          </w:p>
        </w:tc>
      </w:tr>
      <w:tr>
        <w:tc>
          <w:tcPr>
            <w:tcW w:type="dxa" w:w="2200"/>
            <w:tcMar>
              <w:top w:w="90" w:type="dxa"/>
              <w:start w:w="120" w:type="dxa"/>
              <w:bottom w:w="90" w:type="dxa"/>
              <w:end w:w="120" w:type="dxa"/>
            </w:tcMar>
            <w:vAlign w:val="center"/>
          </w:tcPr>
          <w:p>
            <w:r>
              <w:rPr>
                <w:rFonts w:ascii="Calibri" w:hAnsi="Calibri"/>
                <w:color w:val="1E293B"/>
                <w:sz w:val="18"/>
              </w:rPr>
              <w:t>Feature version</w:t>
            </w:r>
          </w:p>
        </w:tc>
        <w:tc>
          <w:tcPr>
            <w:tcW w:type="dxa" w:w="7160"/>
            <w:tcMar>
              <w:top w:w="90" w:type="dxa"/>
              <w:start w:w="120" w:type="dxa"/>
              <w:bottom w:w="90" w:type="dxa"/>
              <w:end w:w="120" w:type="dxa"/>
            </w:tcMar>
            <w:vAlign w:val="center"/>
          </w:tcPr>
          <w:p>
            <w:r>
              <w:rPr>
                <w:rFonts w:ascii="Calibri" w:hAnsi="Calibri"/>
                <w:color w:val="1E293B"/>
                <w:sz w:val="18"/>
              </w:rPr>
              <w:t>Use the persisted feature contract expected by the trainer, for example AML_FEATURES_V2 or the configured current version.</w:t>
            </w:r>
          </w:p>
        </w:tc>
      </w:tr>
      <w:tr>
        <w:tc>
          <w:tcPr>
            <w:tcW w:type="dxa" w:w="2200"/>
            <w:shd w:fill="F7FAFF"/>
            <w:tcMar>
              <w:top w:w="90" w:type="dxa"/>
              <w:start w:w="120" w:type="dxa"/>
              <w:bottom w:w="90" w:type="dxa"/>
              <w:end w:w="120" w:type="dxa"/>
            </w:tcMar>
            <w:vAlign w:val="center"/>
          </w:tcPr>
          <w:p>
            <w:r>
              <w:rPr>
                <w:rFonts w:ascii="Calibri" w:hAnsi="Calibri"/>
                <w:color w:val="1E293B"/>
                <w:sz w:val="18"/>
              </w:rPr>
              <w:t>Model type</w:t>
            </w:r>
          </w:p>
        </w:tc>
        <w:tc>
          <w:tcPr>
            <w:tcW w:type="dxa" w:w="7160"/>
            <w:shd w:fill="F7FAFF"/>
            <w:tcMar>
              <w:top w:w="90" w:type="dxa"/>
              <w:start w:w="120" w:type="dxa"/>
              <w:bottom w:w="90" w:type="dxa"/>
              <w:end w:w="120" w:type="dxa"/>
            </w:tcMar>
            <w:vAlign w:val="center"/>
          </w:tcPr>
          <w:p>
            <w:r>
              <w:rPr>
                <w:rFonts w:ascii="Calibri" w:hAnsi="Calibri"/>
                <w:color w:val="1E293B"/>
                <w:sz w:val="18"/>
              </w:rPr>
              <w:t>Use HALF_SPACE_TREES or ONLINE_ONE_CLASS_SVM according to the approved training objective.</w:t>
            </w:r>
          </w:p>
        </w:tc>
      </w:tr>
      <w:tr>
        <w:tc>
          <w:tcPr>
            <w:tcW w:type="dxa" w:w="2200"/>
            <w:tcMar>
              <w:top w:w="90" w:type="dxa"/>
              <w:start w:w="120" w:type="dxa"/>
              <w:bottom w:w="90" w:type="dxa"/>
              <w:end w:w="120" w:type="dxa"/>
            </w:tcMar>
            <w:vAlign w:val="center"/>
          </w:tcPr>
          <w:p>
            <w:r>
              <w:rPr>
                <w:rFonts w:ascii="Calibri" w:hAnsi="Calibri"/>
                <w:color w:val="1E293B"/>
                <w:sz w:val="18"/>
              </w:rPr>
              <w:t>Segment</w:t>
            </w:r>
          </w:p>
        </w:tc>
        <w:tc>
          <w:tcPr>
            <w:tcW w:type="dxa" w:w="7160"/>
            <w:tcMar>
              <w:top w:w="90" w:type="dxa"/>
              <w:start w:w="120" w:type="dxa"/>
              <w:bottom w:w="90" w:type="dxa"/>
              <w:end w:w="120" w:type="dxa"/>
            </w:tcMar>
            <w:vAlign w:val="center"/>
          </w:tcPr>
          <w:p>
            <w:r>
              <w:rPr>
                <w:rFonts w:ascii="Calibri" w:hAnsi="Calibri"/>
                <w:color w:val="1E293B"/>
                <w:sz w:val="18"/>
              </w:rPr>
              <w:t>Leave blank for GLOBAL or enter an approved customer/business segment.</w:t>
            </w:r>
          </w:p>
        </w:tc>
      </w:tr>
      <w:tr>
        <w:tc>
          <w:tcPr>
            <w:tcW w:type="dxa" w:w="2200"/>
            <w:shd w:fill="F7FAFF"/>
            <w:tcMar>
              <w:top w:w="90" w:type="dxa"/>
              <w:start w:w="120" w:type="dxa"/>
              <w:bottom w:w="90" w:type="dxa"/>
              <w:end w:w="120" w:type="dxa"/>
            </w:tcMar>
            <w:vAlign w:val="center"/>
          </w:tcPr>
          <w:p>
            <w:r>
              <w:rPr>
                <w:rFonts w:ascii="Calibri" w:hAnsi="Calibri"/>
                <w:color w:val="1E293B"/>
                <w:sz w:val="18"/>
              </w:rPr>
              <w:t>From / To</w:t>
            </w:r>
          </w:p>
        </w:tc>
        <w:tc>
          <w:tcPr>
            <w:tcW w:type="dxa" w:w="7160"/>
            <w:shd w:fill="F7FAFF"/>
            <w:tcMar>
              <w:top w:w="90" w:type="dxa"/>
              <w:start w:w="120" w:type="dxa"/>
              <w:bottom w:w="90" w:type="dxa"/>
              <w:end w:w="120" w:type="dxa"/>
            </w:tcMar>
            <w:vAlign w:val="center"/>
          </w:tcPr>
          <w:p>
            <w:r>
              <w:rPr>
                <w:rFonts w:ascii="Calibri" w:hAnsi="Calibri"/>
                <w:color w:val="1E293B"/>
                <w:sz w:val="18"/>
              </w:rPr>
              <w:t>Every date in the range must be closed.</w:t>
            </w:r>
          </w:p>
        </w:tc>
      </w:tr>
      <w:tr>
        <w:tc>
          <w:tcPr>
            <w:tcW w:type="dxa" w:w="2200"/>
            <w:tcMar>
              <w:top w:w="90" w:type="dxa"/>
              <w:start w:w="120" w:type="dxa"/>
              <w:bottom w:w="90" w:type="dxa"/>
              <w:end w:w="120" w:type="dxa"/>
            </w:tcMar>
            <w:vAlign w:val="center"/>
          </w:tcPr>
          <w:p>
            <w:r>
              <w:rPr>
                <w:rFonts w:ascii="Calibri" w:hAnsi="Calibri"/>
                <w:color w:val="1E293B"/>
                <w:sz w:val="18"/>
              </w:rPr>
              <w:t>Cutoff timestamp</w:t>
            </w:r>
          </w:p>
        </w:tc>
        <w:tc>
          <w:tcPr>
            <w:tcW w:type="dxa" w:w="7160"/>
            <w:tcMar>
              <w:top w:w="90" w:type="dxa"/>
              <w:start w:w="120" w:type="dxa"/>
              <w:bottom w:w="90" w:type="dxa"/>
              <w:end w:w="120" w:type="dxa"/>
            </w:tcMar>
            <w:vAlign w:val="center"/>
          </w:tcPr>
          <w:p>
            <w:r>
              <w:rPr>
                <w:rFonts w:ascii="Calibri" w:hAnsi="Calibri"/>
                <w:color w:val="1E293B"/>
                <w:sz w:val="18"/>
              </w:rPr>
              <w:t>The latest event time permitted in the immutable training snapshot.</w:t>
            </w:r>
          </w:p>
        </w:tc>
      </w:tr>
    </w:tbl>
    <w:p>
      <w:pPr>
        <w:spacing w:after="0"/>
      </w:pPr>
    </w:p>
    <w:p>
      <w:pPr>
        <w:pStyle w:val="ListNumber"/>
      </w:pPr>
      <w:r>
        <w:rPr>
          <w:rFonts w:ascii="Calibri" w:hAnsi="Calibri"/>
          <w:color w:val="1E293B"/>
        </w:rPr>
        <w:t>Complete all training-window fields.</w:t>
      </w:r>
    </w:p>
    <w:p>
      <w:pPr>
        <w:pStyle w:val="ListNumber"/>
      </w:pPr>
      <w:r>
        <w:rPr>
          <w:rFonts w:ascii="Calibri" w:hAnsi="Calibri"/>
          <w:color w:val="1E293B"/>
        </w:rPr>
        <w:t>Select Create run.</w:t>
      </w:r>
    </w:p>
    <w:p>
      <w:pPr>
        <w:pStyle w:val="ListNumber"/>
      </w:pPr>
      <w:r>
        <w:rPr>
          <w:rFonts w:ascii="Calibri" w:hAnsi="Calibri"/>
          <w:color w:val="1E293B"/>
        </w:rPr>
        <w:t>Select the new run in Recent pipeline activity.</w:t>
      </w:r>
    </w:p>
    <w:p>
      <w:pPr>
        <w:pStyle w:val="ListNumber"/>
      </w:pPr>
      <w:r>
        <w:rPr>
          <w:rFonts w:ascii="Calibri" w:hAnsi="Calibri"/>
          <w:color w:val="1E293B"/>
        </w:rPr>
        <w:t>Choose Generate dataset. The export runs asynchronously.</w:t>
      </w:r>
    </w:p>
    <w:p>
      <w:pPr>
        <w:pStyle w:val="ListNumber"/>
      </w:pPr>
      <w:r>
        <w:rPr>
          <w:rFonts w:ascii="Calibri" w:hAnsi="Calibri"/>
          <w:color w:val="1E293B"/>
        </w:rPr>
        <w:t>Use Refresh status until the run reaches DATASET_READY.</w:t>
      </w:r>
    </w:p>
    <w:p>
      <w:pPr>
        <w:pStyle w:val="ListNumber"/>
      </w:pPr>
      <w:r>
        <w:rPr>
          <w:rFonts w:ascii="Calibri" w:hAnsi="Calibri"/>
          <w:color w:val="1E293B"/>
        </w:rPr>
        <w:t>Optionally enter a compatible base model version for incremental continuation.</w:t>
      </w:r>
    </w:p>
    <w:p>
      <w:pPr>
        <w:pStyle w:val="ListNumber"/>
      </w:pPr>
      <w:r>
        <w:rPr>
          <w:rFonts w:ascii="Calibri" w:hAnsi="Calibri"/>
          <w:color w:val="1E293B"/>
        </w:rPr>
        <w:t>Choose Train candidate and refresh until CANDIDATE_READY or TRAINING_FAILED.</w:t>
      </w:r>
    </w:p>
    <w:p>
      <w:pPr>
        <w:pStyle w:val="Heading2"/>
      </w:pPr>
      <w:r>
        <w:t>Training-run statuses</w:t>
      </w:r>
    </w:p>
    <w:tbl>
      <w:tblPr>
        <w:tblStyle w:val="TableGrid"/>
        <w:tblW w:type="dxa" w:w="9360"/>
        <w:jc w:val="left"/>
        <w:tblLayout w:type="fixed"/>
        <w:tblLook w:firstColumn="1" w:firstRow="1" w:lastColumn="0" w:lastRow="0" w:noHBand="0" w:noVBand="1" w:val="04A0"/>
        <w:tblInd w:w="120" w:type="dxa"/>
      </w:tblPr>
      <w:tblGrid>
        <w:gridCol w:w="2200"/>
        <w:gridCol w:w="4300"/>
        <w:gridCol w:w="28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Status</w:t>
            </w:r>
          </w:p>
        </w:tc>
        <w:tc>
          <w:tcPr>
            <w:tcW w:type="dxa" w:w="4300"/>
            <w:shd w:fill="0F2747"/>
            <w:tcMar>
              <w:top w:w="90" w:type="dxa"/>
              <w:start w:w="120" w:type="dxa"/>
              <w:bottom w:w="90" w:type="dxa"/>
              <w:end w:w="120" w:type="dxa"/>
            </w:tcMar>
            <w:vAlign w:val="center"/>
          </w:tcPr>
          <w:p>
            <w:r>
              <w:rPr>
                <w:rFonts w:ascii="Calibri" w:hAnsi="Calibri"/>
                <w:b/>
                <w:color w:val="FFFFFF"/>
                <w:sz w:val="18"/>
              </w:rPr>
              <w:t>Meaning</w:t>
            </w:r>
          </w:p>
        </w:tc>
        <w:tc>
          <w:tcPr>
            <w:tcW w:type="dxa" w:w="2860"/>
            <w:shd w:fill="0F2747"/>
            <w:tcMar>
              <w:top w:w="90" w:type="dxa"/>
              <w:start w:w="120" w:type="dxa"/>
              <w:bottom w:w="90" w:type="dxa"/>
              <w:end w:w="120" w:type="dxa"/>
            </w:tcMar>
            <w:vAlign w:val="center"/>
          </w:tcPr>
          <w:p>
            <w:r>
              <w:rPr>
                <w:rFonts w:ascii="Calibri" w:hAnsi="Calibri"/>
                <w:b/>
                <w:color w:val="FFFFFF"/>
                <w:sz w:val="18"/>
              </w:rPr>
              <w:t>Operator action</w:t>
            </w:r>
          </w:p>
        </w:tc>
      </w:tr>
      <w:tr>
        <w:tc>
          <w:tcPr>
            <w:tcW w:type="dxa" w:w="2200"/>
            <w:shd w:fill="F7FAFF"/>
            <w:tcMar>
              <w:top w:w="90" w:type="dxa"/>
              <w:start w:w="120" w:type="dxa"/>
              <w:bottom w:w="90" w:type="dxa"/>
              <w:end w:w="120" w:type="dxa"/>
            </w:tcMar>
            <w:vAlign w:val="center"/>
          </w:tcPr>
          <w:p>
            <w:r>
              <w:rPr>
                <w:rFonts w:ascii="Calibri" w:hAnsi="Calibri"/>
                <w:color w:val="1E293B"/>
                <w:sz w:val="18"/>
              </w:rPr>
              <w:t>CREATED</w:t>
            </w:r>
          </w:p>
        </w:tc>
        <w:tc>
          <w:tcPr>
            <w:tcW w:type="dxa" w:w="4300"/>
            <w:shd w:fill="F7FAFF"/>
            <w:tcMar>
              <w:top w:w="90" w:type="dxa"/>
              <w:start w:w="120" w:type="dxa"/>
              <w:bottom w:w="90" w:type="dxa"/>
              <w:end w:w="120" w:type="dxa"/>
            </w:tcMar>
            <w:vAlign w:val="center"/>
          </w:tcPr>
          <w:p>
            <w:r>
              <w:rPr>
                <w:rFonts w:ascii="Calibri" w:hAnsi="Calibri"/>
                <w:color w:val="1E293B"/>
                <w:sz w:val="18"/>
              </w:rPr>
              <w:t>Window recorded but export not queued.</w:t>
            </w:r>
          </w:p>
        </w:tc>
        <w:tc>
          <w:tcPr>
            <w:tcW w:type="dxa" w:w="2860"/>
            <w:shd w:fill="F7FAFF"/>
            <w:tcMar>
              <w:top w:w="90" w:type="dxa"/>
              <w:start w:w="120" w:type="dxa"/>
              <w:bottom w:w="90" w:type="dxa"/>
              <w:end w:w="120" w:type="dxa"/>
            </w:tcMar>
            <w:vAlign w:val="center"/>
          </w:tcPr>
          <w:p>
            <w:r>
              <w:rPr>
                <w:rFonts w:ascii="Calibri" w:hAnsi="Calibri"/>
                <w:color w:val="1E293B"/>
                <w:sz w:val="18"/>
              </w:rPr>
              <w:t>Generate dataset.</w:t>
            </w:r>
          </w:p>
        </w:tc>
      </w:tr>
      <w:tr>
        <w:tc>
          <w:tcPr>
            <w:tcW w:type="dxa" w:w="2200"/>
            <w:tcMar>
              <w:top w:w="90" w:type="dxa"/>
              <w:start w:w="120" w:type="dxa"/>
              <w:bottom w:w="90" w:type="dxa"/>
              <w:end w:w="120" w:type="dxa"/>
            </w:tcMar>
            <w:vAlign w:val="center"/>
          </w:tcPr>
          <w:p>
            <w:r>
              <w:rPr>
                <w:rFonts w:ascii="Calibri" w:hAnsi="Calibri"/>
                <w:color w:val="1E293B"/>
                <w:sz w:val="18"/>
              </w:rPr>
              <w:t>QUEUED / EXPORTING</w:t>
            </w:r>
          </w:p>
        </w:tc>
        <w:tc>
          <w:tcPr>
            <w:tcW w:type="dxa" w:w="4300"/>
            <w:tcMar>
              <w:top w:w="90" w:type="dxa"/>
              <w:start w:w="120" w:type="dxa"/>
              <w:bottom w:w="90" w:type="dxa"/>
              <w:end w:w="120" w:type="dxa"/>
            </w:tcMar>
            <w:vAlign w:val="center"/>
          </w:tcPr>
          <w:p>
            <w:r>
              <w:rPr>
                <w:rFonts w:ascii="Calibri" w:hAnsi="Calibri"/>
                <w:color w:val="1E293B"/>
                <w:sz w:val="18"/>
              </w:rPr>
              <w:t>Feature rows are being exported in bounded chunks.</w:t>
            </w:r>
          </w:p>
        </w:tc>
        <w:tc>
          <w:tcPr>
            <w:tcW w:type="dxa" w:w="2860"/>
            <w:tcMar>
              <w:top w:w="90" w:type="dxa"/>
              <w:start w:w="120" w:type="dxa"/>
              <w:bottom w:w="90" w:type="dxa"/>
              <w:end w:w="120" w:type="dxa"/>
            </w:tcMar>
            <w:vAlign w:val="center"/>
          </w:tcPr>
          <w:p>
            <w:r>
              <w:rPr>
                <w:rFonts w:ascii="Calibri" w:hAnsi="Calibri"/>
                <w:color w:val="1E293B"/>
                <w:sz w:val="18"/>
              </w:rPr>
              <w:t>Wait and refresh.</w:t>
            </w:r>
          </w:p>
        </w:tc>
      </w:tr>
      <w:tr>
        <w:tc>
          <w:tcPr>
            <w:tcW w:type="dxa" w:w="2200"/>
            <w:shd w:fill="F7FAFF"/>
            <w:tcMar>
              <w:top w:w="90" w:type="dxa"/>
              <w:start w:w="120" w:type="dxa"/>
              <w:bottom w:w="90" w:type="dxa"/>
              <w:end w:w="120" w:type="dxa"/>
            </w:tcMar>
            <w:vAlign w:val="center"/>
          </w:tcPr>
          <w:p>
            <w:r>
              <w:rPr>
                <w:rFonts w:ascii="Calibri" w:hAnsi="Calibri"/>
                <w:color w:val="1E293B"/>
                <w:sz w:val="18"/>
              </w:rPr>
              <w:t>DATASET_READY</w:t>
            </w:r>
          </w:p>
        </w:tc>
        <w:tc>
          <w:tcPr>
            <w:tcW w:type="dxa" w:w="4300"/>
            <w:shd w:fill="F7FAFF"/>
            <w:tcMar>
              <w:top w:w="90" w:type="dxa"/>
              <w:start w:w="120" w:type="dxa"/>
              <w:bottom w:w="90" w:type="dxa"/>
              <w:end w:w="120" w:type="dxa"/>
            </w:tcMar>
            <w:vAlign w:val="center"/>
          </w:tcPr>
          <w:p>
            <w:r>
              <w:rPr>
                <w:rFonts w:ascii="Calibri" w:hAnsi="Calibri"/>
                <w:color w:val="1E293B"/>
                <w:sz w:val="18"/>
              </w:rPr>
              <w:t>Parquet files and checksums are complete.</w:t>
            </w:r>
          </w:p>
        </w:tc>
        <w:tc>
          <w:tcPr>
            <w:tcW w:type="dxa" w:w="2860"/>
            <w:shd w:fill="F7FAFF"/>
            <w:tcMar>
              <w:top w:w="90" w:type="dxa"/>
              <w:start w:w="120" w:type="dxa"/>
              <w:bottom w:w="90" w:type="dxa"/>
              <w:end w:w="120" w:type="dxa"/>
            </w:tcMar>
            <w:vAlign w:val="center"/>
          </w:tcPr>
          <w:p>
            <w:r>
              <w:rPr>
                <w:rFonts w:ascii="Calibri" w:hAnsi="Calibri"/>
                <w:color w:val="1E293B"/>
                <w:sz w:val="18"/>
              </w:rPr>
              <w:t>Start candidate training.</w:t>
            </w:r>
          </w:p>
        </w:tc>
      </w:tr>
      <w:tr>
        <w:tc>
          <w:tcPr>
            <w:tcW w:type="dxa" w:w="2200"/>
            <w:tcMar>
              <w:top w:w="90" w:type="dxa"/>
              <w:start w:w="120" w:type="dxa"/>
              <w:bottom w:w="90" w:type="dxa"/>
              <w:end w:w="120" w:type="dxa"/>
            </w:tcMar>
            <w:vAlign w:val="center"/>
          </w:tcPr>
          <w:p>
            <w:r>
              <w:rPr>
                <w:rFonts w:ascii="Calibri" w:hAnsi="Calibri"/>
                <w:color w:val="1E293B"/>
                <w:sz w:val="18"/>
              </w:rPr>
              <w:t>TRAINING</w:t>
            </w:r>
          </w:p>
        </w:tc>
        <w:tc>
          <w:tcPr>
            <w:tcW w:type="dxa" w:w="4300"/>
            <w:tcMar>
              <w:top w:w="90" w:type="dxa"/>
              <w:start w:w="120" w:type="dxa"/>
              <w:bottom w:w="90" w:type="dxa"/>
              <w:end w:w="120" w:type="dxa"/>
            </w:tcMar>
            <w:vAlign w:val="center"/>
          </w:tcPr>
          <w:p>
            <w:r>
              <w:rPr>
                <w:rFonts w:ascii="Calibri" w:hAnsi="Calibri"/>
                <w:color w:val="1E293B"/>
                <w:sz w:val="18"/>
              </w:rPr>
              <w:t>Python is learning from chronological record batches.</w:t>
            </w:r>
          </w:p>
        </w:tc>
        <w:tc>
          <w:tcPr>
            <w:tcW w:type="dxa" w:w="2860"/>
            <w:tcMar>
              <w:top w:w="90" w:type="dxa"/>
              <w:start w:w="120" w:type="dxa"/>
              <w:bottom w:w="90" w:type="dxa"/>
              <w:end w:w="120" w:type="dxa"/>
            </w:tcMar>
            <w:vAlign w:val="center"/>
          </w:tcPr>
          <w:p>
            <w:r>
              <w:rPr>
                <w:rFonts w:ascii="Calibri" w:hAnsi="Calibri"/>
                <w:color w:val="1E293B"/>
                <w:sz w:val="18"/>
              </w:rPr>
              <w:t>Wait and refresh.</w:t>
            </w:r>
          </w:p>
        </w:tc>
      </w:tr>
      <w:tr>
        <w:tc>
          <w:tcPr>
            <w:tcW w:type="dxa" w:w="2200"/>
            <w:shd w:fill="F7FAFF"/>
            <w:tcMar>
              <w:top w:w="90" w:type="dxa"/>
              <w:start w:w="120" w:type="dxa"/>
              <w:bottom w:w="90" w:type="dxa"/>
              <w:end w:w="120" w:type="dxa"/>
            </w:tcMar>
            <w:vAlign w:val="center"/>
          </w:tcPr>
          <w:p>
            <w:r>
              <w:rPr>
                <w:rFonts w:ascii="Calibri" w:hAnsi="Calibri"/>
                <w:color w:val="1E293B"/>
                <w:sz w:val="18"/>
              </w:rPr>
              <w:t>CANDIDATE_READY</w:t>
            </w:r>
          </w:p>
        </w:tc>
        <w:tc>
          <w:tcPr>
            <w:tcW w:type="dxa" w:w="4300"/>
            <w:shd w:fill="F7FAFF"/>
            <w:tcMar>
              <w:top w:w="90" w:type="dxa"/>
              <w:start w:w="120" w:type="dxa"/>
              <w:bottom w:w="90" w:type="dxa"/>
              <w:end w:w="120" w:type="dxa"/>
            </w:tcMar>
            <w:vAlign w:val="center"/>
          </w:tcPr>
          <w:p>
            <w:r>
              <w:rPr>
                <w:rFonts w:ascii="Calibri" w:hAnsi="Calibri"/>
                <w:color w:val="1E293B"/>
                <w:sz w:val="18"/>
              </w:rPr>
              <w:t>Immutable candidate artifact has been registered.</w:t>
            </w:r>
          </w:p>
        </w:tc>
        <w:tc>
          <w:tcPr>
            <w:tcW w:type="dxa" w:w="2860"/>
            <w:shd w:fill="F7FAFF"/>
            <w:tcMar>
              <w:top w:w="90" w:type="dxa"/>
              <w:start w:w="120" w:type="dxa"/>
              <w:bottom w:w="90" w:type="dxa"/>
              <w:end w:w="120" w:type="dxa"/>
            </w:tcMar>
            <w:vAlign w:val="center"/>
          </w:tcPr>
          <w:p>
            <w:r>
              <w:rPr>
                <w:rFonts w:ascii="Calibri" w:hAnsi="Calibri"/>
                <w:color w:val="1E293B"/>
                <w:sz w:val="18"/>
              </w:rPr>
              <w:t>Continue in Model Governance.</w:t>
            </w:r>
          </w:p>
        </w:tc>
      </w:tr>
      <w:tr>
        <w:tc>
          <w:tcPr>
            <w:tcW w:type="dxa" w:w="2200"/>
            <w:tcMar>
              <w:top w:w="90" w:type="dxa"/>
              <w:start w:w="120" w:type="dxa"/>
              <w:bottom w:w="90" w:type="dxa"/>
              <w:end w:w="120" w:type="dxa"/>
            </w:tcMar>
            <w:vAlign w:val="center"/>
          </w:tcPr>
          <w:p>
            <w:r>
              <w:rPr>
                <w:rFonts w:ascii="Calibri" w:hAnsi="Calibri"/>
                <w:color w:val="1E293B"/>
                <w:sz w:val="18"/>
              </w:rPr>
              <w:t>FAILED / TRAINING_FAILED</w:t>
            </w:r>
          </w:p>
        </w:tc>
        <w:tc>
          <w:tcPr>
            <w:tcW w:type="dxa" w:w="4300"/>
            <w:tcMar>
              <w:top w:w="90" w:type="dxa"/>
              <w:start w:w="120" w:type="dxa"/>
              <w:bottom w:w="90" w:type="dxa"/>
              <w:end w:w="120" w:type="dxa"/>
            </w:tcMar>
            <w:vAlign w:val="center"/>
          </w:tcPr>
          <w:p>
            <w:r>
              <w:rPr>
                <w:rFonts w:ascii="Calibri" w:hAnsi="Calibri"/>
                <w:color w:val="1E293B"/>
                <w:sz w:val="18"/>
              </w:rPr>
              <w:t>Export or training stopped safely.</w:t>
            </w:r>
          </w:p>
        </w:tc>
        <w:tc>
          <w:tcPr>
            <w:tcW w:type="dxa" w:w="2860"/>
            <w:tcMar>
              <w:top w:w="90" w:type="dxa"/>
              <w:start w:w="120" w:type="dxa"/>
              <w:bottom w:w="90" w:type="dxa"/>
              <w:end w:w="120" w:type="dxa"/>
            </w:tcMar>
            <w:vAlign w:val="center"/>
          </w:tcPr>
          <w:p>
            <w:r>
              <w:rPr>
                <w:rFonts w:ascii="Calibri" w:hAnsi="Calibri"/>
                <w:color w:val="1E293B"/>
                <w:sz w:val="18"/>
              </w:rPr>
              <w:t>Read the failure reason, correct the cause, and create/retry a controlled run.</w:t>
            </w:r>
          </w:p>
        </w:tc>
      </w:tr>
    </w:tbl>
    <w:p>
      <w:pPr>
        <w:spacing w:after="0"/>
      </w:pPr>
    </w:p>
    <w:p>
      <w:pPr>
        <w:pStyle w:val="Heading1"/>
      </w:pPr>
      <w:r>
        <w:t>7. Model Governance</w:t>
      </w:r>
    </w:p>
    <w:p>
      <w:r>
        <w:rPr>
          <w:rFonts w:ascii="Calibri" w:hAnsi="Calibri"/>
          <w:color w:val="1E293B"/>
        </w:rPr>
        <w:t>The Model Governance page prevents a newly trained model from affecting production automatically. It exposes registry status, active production pointers, silent-validation evidence, and an immutable deployment history.</w:t>
      </w:r>
    </w:p>
    <w:p>
      <w:pPr>
        <w:pStyle w:val="Heading2"/>
      </w:pPr>
      <w:r>
        <w:t>Validate a candidate</w:t>
      </w:r>
    </w:p>
    <w:p>
      <w:pPr>
        <w:pStyle w:val="ListNumber"/>
      </w:pPr>
      <w:r>
        <w:rPr>
          <w:rFonts w:ascii="Calibri" w:hAnsi="Calibri"/>
          <w:color w:val="1E293B"/>
        </w:rPr>
        <w:t>Allow the candidate to collect silent scores on real transactions. It must not affect votes or cases during this observation period.</w:t>
      </w:r>
    </w:p>
    <w:p>
      <w:pPr>
        <w:pStyle w:val="ListNumber"/>
      </w:pPr>
      <w:r>
        <w:rPr>
          <w:rFonts w:ascii="Calibri" w:hAnsi="Calibri"/>
          <w:color w:val="1E293B"/>
        </w:rPr>
        <w:t>Open Model Governance and select the candidate version.</w:t>
      </w:r>
    </w:p>
    <w:p>
      <w:pPr>
        <w:pStyle w:val="ListNumber"/>
      </w:pPr>
      <w:r>
        <w:rPr>
          <w:rFonts w:ascii="Calibri" w:hAnsi="Calibri"/>
          <w:color w:val="1E293B"/>
        </w:rPr>
        <w:t>Review the observation sample, anomaly rate, production alert rate, agreement, Jaccard overlap, score percentiles, daily stability, and reviewed outcomes.</w:t>
      </w:r>
    </w:p>
    <w:p>
      <w:pPr>
        <w:pStyle w:val="ListNumber"/>
      </w:pPr>
      <w:r>
        <w:rPr>
          <w:rFonts w:ascii="Calibri" w:hAnsi="Calibri"/>
          <w:color w:val="1E293B"/>
        </w:rPr>
        <w:t>Choose Validate. A PASSED result changes the model to VALIDATED; it does not deploy it.</w:t>
      </w:r>
    </w:p>
    <w:p>
      <w:pPr>
        <w:pStyle w:val="ListNumber"/>
      </w:pPr>
      <w:r>
        <w:rPr>
          <w:rFonts w:ascii="Calibri" w:hAnsi="Calibri"/>
          <w:color w:val="1E293B"/>
        </w:rPr>
        <w:t>If the result is INSUFFICIENT_DATA, continue collecting observations. If FAILED, investigate the displayed gate failure.</w:t>
      </w:r>
    </w:p>
    <w:p>
      <w:pPr>
        <w:pStyle w:val="Heading2"/>
      </w:pPr>
      <w:r>
        <w:t>Promote a validated model</w:t>
      </w:r>
    </w:p>
    <w:p>
      <w:pPr>
        <w:pStyle w:val="ListNumber"/>
      </w:pPr>
      <w:r>
        <w:rPr>
          <w:rFonts w:ascii="Calibri" w:hAnsi="Calibri"/>
          <w:color w:val="1E293B"/>
        </w:rPr>
        <w:t>Select a model whose registry status is VALIDATED.</w:t>
      </w:r>
    </w:p>
    <w:p>
      <w:pPr>
        <w:pStyle w:val="ListNumber"/>
      </w:pPr>
      <w:r>
        <w:rPr>
          <w:rFonts w:ascii="Calibri" w:hAnsi="Calibri"/>
          <w:color w:val="1E293B"/>
        </w:rPr>
        <w:t>Enter an audit reason of at least ten characters describing the governance decision.</w:t>
      </w:r>
    </w:p>
    <w:p>
      <w:pPr>
        <w:pStyle w:val="ListNumber"/>
      </w:pPr>
      <w:r>
        <w:rPr>
          <w:rFonts w:ascii="Calibri" w:hAnsi="Calibri"/>
          <w:color w:val="1E293B"/>
        </w:rPr>
        <w:t>Choose Promote.</w:t>
      </w:r>
    </w:p>
    <w:p>
      <w:pPr>
        <w:pStyle w:val="ListNumber"/>
      </w:pPr>
      <w:r>
        <w:rPr>
          <w:rFonts w:ascii="Calibri" w:hAnsi="Calibri"/>
          <w:color w:val="1E293B"/>
        </w:rPr>
        <w:t>Verify that the active pointer now identifies the promoted version and the audit timeline contains the promotion event.</w:t>
      </w:r>
    </w:p>
    <w:p>
      <w:pPr>
        <w:pStyle w:val="Heading2"/>
      </w:pPr>
      <w:r>
        <w:t>Roll back a champion</w:t>
      </w:r>
    </w:p>
    <w:p>
      <w:pPr>
        <w:pStyle w:val="ListNumber"/>
      </w:pPr>
      <w:r>
        <w:rPr>
          <w:rFonts w:ascii="Calibri" w:hAnsi="Calibri"/>
          <w:color w:val="1E293B"/>
        </w:rPr>
        <w:t>Select the active CHAMPION and confirm that a previous compatible model is available.</w:t>
      </w:r>
    </w:p>
    <w:p>
      <w:pPr>
        <w:pStyle w:val="ListNumber"/>
      </w:pPr>
      <w:r>
        <w:rPr>
          <w:rFonts w:ascii="Calibri" w:hAnsi="Calibri"/>
          <w:color w:val="1E293B"/>
        </w:rPr>
        <w:t>Enter a clear operational reason, such as abnormal alert volume or post-deployment drift.</w:t>
      </w:r>
    </w:p>
    <w:p>
      <w:pPr>
        <w:pStyle w:val="ListNumber"/>
      </w:pPr>
      <w:r>
        <w:rPr>
          <w:rFonts w:ascii="Calibri" w:hAnsi="Calibri"/>
          <w:color w:val="1E293B"/>
        </w:rPr>
        <w:t>Choose Roll back.</w:t>
      </w:r>
    </w:p>
    <w:p>
      <w:pPr>
        <w:pStyle w:val="ListNumber"/>
      </w:pPr>
      <w:r>
        <w:rPr>
          <w:rFonts w:ascii="Calibri" w:hAnsi="Calibri"/>
          <w:color w:val="1E293B"/>
        </w:rPr>
        <w:t>Verify that the previous model is restored atomically and the rollback appears in deployment history.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Governance guarantee: </w:t>
            </w:r>
            <w:r>
              <w:rPr>
                <w:rFonts w:ascii="Calibri" w:hAnsi="Calibri"/>
                <w:color w:val="1E293B"/>
              </w:rPr>
              <w:t>Validation, promotion, and rollback are separate actions. Artifact checksums are reverified before deployment, and every production change is authenticated, atomic, reasoned, auditable, and reversible while a previous champion is available.</w:t>
            </w:r>
          </w:p>
        </w:tc>
      </w:tr>
    </w:tbl>
    <w:p>
      <w:pPr>
        <w:spacing w:after="0"/>
      </w:pPr>
    </w:p>
    <w:p>
      <w:pPr>
        <w:pStyle w:val="Heading2"/>
      </w:pPr>
      <w:r>
        <w:t>Validate and activate the layered architecture</w:t>
      </w:r>
    </w:p>
    <w:p>
      <w:pPr>
        <w:pStyle w:val="ListNumber"/>
      </w:pPr>
      <w:r>
        <w:rPr>
          <w:rFonts w:ascii="Calibri" w:hAnsi="Calibri"/>
          <w:color w:val="1E293B"/>
        </w:rPr>
        <w:t>Select the customer peer group in Layered architecture rollout and run shadow validation.</w:t>
      </w:r>
    </w:p>
    <w:p>
      <w:pPr>
        <w:pStyle w:val="ListNumber"/>
      </w:pPr>
      <w:r>
        <w:rPr>
          <w:rFonts w:ascii="Calibri" w:hAnsi="Calibri"/>
          <w:color w:val="1E293B"/>
        </w:rPr>
        <w:t>Review alert volume, agreement, overlap, daily stability, synthetic recall, reviewed outcomes, latency, score availability, and the exact HST and Online OCSVM versions.</w:t>
      </w:r>
    </w:p>
    <w:p>
      <w:pPr>
        <w:pStyle w:val="ListNumber"/>
      </w:pPr>
      <w:r>
        <w:rPr>
          <w:rFonts w:ascii="Calibri" w:hAnsi="Calibri"/>
          <w:color w:val="1E293B"/>
        </w:rPr>
        <w:t>Confirm the report is PASSED and recent enough for the configured deployment-age limit.</w:t>
      </w:r>
    </w:p>
    <w:p>
      <w:pPr>
        <w:pStyle w:val="ListNumber"/>
      </w:pPr>
      <w:r>
        <w:rPr>
          <w:rFonts w:ascii="Calibri" w:hAnsi="Calibri"/>
          <w:color w:val="1E293B"/>
        </w:rPr>
        <w:t>Enter a small canary percentage and an audit reason, then activate the layered canary.</w:t>
      </w:r>
    </w:p>
    <w:p>
      <w:pPr>
        <w:pStyle w:val="ListNumber"/>
      </w:pPr>
      <w:r>
        <w:rPr>
          <w:rFonts w:ascii="Calibri" w:hAnsi="Calibri"/>
          <w:color w:val="1E293B"/>
        </w:rPr>
        <w:t>Verify that the pointer locks the exact risk policy, HST, Online OCSVM, and validation versions.</w:t>
      </w:r>
    </w:p>
    <w:p>
      <w:pPr>
        <w:pStyle w:val="ListNumber"/>
      </w:pPr>
      <w:r>
        <w:rPr>
          <w:rFonts w:ascii="Calibri" w:hAnsi="Calibri"/>
          <w:color w:val="1E293B"/>
        </w:rPr>
        <w:t>Expand exposure only after operational review. Account routing remains stable because the canary uses deterministic account hashing.</w:t>
      </w:r>
    </w:p>
    <w:p>
      <w:pPr>
        <w:pStyle w:val="ListNumber"/>
      </w:pPr>
      <w:r>
        <w:rPr>
          <w:rFonts w:ascii="Calibri" w:hAnsi="Calibri"/>
          <w:color w:val="1E293B"/>
        </w:rPr>
        <w:t>Choose Rollback to Isolation Forest if volume, latency, availability, or investigation outcomes become unacceptable.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Production decision method: </w:t>
            </w:r>
            <w:r>
              <w:rPr>
                <w:rFonts w:ascii="Calibri" w:hAnsi="Calibri"/>
                <w:color w:val="1E293B"/>
              </w:rPr>
              <w:t>Layered production uses normalized component scores, configurable versioned weights, confidence handling, and hard-rule overrides rather than model vote counting.</w:t>
            </w:r>
          </w:p>
        </w:tc>
      </w:tr>
    </w:tbl>
    <w:p>
      <w:pPr>
        <w:spacing w:after="0"/>
      </w:pPr>
    </w:p>
    <w:p>
      <w:pPr>
        <w:pStyle w:val="Heading1"/>
      </w:pPr>
      <w:r>
        <w:t>8. Configuration Pages</w:t>
      </w:r>
    </w:p>
    <w:p>
      <w:pPr>
        <w:pStyle w:val="Heading2"/>
      </w:pPr>
      <w:r>
        <w:t>Model Tuning</w:t>
      </w:r>
    </w:p>
    <w:p>
      <w:r>
        <w:rPr>
          <w:rFonts w:ascii="Calibri" w:hAnsi="Calibri"/>
          <w:color w:val="1E293B"/>
        </w:rPr>
        <w:t>Use Model Tuning to edit configured optimization controls and model-specific search ranges. Reload saved values before changing them, modify only settings you understand, and save. Parameter search may use a capped recent sample while final fitting uses the complete selected partition.</w:t>
      </w:r>
    </w:p>
    <w:p>
      <w:pPr>
        <w:pStyle w:val="ListBullet"/>
      </w:pPr>
      <w:r>
        <w:rPr>
          <w:rFonts w:ascii="Calibri" w:hAnsi="Calibri"/>
          <w:color w:val="1E293B"/>
        </w:rPr>
        <w:t>Change one related group at a time and record why it changed.</w:t>
      </w:r>
    </w:p>
    <w:p>
      <w:pPr>
        <w:pStyle w:val="ListBullet"/>
      </w:pPr>
      <w:r>
        <w:rPr>
          <w:rFonts w:ascii="Calibri" w:hAnsi="Calibri"/>
          <w:color w:val="1E293B"/>
        </w:rPr>
        <w:t>Use the comparison page to observe whether tuning improves quality without harming stability or anomaly-rate control.</w:t>
      </w:r>
    </w:p>
    <w:p>
      <w:pPr>
        <w:pStyle w:val="ListBullet"/>
      </w:pPr>
      <w:r>
        <w:rPr>
          <w:rFonts w:ascii="Calibri" w:hAnsi="Calibri"/>
          <w:color w:val="1E293B"/>
        </w:rPr>
        <w:t>Do not use large kernel-model searches on millions of rows.</w:t>
      </w:r>
    </w:p>
    <w:p>
      <w:pPr>
        <w:pStyle w:val="Heading2"/>
      </w:pPr>
      <w:r>
        <w:t>Anomaly Configuration</w:t>
      </w:r>
    </w:p>
    <w:p>
      <w:r>
        <w:rPr>
          <w:rFonts w:ascii="Calibri" w:hAnsi="Calibri"/>
          <w:color w:val="1E293B"/>
        </w:rPr>
        <w:t>Anomaly Configuration controls the compatibility decision path used while segments are still unpromoted. An explicit layered rollback pointer forces Isolation Forest with zero layered traffic. Do not interpret this page as the layered weighted-risk policy editor.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Current production boundary: </w:t>
            </w:r>
            <w:r>
              <w:rPr>
                <w:rFonts w:ascii="Calibri" w:hAnsi="Calibri"/>
                <w:color w:val="1E293B"/>
              </w:rPr>
              <w:t>LOF, kernel One-Class SVM, Elliptic Envelope, and PCA Reconstruction remain available for offline research reports but cannot influence production alerts or cases.</w:t>
            </w:r>
          </w:p>
        </w:tc>
      </w:tr>
    </w:tbl>
    <w:p>
      <w:pPr>
        <w:spacing w:after="0"/>
      </w:pPr>
    </w:p>
    <w:p>
      <w:pPr>
        <w:pStyle w:val="Heading2"/>
      </w:pPr>
      <w:r>
        <w:t>Cold Start</w:t>
      </w:r>
    </w:p>
    <w:p>
      <w:r>
        <w:rPr>
          <w:rFonts w:ascii="Calibri" w:hAnsi="Calibri"/>
          <w:color w:val="1E293B"/>
        </w:rPr>
        <w:t>Cold-start controls define behavior when an account has insufficient trustworthy history. Boolean values use dropdowns. Review the minimum-history threshold and fallback behavior, then save. Cold start prevents unstable profile-derived decisions from being treated like mature-account evidence.</w:t>
      </w:r>
    </w:p>
    <w:p>
      <w:pPr>
        <w:pStyle w:val="Heading1"/>
      </w:pPr>
      <w:r>
        <w:t>9. Case Management</w:t>
      </w:r>
    </w:p>
    <w:p>
      <w:pPr>
        <w:pStyle w:val="Heading2"/>
      </w:pPr>
      <w:r>
        <w:t>Automatic case creation</w:t>
      </w:r>
    </w:p>
    <w:p>
      <w:r>
        <w:rPr>
          <w:rFonts w:ascii="Calibri" w:hAnsi="Calibri"/>
          <w:color w:val="1E293B"/>
        </w:rPr>
        <w:t>A case is created only when the active production decision meets the configured suspicious threshold. The case preserves the transaction, account, priority, source alert, and latest model prediction evidence.</w:t>
      </w:r>
    </w:p>
    <w:p>
      <w:pPr>
        <w:pStyle w:val="Heading2"/>
      </w:pPr>
      <w:r>
        <w:t>Review a generated case</w:t>
      </w:r>
    </w:p>
    <w:p>
      <w:pPr>
        <w:pStyle w:val="ListNumber"/>
      </w:pPr>
      <w:r>
        <w:rPr>
          <w:rFonts w:ascii="Calibri" w:hAnsi="Calibri"/>
          <w:color w:val="1E293B"/>
        </w:rPr>
        <w:t>Open Case Management and filter the queue if needed.</w:t>
      </w:r>
    </w:p>
    <w:p>
      <w:pPr>
        <w:pStyle w:val="ListNumber"/>
      </w:pPr>
      <w:r>
        <w:rPr>
          <w:rFonts w:ascii="Calibri" w:hAnsi="Calibri"/>
          <w:color w:val="1E293B"/>
        </w:rPr>
        <w:t>Select a case to load its details.</w:t>
      </w:r>
    </w:p>
    <w:p>
      <w:pPr>
        <w:pStyle w:val="ListNumber"/>
      </w:pPr>
      <w:r>
        <w:rPr>
          <w:rFonts w:ascii="Calibri" w:hAnsi="Calibri"/>
          <w:color w:val="1E293B"/>
        </w:rPr>
        <w:t>Review transaction ID, account, priority, assignment, origin, and status.</w:t>
      </w:r>
    </w:p>
    <w:p>
      <w:pPr>
        <w:pStyle w:val="ListNumber"/>
      </w:pPr>
      <w:r>
        <w:rPr>
          <w:rFonts w:ascii="Calibri" w:hAnsi="Calibri"/>
          <w:color w:val="1E293B"/>
        </w:rPr>
        <w:t>Inspect Decision evidence: risk level, final risk score, policy/model versions, component scores, legacy anomaly votes where applicable, reason codes, and learning-control decision.</w:t>
      </w:r>
    </w:p>
    <w:p>
      <w:pPr>
        <w:pStyle w:val="ListNumber"/>
      </w:pPr>
      <w:r>
        <w:rPr>
          <w:rFonts w:ascii="Calibri" w:hAnsi="Calibri"/>
          <w:color w:val="1E293B"/>
        </w:rPr>
        <w:t>Add investigation notes with supporting context.</w:t>
      </w:r>
    </w:p>
    <w:p>
      <w:pPr>
        <w:pStyle w:val="ListNumber"/>
      </w:pPr>
      <w:r>
        <w:rPr>
          <w:rFonts w:ascii="Calibri" w:hAnsi="Calibri"/>
          <w:color w:val="1E293B"/>
        </w:rPr>
        <w:t>Choose Generate STR XML if activity remains suspicious, or Mark False Positive if the alert is explainable.</w:t>
      </w:r>
    </w:p>
    <w:tbl>
      <w:tblPr>
        <w:tblStyle w:val="TableGrid"/>
        <w:tblW w:type="dxa" w:w="9360"/>
        <w:jc w:val="left"/>
        <w:tblLayout w:type="fixed"/>
        <w:tblLook w:firstColumn="1" w:firstRow="1" w:lastColumn="0" w:lastRow="0" w:noHBand="0" w:noVBand="1" w:val="04A0"/>
        <w:tblInd w:w="120" w:type="dxa"/>
      </w:tblPr>
      <w:tblGrid>
        <w:gridCol w:w="2100"/>
        <w:gridCol w:w="4660"/>
        <w:gridCol w:w="2600"/>
      </w:tblGrid>
      <w:tr>
        <w:trPr>
          <w:tblHeader w:val="true"/>
        </w:trPr>
        <w:tc>
          <w:tcPr>
            <w:tcW w:type="dxa" w:w="2100"/>
            <w:shd w:fill="0F2747"/>
            <w:tcMar>
              <w:top w:w="90" w:type="dxa"/>
              <w:start w:w="120" w:type="dxa"/>
              <w:bottom w:w="90" w:type="dxa"/>
              <w:end w:w="120" w:type="dxa"/>
            </w:tcMar>
            <w:vAlign w:val="center"/>
          </w:tcPr>
          <w:p>
            <w:r>
              <w:rPr>
                <w:rFonts w:ascii="Calibri" w:hAnsi="Calibri"/>
                <w:b/>
                <w:color w:val="FFFFFF"/>
                <w:sz w:val="18"/>
              </w:rPr>
              <w:t>Action</w:t>
            </w:r>
          </w:p>
        </w:tc>
        <w:tc>
          <w:tcPr>
            <w:tcW w:type="dxa" w:w="4660"/>
            <w:shd w:fill="0F2747"/>
            <w:tcMar>
              <w:top w:w="90" w:type="dxa"/>
              <w:start w:w="120" w:type="dxa"/>
              <w:bottom w:w="90" w:type="dxa"/>
              <w:end w:w="120" w:type="dxa"/>
            </w:tcMar>
            <w:vAlign w:val="center"/>
          </w:tcPr>
          <w:p>
            <w:r>
              <w:rPr>
                <w:rFonts w:ascii="Calibri" w:hAnsi="Calibri"/>
                <w:b/>
                <w:color w:val="FFFFFF"/>
                <w:sz w:val="18"/>
              </w:rPr>
              <w:t>System result</w:t>
            </w:r>
          </w:p>
        </w:tc>
        <w:tc>
          <w:tcPr>
            <w:tcW w:type="dxa" w:w="2600"/>
            <w:shd w:fill="0F2747"/>
            <w:tcMar>
              <w:top w:w="90" w:type="dxa"/>
              <w:start w:w="120" w:type="dxa"/>
              <w:bottom w:w="90" w:type="dxa"/>
              <w:end w:w="120" w:type="dxa"/>
            </w:tcMar>
            <w:vAlign w:val="center"/>
          </w:tcPr>
          <w:p>
            <w:r>
              <w:rPr>
                <w:rFonts w:ascii="Calibri" w:hAnsi="Calibri"/>
                <w:b/>
                <w:color w:val="FFFFFF"/>
                <w:sz w:val="18"/>
              </w:rPr>
              <w:t>Restriction</w:t>
            </w:r>
          </w:p>
        </w:tc>
      </w:tr>
      <w:tr>
        <w:tc>
          <w:tcPr>
            <w:tcW w:type="dxa" w:w="2100"/>
            <w:shd w:fill="F7FAFF"/>
            <w:tcMar>
              <w:top w:w="90" w:type="dxa"/>
              <w:start w:w="120" w:type="dxa"/>
              <w:bottom w:w="90" w:type="dxa"/>
              <w:end w:w="120" w:type="dxa"/>
            </w:tcMar>
            <w:vAlign w:val="center"/>
          </w:tcPr>
          <w:p>
            <w:r>
              <w:rPr>
                <w:rFonts w:ascii="Calibri" w:hAnsi="Calibri"/>
                <w:color w:val="1E293B"/>
                <w:sz w:val="18"/>
              </w:rPr>
              <w:t>Generate STR XML</w:t>
            </w:r>
          </w:p>
        </w:tc>
        <w:tc>
          <w:tcPr>
            <w:tcW w:type="dxa" w:w="4660"/>
            <w:shd w:fill="F7FAFF"/>
            <w:tcMar>
              <w:top w:w="90" w:type="dxa"/>
              <w:start w:w="120" w:type="dxa"/>
              <w:bottom w:w="90" w:type="dxa"/>
              <w:end w:w="120" w:type="dxa"/>
            </w:tcMar>
            <w:vAlign w:val="center"/>
          </w:tcPr>
          <w:p>
            <w:r>
              <w:rPr>
                <w:rFonts w:ascii="Calibri" w:hAnsi="Calibri"/>
                <w:color w:val="1E293B"/>
                <w:sz w:val="18"/>
              </w:rPr>
              <w:t>Downloads a draft XML, updates case status to STR_GENERATED, and records a system note.</w:t>
            </w:r>
          </w:p>
        </w:tc>
        <w:tc>
          <w:tcPr>
            <w:tcW w:type="dxa" w:w="2600"/>
            <w:shd w:fill="F7FAFF"/>
            <w:tcMar>
              <w:top w:w="90" w:type="dxa"/>
              <w:start w:w="120" w:type="dxa"/>
              <w:bottom w:w="90" w:type="dxa"/>
              <w:end w:w="120" w:type="dxa"/>
            </w:tcMar>
            <w:vAlign w:val="center"/>
          </w:tcPr>
          <w:p>
            <w:r>
              <w:rPr>
                <w:rFonts w:ascii="Calibri" w:hAnsi="Calibri"/>
                <w:color w:val="1E293B"/>
                <w:sz w:val="18"/>
              </w:rPr>
              <w:t>A false-positive case cannot generate an STR.</w:t>
            </w:r>
          </w:p>
        </w:tc>
      </w:tr>
      <w:tr>
        <w:tc>
          <w:tcPr>
            <w:tcW w:type="dxa" w:w="2100"/>
            <w:tcMar>
              <w:top w:w="90" w:type="dxa"/>
              <w:start w:w="120" w:type="dxa"/>
              <w:bottom w:w="90" w:type="dxa"/>
              <w:end w:w="120" w:type="dxa"/>
            </w:tcMar>
            <w:vAlign w:val="center"/>
          </w:tcPr>
          <w:p>
            <w:r>
              <w:rPr>
                <w:rFonts w:ascii="Calibri" w:hAnsi="Calibri"/>
                <w:color w:val="1E293B"/>
                <w:sz w:val="18"/>
              </w:rPr>
              <w:t>Mark False Positive</w:t>
            </w:r>
          </w:p>
        </w:tc>
        <w:tc>
          <w:tcPr>
            <w:tcW w:type="dxa" w:w="4660"/>
            <w:tcMar>
              <w:top w:w="90" w:type="dxa"/>
              <w:start w:w="120" w:type="dxa"/>
              <w:bottom w:w="90" w:type="dxa"/>
              <w:end w:w="120" w:type="dxa"/>
            </w:tcMar>
            <w:vAlign w:val="center"/>
          </w:tcPr>
          <w:p>
            <w:r>
              <w:rPr>
                <w:rFonts w:ascii="Calibri" w:hAnsi="Calibri"/>
                <w:color w:val="1E293B"/>
                <w:sz w:val="18"/>
              </w:rPr>
              <w:t>Updates the case and related alert outcome and records a system note.</w:t>
            </w:r>
          </w:p>
        </w:tc>
        <w:tc>
          <w:tcPr>
            <w:tcW w:type="dxa" w:w="2600"/>
            <w:tcMar>
              <w:top w:w="90" w:type="dxa"/>
              <w:start w:w="120" w:type="dxa"/>
              <w:bottom w:w="90" w:type="dxa"/>
              <w:end w:w="120" w:type="dxa"/>
            </w:tcMar>
            <w:vAlign w:val="center"/>
          </w:tcPr>
          <w:p>
            <w:r>
              <w:rPr>
                <w:rFonts w:ascii="Calibri" w:hAnsi="Calibri"/>
                <w:color w:val="1E293B"/>
                <w:sz w:val="18"/>
              </w:rPr>
              <w:t>A case with generated STR cannot be marked false positive.</w:t>
            </w:r>
          </w:p>
        </w:tc>
      </w:tr>
      <w:tr>
        <w:tc>
          <w:tcPr>
            <w:tcW w:type="dxa" w:w="2100"/>
            <w:shd w:fill="F7FAFF"/>
            <w:tcMar>
              <w:top w:w="90" w:type="dxa"/>
              <w:start w:w="120" w:type="dxa"/>
              <w:bottom w:w="90" w:type="dxa"/>
              <w:end w:w="120" w:type="dxa"/>
            </w:tcMar>
            <w:vAlign w:val="center"/>
          </w:tcPr>
          <w:p>
            <w:r>
              <w:rPr>
                <w:rFonts w:ascii="Calibri" w:hAnsi="Calibri"/>
                <w:color w:val="1E293B"/>
                <w:sz w:val="18"/>
              </w:rPr>
              <w:t>Add Note</w:t>
            </w:r>
          </w:p>
        </w:tc>
        <w:tc>
          <w:tcPr>
            <w:tcW w:type="dxa" w:w="4660"/>
            <w:shd w:fill="F7FAFF"/>
            <w:tcMar>
              <w:top w:w="90" w:type="dxa"/>
              <w:start w:w="120" w:type="dxa"/>
              <w:bottom w:w="90" w:type="dxa"/>
              <w:end w:w="120" w:type="dxa"/>
            </w:tcMar>
            <w:vAlign w:val="center"/>
          </w:tcPr>
          <w:p>
            <w:r>
              <w:rPr>
                <w:rFonts w:ascii="Calibri" w:hAnsi="Calibri"/>
                <w:color w:val="1E293B"/>
                <w:sz w:val="18"/>
              </w:rPr>
              <w:t>Appends an attributed, timestamped analyst note.</w:t>
            </w:r>
          </w:p>
        </w:tc>
        <w:tc>
          <w:tcPr>
            <w:tcW w:type="dxa" w:w="2600"/>
            <w:shd w:fill="F7FAFF"/>
            <w:tcMar>
              <w:top w:w="90" w:type="dxa"/>
              <w:start w:w="120" w:type="dxa"/>
              <w:bottom w:w="90" w:type="dxa"/>
              <w:end w:w="120" w:type="dxa"/>
            </w:tcMar>
            <w:vAlign w:val="center"/>
          </w:tcPr>
          <w:p>
            <w:r>
              <w:rPr>
                <w:rFonts w:ascii="Calibri" w:hAnsi="Calibri"/>
                <w:color w:val="1E293B"/>
                <w:sz w:val="18"/>
              </w:rPr>
              <w:t>Use factual language; notes form part of the audit trail.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STR boundary: </w:t>
            </w:r>
            <w:r>
              <w:rPr>
                <w:rFonts w:ascii="Calibri" w:hAnsi="Calibri"/>
                <w:color w:val="1E293B"/>
              </w:rPr>
              <w:t>The generated XML is a draft technical artifact. Institutional approval, regulatory validation, and submission remain outside this prototype unless separately integrated.</w:t>
            </w:r>
          </w:p>
        </w:tc>
      </w:tr>
    </w:tbl>
    <w:p>
      <w:pPr>
        <w:spacing w:after="0"/>
      </w:pPr>
    </w:p>
    <w:p>
      <w:pPr>
        <w:pStyle w:val="Heading2"/>
      </w:pPr>
      <w:r>
        <w:t>Create a manual case</w:t>
      </w:r>
    </w:p>
    <w:p>
      <w:pPr>
        <w:pStyle w:val="ListNumber"/>
      </w:pPr>
      <w:r>
        <w:rPr>
          <w:rFonts w:ascii="Calibri" w:hAnsi="Calibri"/>
          <w:color w:val="1E293B"/>
        </w:rPr>
        <w:t>Open Manual Case.</w:t>
      </w:r>
    </w:p>
    <w:p>
      <w:pPr>
        <w:pStyle w:val="ListNumber"/>
      </w:pPr>
      <w:r>
        <w:rPr>
          <w:rFonts w:ascii="Calibri" w:hAnsi="Calibri"/>
          <w:color w:val="1E293B"/>
        </w:rPr>
        <w:t>Search by transaction ID, account ID, or available search text.</w:t>
      </w:r>
    </w:p>
    <w:p>
      <w:pPr>
        <w:pStyle w:val="ListNumber"/>
      </w:pPr>
      <w:r>
        <w:rPr>
          <w:rFonts w:ascii="Calibri" w:hAnsi="Calibri"/>
          <w:color w:val="1E293B"/>
        </w:rPr>
        <w:t>Select the relevant transaction and review its details.</w:t>
      </w:r>
    </w:p>
    <w:p>
      <w:pPr>
        <w:pStyle w:val="ListNumber"/>
      </w:pPr>
      <w:r>
        <w:rPr>
          <w:rFonts w:ascii="Calibri" w:hAnsi="Calibri"/>
          <w:color w:val="1E293B"/>
        </w:rPr>
        <w:t>Enter a clear case title, priority, and optional assignee.</w:t>
      </w:r>
    </w:p>
    <w:p>
      <w:pPr>
        <w:pStyle w:val="ListNumber"/>
      </w:pPr>
      <w:r>
        <w:rPr>
          <w:rFonts w:ascii="Calibri" w:hAnsi="Calibri"/>
          <w:color w:val="1E293B"/>
        </w:rPr>
        <w:t>Choose Create Case. If a recent case already exists for the transaction, the system returns the existing case instead of duplicating it.</w:t>
      </w:r>
    </w:p>
    <w:p>
      <w:pPr>
        <w:pStyle w:val="Heading1"/>
      </w:pPr>
      <w:r>
        <w:t>10. Daily Operating Procedure</w:t>
      </w:r>
    </w:p>
    <w:p>
      <w:pPr>
        <w:pStyle w:val="Heading2"/>
      </w:pPr>
      <w:r>
        <w:t>During business hours</w:t>
      </w:r>
    </w:p>
    <w:p>
      <w:pPr>
        <w:pStyle w:val="ListBullet"/>
      </w:pPr>
      <w:r>
        <w:rPr>
          <w:rFonts w:ascii="Calibri" w:hAnsi="Calibri"/>
          <w:color w:val="1E293B"/>
        </w:rPr>
        <w:t>Monitor transaction ingestion and application health.</w:t>
      </w:r>
    </w:p>
    <w:p>
      <w:pPr>
        <w:pStyle w:val="ListBullet"/>
      </w:pPr>
      <w:r>
        <w:rPr>
          <w:rFonts w:ascii="Calibri" w:hAnsi="Calibri"/>
          <w:color w:val="1E293B"/>
        </w:rPr>
        <w:t>Review generated cases and prioritize HIGH-risk evidence.</w:t>
      </w:r>
    </w:p>
    <w:p>
      <w:pPr>
        <w:pStyle w:val="ListBullet"/>
      </w:pPr>
      <w:r>
        <w:rPr>
          <w:rFonts w:ascii="Calibri" w:hAnsi="Calibri"/>
          <w:color w:val="1E293B"/>
        </w:rPr>
        <w:t>Record analyst notes and resolve false positives promptly so learning eligibility can be audited.</w:t>
      </w:r>
    </w:p>
    <w:p>
      <w:pPr>
        <w:pStyle w:val="ListBullet"/>
      </w:pPr>
      <w:r>
        <w:rPr>
          <w:rFonts w:ascii="Calibri" w:hAnsi="Calibri"/>
          <w:color w:val="1E293B"/>
        </w:rPr>
        <w:t>Escalate unavailable ML service, abnormal case volume, or persistent API errors.</w:t>
      </w:r>
    </w:p>
    <w:p>
      <w:pPr>
        <w:pStyle w:val="Heading2"/>
      </w:pPr>
      <w:r>
        <w:t>After business hours</w:t>
      </w:r>
    </w:p>
    <w:p>
      <w:pPr>
        <w:pStyle w:val="ListNumber"/>
      </w:pPr>
      <w:r>
        <w:rPr>
          <w:rFonts w:ascii="Calibri" w:hAnsi="Calibri"/>
          <w:color w:val="1E293B"/>
        </w:rPr>
        <w:t>Confirm ingestion for the day is complete.</w:t>
      </w:r>
    </w:p>
    <w:p>
      <w:pPr>
        <w:pStyle w:val="ListNumber"/>
      </w:pPr>
      <w:r>
        <w:rPr>
          <w:rFonts w:ascii="Calibri" w:hAnsi="Calibri"/>
          <w:color w:val="1E293B"/>
        </w:rPr>
        <w:t>Close the business date in Training Operations.</w:t>
      </w:r>
    </w:p>
    <w:p>
      <w:pPr>
        <w:pStyle w:val="ListNumber"/>
      </w:pPr>
      <w:r>
        <w:rPr>
          <w:rFonts w:ascii="Calibri" w:hAnsi="Calibri"/>
          <w:color w:val="1E293B"/>
        </w:rPr>
        <w:t>Create the approved DAILY_INCREMENTAL HST or Online OCSVM training run.</w:t>
      </w:r>
    </w:p>
    <w:p>
      <w:pPr>
        <w:pStyle w:val="ListNumber"/>
      </w:pPr>
      <w:r>
        <w:rPr>
          <w:rFonts w:ascii="Calibri" w:hAnsi="Calibri"/>
          <w:color w:val="1E293B"/>
        </w:rPr>
        <w:t>Generate the immutable dataset and wait for DATASET_READY.</w:t>
      </w:r>
    </w:p>
    <w:p>
      <w:pPr>
        <w:pStyle w:val="ListNumber"/>
      </w:pPr>
      <w:r>
        <w:rPr>
          <w:rFonts w:ascii="Calibri" w:hAnsi="Calibri"/>
          <w:color w:val="1E293B"/>
        </w:rPr>
        <w:t>Train the candidate and verify CANDIDATE_READY.</w:t>
      </w:r>
    </w:p>
    <w:p>
      <w:pPr>
        <w:pStyle w:val="ListNumber"/>
      </w:pPr>
      <w:r>
        <w:rPr>
          <w:rFonts w:ascii="Calibri" w:hAnsi="Calibri"/>
          <w:color w:val="1E293B"/>
        </w:rPr>
        <w:t>Do not promote immediately; allow a silent observation period and run governance validation.</w:t>
      </w:r>
    </w:p>
    <w:p>
      <w:pPr>
        <w:pStyle w:val="Heading2"/>
      </w:pPr>
      <w:r>
        <w:t>Periodic research review</w:t>
      </w:r>
    </w:p>
    <w:p>
      <w:pPr>
        <w:pStyle w:val="ListBullet"/>
      </w:pPr>
      <w:r>
        <w:rPr>
          <w:rFonts w:ascii="Calibri" w:hAnsi="Calibri"/>
          <w:color w:val="1E293B"/>
        </w:rPr>
        <w:t>Run Research Comparison after meaningful data growth, not after every transaction.</w:t>
      </w:r>
    </w:p>
    <w:p>
      <w:pPr>
        <w:pStyle w:val="ListBullet"/>
      </w:pPr>
      <w:r>
        <w:rPr>
          <w:rFonts w:ascii="Calibri" w:hAnsi="Calibri"/>
          <w:color w:val="1E293B"/>
        </w:rPr>
        <w:t>Compare 10%, 25%, 50%, and 100% learning curves using the same chronology.</w:t>
      </w:r>
    </w:p>
    <w:p>
      <w:pPr>
        <w:pStyle w:val="ListBullet"/>
      </w:pPr>
      <w:r>
        <w:rPr>
          <w:rFonts w:ascii="Calibri" w:hAnsi="Calibri"/>
          <w:color w:val="1E293B"/>
        </w:rPr>
        <w:t>Document quality, stability, anomaly rate, latency, artifact size, and reviewer outcomes.</w:t>
      </w:r>
    </w:p>
    <w:p>
      <w:pPr>
        <w:pStyle w:val="ListBullet"/>
      </w:pPr>
      <w:r>
        <w:rPr>
          <w:rFonts w:ascii="Calibri" w:hAnsi="Calibri"/>
          <w:color w:val="1E293B"/>
        </w:rPr>
        <w:t>Revisit model and threshold choices when drift, false-positive rate, or operational load changes.</w:t>
      </w:r>
    </w:p>
    <w:p>
      <w:pPr>
        <w:pStyle w:val="Heading1"/>
      </w:pPr>
      <w:r>
        <w:t>11. Troubleshooting</w:t>
      </w:r>
    </w:p>
    <w:tbl>
      <w:tblPr>
        <w:tblStyle w:val="TableGrid"/>
        <w:tblW w:type="dxa" w:w="9360"/>
        <w:jc w:val="left"/>
        <w:tblLayout w:type="fixed"/>
        <w:tblLook w:firstColumn="1" w:firstRow="1" w:lastColumn="0" w:lastRow="0" w:noHBand="0" w:noVBand="1" w:val="04A0"/>
        <w:tblInd w:w="120" w:type="dxa"/>
      </w:tblPr>
      <w:tblGrid>
        <w:gridCol w:w="2600"/>
        <w:gridCol w:w="3600"/>
        <w:gridCol w:w="31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Symptom</w:t>
            </w:r>
          </w:p>
        </w:tc>
        <w:tc>
          <w:tcPr>
            <w:tcW w:type="dxa" w:w="3600"/>
            <w:shd w:fill="0F2747"/>
            <w:tcMar>
              <w:top w:w="90" w:type="dxa"/>
              <w:start w:w="120" w:type="dxa"/>
              <w:bottom w:w="90" w:type="dxa"/>
              <w:end w:w="120" w:type="dxa"/>
            </w:tcMar>
            <w:vAlign w:val="center"/>
          </w:tcPr>
          <w:p>
            <w:r>
              <w:rPr>
                <w:rFonts w:ascii="Calibri" w:hAnsi="Calibri"/>
                <w:b/>
                <w:color w:val="FFFFFF"/>
                <w:sz w:val="18"/>
              </w:rPr>
              <w:t>Likely cause</w:t>
            </w:r>
          </w:p>
        </w:tc>
        <w:tc>
          <w:tcPr>
            <w:tcW w:type="dxa" w:w="3160"/>
            <w:shd w:fill="0F2747"/>
            <w:tcMar>
              <w:top w:w="90" w:type="dxa"/>
              <w:start w:w="120" w:type="dxa"/>
              <w:bottom w:w="90" w:type="dxa"/>
              <w:end w:w="120" w:type="dxa"/>
            </w:tcMar>
            <w:vAlign w:val="center"/>
          </w:tcPr>
          <w:p>
            <w:r>
              <w:rPr>
                <w:rFonts w:ascii="Calibri" w:hAnsi="Calibri"/>
                <w:b/>
                <w:color w:val="FFFFFF"/>
                <w:sz w:val="18"/>
              </w:rPr>
              <w:t>Recommended action</w:t>
            </w:r>
          </w:p>
        </w:tc>
      </w:tr>
      <w:tr>
        <w:tc>
          <w:tcPr>
            <w:tcW w:type="dxa" w:w="2600"/>
            <w:shd w:fill="F7FAFF"/>
            <w:tcMar>
              <w:top w:w="90" w:type="dxa"/>
              <w:start w:w="120" w:type="dxa"/>
              <w:bottom w:w="90" w:type="dxa"/>
              <w:end w:w="120" w:type="dxa"/>
            </w:tcMar>
            <w:vAlign w:val="center"/>
          </w:tcPr>
          <w:p>
            <w:r>
              <w:rPr>
                <w:rFonts w:ascii="Calibri" w:hAnsi="Calibri"/>
                <w:color w:val="1E293B"/>
                <w:sz w:val="18"/>
              </w:rPr>
              <w:t>Angular cannot reach the backend</w:t>
            </w:r>
          </w:p>
        </w:tc>
        <w:tc>
          <w:tcPr>
            <w:tcW w:type="dxa" w:w="3600"/>
            <w:shd w:fill="F7FAFF"/>
            <w:tcMar>
              <w:top w:w="90" w:type="dxa"/>
              <w:start w:w="120" w:type="dxa"/>
              <w:bottom w:w="90" w:type="dxa"/>
              <w:end w:w="120" w:type="dxa"/>
            </w:tcMar>
            <w:vAlign w:val="center"/>
          </w:tcPr>
          <w:p>
            <w:r>
              <w:rPr>
                <w:rFonts w:ascii="Calibri" w:hAnsi="Calibri"/>
                <w:color w:val="1E293B"/>
                <w:sz w:val="18"/>
              </w:rPr>
              <w:t>Spring is stopped, wrong port, expired token, or CORS mismatch.</w:t>
            </w:r>
          </w:p>
        </w:tc>
        <w:tc>
          <w:tcPr>
            <w:tcW w:type="dxa" w:w="3160"/>
            <w:shd w:fill="F7FAFF"/>
            <w:tcMar>
              <w:top w:w="90" w:type="dxa"/>
              <w:start w:w="120" w:type="dxa"/>
              <w:bottom w:w="90" w:type="dxa"/>
              <w:end w:w="120" w:type="dxa"/>
            </w:tcMar>
            <w:vAlign w:val="center"/>
          </w:tcPr>
          <w:p>
            <w:r>
              <w:rPr>
                <w:rFonts w:ascii="Calibri" w:hAnsi="Calibri"/>
                <w:color w:val="1E293B"/>
                <w:sz w:val="18"/>
              </w:rPr>
              <w:t>Check http://localhost:8080/health, sign in again, and verify allowed origins.</w:t>
            </w:r>
          </w:p>
        </w:tc>
      </w:tr>
      <w:tr>
        <w:tc>
          <w:tcPr>
            <w:tcW w:type="dxa" w:w="2600"/>
            <w:tcMar>
              <w:top w:w="90" w:type="dxa"/>
              <w:start w:w="120" w:type="dxa"/>
              <w:bottom w:w="90" w:type="dxa"/>
              <w:end w:w="120" w:type="dxa"/>
            </w:tcMar>
            <w:vAlign w:val="center"/>
          </w:tcPr>
          <w:p>
            <w:r>
              <w:rPr>
                <w:rFonts w:ascii="Calibri" w:hAnsi="Calibri"/>
                <w:color w:val="1E293B"/>
                <w:sz w:val="18"/>
              </w:rPr>
              <w:t>Training page reports too few rows</w:t>
            </w:r>
          </w:p>
        </w:tc>
        <w:tc>
          <w:tcPr>
            <w:tcW w:type="dxa" w:w="3600"/>
            <w:tcMar>
              <w:top w:w="90" w:type="dxa"/>
              <w:start w:w="120" w:type="dxa"/>
              <w:bottom w:w="90" w:type="dxa"/>
              <w:end w:w="120" w:type="dxa"/>
            </w:tcMar>
            <w:vAlign w:val="center"/>
          </w:tcPr>
          <w:p>
            <w:r>
              <w:rPr>
                <w:rFonts w:ascii="Calibri" w:hAnsi="Calibri"/>
                <w:color w:val="1E293B"/>
                <w:sz w:val="18"/>
              </w:rPr>
              <w:t>Database snapshot contains fewer than 200 eligible transactions.</w:t>
            </w:r>
          </w:p>
        </w:tc>
        <w:tc>
          <w:tcPr>
            <w:tcW w:type="dxa" w:w="3160"/>
            <w:tcMar>
              <w:top w:w="90" w:type="dxa"/>
              <w:start w:w="120" w:type="dxa"/>
              <w:bottom w:w="90" w:type="dxa"/>
              <w:end w:w="120" w:type="dxa"/>
            </w:tcMar>
            <w:vAlign w:val="center"/>
          </w:tcPr>
          <w:p>
            <w:r>
              <w:rPr>
                <w:rFonts w:ascii="Calibri" w:hAnsi="Calibri"/>
                <w:color w:val="1E293B"/>
                <w:sz w:val="18"/>
              </w:rPr>
              <w:t>Load more valid data and rerun later.</w:t>
            </w:r>
          </w:p>
        </w:tc>
      </w:tr>
      <w:tr>
        <w:tc>
          <w:tcPr>
            <w:tcW w:type="dxa" w:w="2600"/>
            <w:shd w:fill="F7FAFF"/>
            <w:tcMar>
              <w:top w:w="90" w:type="dxa"/>
              <w:start w:w="120" w:type="dxa"/>
              <w:bottom w:w="90" w:type="dxa"/>
              <w:end w:w="120" w:type="dxa"/>
            </w:tcMar>
            <w:vAlign w:val="center"/>
          </w:tcPr>
          <w:p>
            <w:r>
              <w:rPr>
                <w:rFonts w:ascii="Calibri" w:hAnsi="Calibri"/>
                <w:color w:val="1E293B"/>
                <w:sz w:val="18"/>
              </w:rPr>
              <w:t>Dataset export fails</w:t>
            </w:r>
          </w:p>
        </w:tc>
        <w:tc>
          <w:tcPr>
            <w:tcW w:type="dxa" w:w="3600"/>
            <w:shd w:fill="F7FAFF"/>
            <w:tcMar>
              <w:top w:w="90" w:type="dxa"/>
              <w:start w:w="120" w:type="dxa"/>
              <w:bottom w:w="90" w:type="dxa"/>
              <w:end w:w="120" w:type="dxa"/>
            </w:tcMar>
            <w:vAlign w:val="center"/>
          </w:tcPr>
          <w:p>
            <w:r>
              <w:rPr>
                <w:rFonts w:ascii="Calibri" w:hAnsi="Calibri"/>
                <w:color w:val="1E293B"/>
                <w:sz w:val="18"/>
              </w:rPr>
              <w:t>Business date not closed, no eligible feature rows, output path collision, or schema/config issue.</w:t>
            </w:r>
          </w:p>
        </w:tc>
        <w:tc>
          <w:tcPr>
            <w:tcW w:type="dxa" w:w="3160"/>
            <w:shd w:fill="F7FAFF"/>
            <w:tcMar>
              <w:top w:w="90" w:type="dxa"/>
              <w:start w:w="120" w:type="dxa"/>
              <w:bottom w:w="90" w:type="dxa"/>
              <w:end w:w="120" w:type="dxa"/>
            </w:tcMar>
            <w:vAlign w:val="center"/>
          </w:tcPr>
          <w:p>
            <w:r>
              <w:rPr>
                <w:rFonts w:ascii="Calibri" w:hAnsi="Calibri"/>
                <w:color w:val="1E293B"/>
                <w:sz w:val="18"/>
              </w:rPr>
              <w:t>Read the run failure reason; close all dates and verify export configuration.</w:t>
            </w:r>
          </w:p>
        </w:tc>
      </w:tr>
      <w:tr>
        <w:tc>
          <w:tcPr>
            <w:tcW w:type="dxa" w:w="2600"/>
            <w:tcMar>
              <w:top w:w="90" w:type="dxa"/>
              <w:start w:w="120" w:type="dxa"/>
              <w:bottom w:w="90" w:type="dxa"/>
              <w:end w:w="120" w:type="dxa"/>
            </w:tcMar>
            <w:vAlign w:val="center"/>
          </w:tcPr>
          <w:p>
            <w:r>
              <w:rPr>
                <w:rFonts w:ascii="Calibri" w:hAnsi="Calibri"/>
                <w:color w:val="1E293B"/>
                <w:sz w:val="18"/>
              </w:rPr>
              <w:t>Candidate training fails</w:t>
            </w:r>
          </w:p>
        </w:tc>
        <w:tc>
          <w:tcPr>
            <w:tcW w:type="dxa" w:w="3600"/>
            <w:tcMar>
              <w:top w:w="90" w:type="dxa"/>
              <w:start w:w="120" w:type="dxa"/>
              <w:bottom w:w="90" w:type="dxa"/>
              <w:end w:w="120" w:type="dxa"/>
            </w:tcMar>
            <w:vAlign w:val="center"/>
          </w:tcPr>
          <w:p>
            <w:r>
              <w:rPr>
                <w:rFonts w:ascii="Calibri" w:hAnsi="Calibri"/>
                <w:color w:val="1E293B"/>
                <w:sz w:val="18"/>
              </w:rPr>
              <w:t>Feature-schema mismatch, missing dependency, incompatible base version, or artifact error.</w:t>
            </w:r>
          </w:p>
        </w:tc>
        <w:tc>
          <w:tcPr>
            <w:tcW w:type="dxa" w:w="3160"/>
            <w:tcMar>
              <w:top w:w="90" w:type="dxa"/>
              <w:start w:w="120" w:type="dxa"/>
              <w:bottom w:w="90" w:type="dxa"/>
              <w:end w:w="120" w:type="dxa"/>
            </w:tcMar>
            <w:vAlign w:val="center"/>
          </w:tcPr>
          <w:p>
            <w:r>
              <w:rPr>
                <w:rFonts w:ascii="Calibri" w:hAnsi="Calibri"/>
                <w:color w:val="1E293B"/>
                <w:sz w:val="18"/>
              </w:rPr>
              <w:t>Check Spring and Python logs; correct the issue without replacing the current champion.</w:t>
            </w:r>
          </w:p>
        </w:tc>
      </w:tr>
      <w:tr>
        <w:tc>
          <w:tcPr>
            <w:tcW w:type="dxa" w:w="2600"/>
            <w:shd w:fill="F7FAFF"/>
            <w:tcMar>
              <w:top w:w="90" w:type="dxa"/>
              <w:start w:w="120" w:type="dxa"/>
              <w:bottom w:w="90" w:type="dxa"/>
              <w:end w:w="120" w:type="dxa"/>
            </w:tcMar>
            <w:vAlign w:val="center"/>
          </w:tcPr>
          <w:p>
            <w:r>
              <w:rPr>
                <w:rFonts w:ascii="Calibri" w:hAnsi="Calibri"/>
                <w:color w:val="1E293B"/>
                <w:sz w:val="18"/>
              </w:rPr>
              <w:t>Validate button disabled</w:t>
            </w:r>
          </w:p>
        </w:tc>
        <w:tc>
          <w:tcPr>
            <w:tcW w:type="dxa" w:w="3600"/>
            <w:shd w:fill="F7FAFF"/>
            <w:tcMar>
              <w:top w:w="90" w:type="dxa"/>
              <w:start w:w="120" w:type="dxa"/>
              <w:bottom w:w="90" w:type="dxa"/>
              <w:end w:w="120" w:type="dxa"/>
            </w:tcMar>
            <w:vAlign w:val="center"/>
          </w:tcPr>
          <w:p>
            <w:r>
              <w:rPr>
                <w:rFonts w:ascii="Calibri" w:hAnsi="Calibri"/>
                <w:color w:val="1E293B"/>
                <w:sz w:val="18"/>
              </w:rPr>
              <w:t>Wrong role or registry status is not CANDIDATE/VALIDATED.</w:t>
            </w:r>
          </w:p>
        </w:tc>
        <w:tc>
          <w:tcPr>
            <w:tcW w:type="dxa" w:w="3160"/>
            <w:shd w:fill="F7FAFF"/>
            <w:tcMar>
              <w:top w:w="90" w:type="dxa"/>
              <w:start w:w="120" w:type="dxa"/>
              <w:bottom w:w="90" w:type="dxa"/>
              <w:end w:w="120" w:type="dxa"/>
            </w:tcMar>
            <w:vAlign w:val="center"/>
          </w:tcPr>
          <w:p>
            <w:r>
              <w:rPr>
                <w:rFonts w:ascii="Calibri" w:hAnsi="Calibri"/>
                <w:color w:val="1E293B"/>
                <w:sz w:val="18"/>
              </w:rPr>
              <w:t>Use an admin account and select an eligible model.</w:t>
            </w:r>
          </w:p>
        </w:tc>
      </w:tr>
      <w:tr>
        <w:tc>
          <w:tcPr>
            <w:tcW w:type="dxa" w:w="2600"/>
            <w:tcMar>
              <w:top w:w="90" w:type="dxa"/>
              <w:start w:w="120" w:type="dxa"/>
              <w:bottom w:w="90" w:type="dxa"/>
              <w:end w:w="120" w:type="dxa"/>
            </w:tcMar>
            <w:vAlign w:val="center"/>
          </w:tcPr>
          <w:p>
            <w:r>
              <w:rPr>
                <w:rFonts w:ascii="Calibri" w:hAnsi="Calibri"/>
                <w:color w:val="1E293B"/>
                <w:sz w:val="18"/>
              </w:rPr>
              <w:t>Promote button disabled</w:t>
            </w:r>
          </w:p>
        </w:tc>
        <w:tc>
          <w:tcPr>
            <w:tcW w:type="dxa" w:w="3600"/>
            <w:tcMar>
              <w:top w:w="90" w:type="dxa"/>
              <w:start w:w="120" w:type="dxa"/>
              <w:bottom w:w="90" w:type="dxa"/>
              <w:end w:w="120" w:type="dxa"/>
            </w:tcMar>
            <w:vAlign w:val="center"/>
          </w:tcPr>
          <w:p>
            <w:r>
              <w:rPr>
                <w:rFonts w:ascii="Calibri" w:hAnsi="Calibri"/>
                <w:color w:val="1E293B"/>
                <w:sz w:val="18"/>
              </w:rPr>
              <w:t>Model has not passed validation or user is not admin.</w:t>
            </w:r>
          </w:p>
        </w:tc>
        <w:tc>
          <w:tcPr>
            <w:tcW w:type="dxa" w:w="3160"/>
            <w:tcMar>
              <w:top w:w="90" w:type="dxa"/>
              <w:start w:w="120" w:type="dxa"/>
              <w:bottom w:w="90" w:type="dxa"/>
              <w:end w:w="120" w:type="dxa"/>
            </w:tcMar>
            <w:vAlign w:val="center"/>
          </w:tcPr>
          <w:p>
            <w:r>
              <w:rPr>
                <w:rFonts w:ascii="Calibri" w:hAnsi="Calibri"/>
                <w:color w:val="1E293B"/>
                <w:sz w:val="18"/>
              </w:rPr>
              <w:t>Complete validation and verify role.</w:t>
            </w:r>
          </w:p>
        </w:tc>
      </w:tr>
      <w:tr>
        <w:tc>
          <w:tcPr>
            <w:tcW w:type="dxa" w:w="2600"/>
            <w:shd w:fill="F7FAFF"/>
            <w:tcMar>
              <w:top w:w="90" w:type="dxa"/>
              <w:start w:w="120" w:type="dxa"/>
              <w:bottom w:w="90" w:type="dxa"/>
              <w:end w:w="120" w:type="dxa"/>
            </w:tcMar>
            <w:vAlign w:val="center"/>
          </w:tcPr>
          <w:p>
            <w:r>
              <w:rPr>
                <w:rFonts w:ascii="Calibri" w:hAnsi="Calibri"/>
                <w:color w:val="1E293B"/>
                <w:sz w:val="18"/>
              </w:rPr>
              <w:t>Rollback disabled</w:t>
            </w:r>
          </w:p>
        </w:tc>
        <w:tc>
          <w:tcPr>
            <w:tcW w:type="dxa" w:w="3600"/>
            <w:shd w:fill="F7FAFF"/>
            <w:tcMar>
              <w:top w:w="90" w:type="dxa"/>
              <w:start w:w="120" w:type="dxa"/>
              <w:bottom w:w="90" w:type="dxa"/>
              <w:end w:w="120" w:type="dxa"/>
            </w:tcMar>
            <w:vAlign w:val="center"/>
          </w:tcPr>
          <w:p>
            <w:r>
              <w:rPr>
                <w:rFonts w:ascii="Calibri" w:hAnsi="Calibri"/>
                <w:color w:val="1E293B"/>
                <w:sz w:val="18"/>
              </w:rPr>
              <w:t>Selected model is not active champion or has no previous model pointer.</w:t>
            </w:r>
          </w:p>
        </w:tc>
        <w:tc>
          <w:tcPr>
            <w:tcW w:type="dxa" w:w="3160"/>
            <w:shd w:fill="F7FAFF"/>
            <w:tcMar>
              <w:top w:w="90" w:type="dxa"/>
              <w:start w:w="120" w:type="dxa"/>
              <w:bottom w:w="90" w:type="dxa"/>
              <w:end w:w="120" w:type="dxa"/>
            </w:tcMar>
            <w:vAlign w:val="center"/>
          </w:tcPr>
          <w:p>
            <w:r>
              <w:rPr>
                <w:rFonts w:ascii="Calibri" w:hAnsi="Calibri"/>
                <w:color w:val="1E293B"/>
                <w:sz w:val="18"/>
              </w:rPr>
              <w:t>Select the active champion and confirm rollback availability.</w:t>
            </w:r>
          </w:p>
        </w:tc>
      </w:tr>
      <w:tr>
        <w:tc>
          <w:tcPr>
            <w:tcW w:type="dxa" w:w="2600"/>
            <w:tcMar>
              <w:top w:w="90" w:type="dxa"/>
              <w:start w:w="120" w:type="dxa"/>
              <w:bottom w:w="90" w:type="dxa"/>
              <w:end w:w="120" w:type="dxa"/>
            </w:tcMar>
            <w:vAlign w:val="center"/>
          </w:tcPr>
          <w:p>
            <w:r>
              <w:rPr>
                <w:rFonts w:ascii="Calibri" w:hAnsi="Calibri"/>
                <w:color w:val="1E293B"/>
                <w:sz w:val="18"/>
              </w:rPr>
              <w:t>No model evidence on an old case</w:t>
            </w:r>
          </w:p>
        </w:tc>
        <w:tc>
          <w:tcPr>
            <w:tcW w:type="dxa" w:w="3600"/>
            <w:tcMar>
              <w:top w:w="90" w:type="dxa"/>
              <w:start w:w="120" w:type="dxa"/>
              <w:bottom w:w="90" w:type="dxa"/>
              <w:end w:w="120" w:type="dxa"/>
            </w:tcMar>
            <w:vAlign w:val="center"/>
          </w:tcPr>
          <w:p>
            <w:r>
              <w:rPr>
                <w:rFonts w:ascii="Calibri" w:hAnsi="Calibri"/>
                <w:color w:val="1E293B"/>
                <w:sz w:val="18"/>
              </w:rPr>
              <w:t>The transaction predates enriched prediction logging.</w:t>
            </w:r>
          </w:p>
        </w:tc>
        <w:tc>
          <w:tcPr>
            <w:tcW w:type="dxa" w:w="3160"/>
            <w:tcMar>
              <w:top w:w="90" w:type="dxa"/>
              <w:start w:w="120" w:type="dxa"/>
              <w:bottom w:w="90" w:type="dxa"/>
              <w:end w:w="120" w:type="dxa"/>
            </w:tcMar>
            <w:vAlign w:val="center"/>
          </w:tcPr>
          <w:p>
            <w:r>
              <w:rPr>
                <w:rFonts w:ascii="Calibri" w:hAnsi="Calibri"/>
                <w:color w:val="1E293B"/>
                <w:sz w:val="18"/>
              </w:rPr>
              <w:t>Use transaction and case notes; evidence appears for newer predictions.</w:t>
            </w:r>
          </w:p>
        </w:tc>
      </w:tr>
      <w:tr>
        <w:tc>
          <w:tcPr>
            <w:tcW w:type="dxa" w:w="2600"/>
            <w:shd w:fill="F7FAFF"/>
            <w:tcMar>
              <w:top w:w="90" w:type="dxa"/>
              <w:start w:w="120" w:type="dxa"/>
              <w:bottom w:w="90" w:type="dxa"/>
              <w:end w:w="120" w:type="dxa"/>
            </w:tcMar>
            <w:vAlign w:val="center"/>
          </w:tcPr>
          <w:p>
            <w:r>
              <w:rPr>
                <w:rFonts w:ascii="Calibri" w:hAnsi="Calibri"/>
                <w:color w:val="1E293B"/>
                <w:sz w:val="18"/>
              </w:rPr>
              <w:t>Unexpected database column error</w:t>
            </w:r>
          </w:p>
        </w:tc>
        <w:tc>
          <w:tcPr>
            <w:tcW w:type="dxa" w:w="3600"/>
            <w:shd w:fill="F7FAFF"/>
            <w:tcMar>
              <w:top w:w="90" w:type="dxa"/>
              <w:start w:w="120" w:type="dxa"/>
              <w:bottom w:w="90" w:type="dxa"/>
              <w:end w:w="120" w:type="dxa"/>
            </w:tcMar>
            <w:vAlign w:val="center"/>
          </w:tcPr>
          <w:p>
            <w:r>
              <w:rPr>
                <w:rFonts w:ascii="Calibri" w:hAnsi="Calibri"/>
                <w:color w:val="1E293B"/>
                <w:sz w:val="18"/>
              </w:rPr>
              <w:t>Required migration was not executed against the active database.</w:t>
            </w:r>
          </w:p>
        </w:tc>
        <w:tc>
          <w:tcPr>
            <w:tcW w:type="dxa" w:w="3160"/>
            <w:shd w:fill="F7FAFF"/>
            <w:tcMar>
              <w:top w:w="90" w:type="dxa"/>
              <w:start w:w="120" w:type="dxa"/>
              <w:bottom w:w="90" w:type="dxa"/>
              <w:end w:w="120" w:type="dxa"/>
            </w:tcMar>
            <w:vAlign w:val="center"/>
          </w:tcPr>
          <w:p>
            <w:r>
              <w:rPr>
                <w:rFonts w:ascii="Calibri" w:hAnsi="Calibri"/>
                <w:color w:val="1E293B"/>
                <w:sz w:val="18"/>
              </w:rPr>
              <w:t>Run the matching phase migration and verification script in SSMS, then restart Spring.</w:t>
            </w:r>
          </w:p>
        </w:tc>
      </w:tr>
    </w:tbl>
    <w:p>
      <w:pPr>
        <w:spacing w:after="0"/>
      </w:pPr>
    </w:p>
    <w:p>
      <w:pPr>
        <w:pStyle w:val="Heading1"/>
      </w:pPr>
      <w:r>
        <w:t>12.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Term</w:t>
            </w:r>
          </w:p>
        </w:tc>
        <w:tc>
          <w:tcPr>
            <w:tcW w:type="dxa" w:w="7160"/>
            <w:shd w:fill="0F2747"/>
            <w:tcMar>
              <w:top w:w="90" w:type="dxa"/>
              <w:start w:w="120" w:type="dxa"/>
              <w:bottom w:w="90" w:type="dxa"/>
              <w:end w:w="120" w:type="dxa"/>
            </w:tcMar>
            <w:vAlign w:val="center"/>
          </w:tcPr>
          <w:p>
            <w:r>
              <w:rPr>
                <w:rFonts w:ascii="Calibri" w:hAnsi="Calibri"/>
                <w:b/>
                <w:color w:val="FFFFFF"/>
                <w:sz w:val="18"/>
              </w:rPr>
              <w:t>Definition</w:t>
            </w:r>
          </w:p>
        </w:tc>
      </w:tr>
      <w:tr>
        <w:tc>
          <w:tcPr>
            <w:tcW w:type="dxa" w:w="2200"/>
            <w:shd w:fill="F7FAFF"/>
            <w:tcMar>
              <w:top w:w="90" w:type="dxa"/>
              <w:start w:w="120" w:type="dxa"/>
              <w:bottom w:w="90" w:type="dxa"/>
              <w:end w:w="120" w:type="dxa"/>
            </w:tcMar>
            <w:vAlign w:val="center"/>
          </w:tcPr>
          <w:p>
            <w:r>
              <w:rPr>
                <w:rFonts w:ascii="Calibri" w:hAnsi="Calibri"/>
                <w:color w:val="1E293B"/>
                <w:sz w:val="18"/>
              </w:rPr>
              <w:t>Anomaly</w:t>
            </w:r>
          </w:p>
        </w:tc>
        <w:tc>
          <w:tcPr>
            <w:tcW w:type="dxa" w:w="7160"/>
            <w:shd w:fill="F7FAFF"/>
            <w:tcMar>
              <w:top w:w="90" w:type="dxa"/>
              <w:start w:w="120" w:type="dxa"/>
              <w:bottom w:w="90" w:type="dxa"/>
              <w:end w:w="120" w:type="dxa"/>
            </w:tcMar>
            <w:vAlign w:val="center"/>
          </w:tcPr>
          <w:p>
            <w:r>
              <w:rPr>
                <w:rFonts w:ascii="Calibri" w:hAnsi="Calibri"/>
                <w:color w:val="1E293B"/>
                <w:sz w:val="18"/>
              </w:rPr>
              <w:t>A transaction whose behavior differs from learned or configured normal patterns; not proof of fraud.</w:t>
            </w:r>
          </w:p>
        </w:tc>
      </w:tr>
      <w:tr>
        <w:tc>
          <w:tcPr>
            <w:tcW w:type="dxa" w:w="2200"/>
            <w:tcMar>
              <w:top w:w="90" w:type="dxa"/>
              <w:start w:w="120" w:type="dxa"/>
              <w:bottom w:w="90" w:type="dxa"/>
              <w:end w:w="120" w:type="dxa"/>
            </w:tcMar>
            <w:vAlign w:val="center"/>
          </w:tcPr>
          <w:p>
            <w:r>
              <w:rPr>
                <w:rFonts w:ascii="Calibri" w:hAnsi="Calibri"/>
                <w:color w:val="1E293B"/>
                <w:sz w:val="18"/>
              </w:rPr>
              <w:t>Batch fallback</w:t>
            </w:r>
          </w:p>
        </w:tc>
        <w:tc>
          <w:tcPr>
            <w:tcW w:type="dxa" w:w="7160"/>
            <w:tcMar>
              <w:top w:w="90" w:type="dxa"/>
              <w:start w:w="120" w:type="dxa"/>
              <w:bottom w:w="90" w:type="dxa"/>
              <w:end w:w="120" w:type="dxa"/>
            </w:tcMar>
            <w:vAlign w:val="center"/>
          </w:tcPr>
          <w:p>
            <w:r>
              <w:rPr>
                <w:rFonts w:ascii="Calibri" w:hAnsi="Calibri"/>
                <w:color w:val="1E293B"/>
                <w:sz w:val="18"/>
              </w:rPr>
              <w:t>Isolation Forest decision used when layered scoring is explicitly rolled back or cannot be accepted safely.</w:t>
            </w:r>
          </w:p>
        </w:tc>
      </w:tr>
      <w:tr>
        <w:tc>
          <w:tcPr>
            <w:tcW w:type="dxa" w:w="2200"/>
            <w:shd w:fill="F7FAFF"/>
            <w:tcMar>
              <w:top w:w="90" w:type="dxa"/>
              <w:start w:w="120" w:type="dxa"/>
              <w:bottom w:w="90" w:type="dxa"/>
              <w:end w:w="120" w:type="dxa"/>
            </w:tcMar>
            <w:vAlign w:val="center"/>
          </w:tcPr>
          <w:p>
            <w:r>
              <w:rPr>
                <w:rFonts w:ascii="Calibri" w:hAnsi="Calibri"/>
                <w:color w:val="1E293B"/>
                <w:sz w:val="18"/>
              </w:rPr>
              <w:t>Candidate</w:t>
            </w:r>
          </w:p>
        </w:tc>
        <w:tc>
          <w:tcPr>
            <w:tcW w:type="dxa" w:w="7160"/>
            <w:shd w:fill="F7FAFF"/>
            <w:tcMar>
              <w:top w:w="90" w:type="dxa"/>
              <w:start w:w="120" w:type="dxa"/>
              <w:bottom w:w="90" w:type="dxa"/>
              <w:end w:w="120" w:type="dxa"/>
            </w:tcMar>
            <w:vAlign w:val="center"/>
          </w:tcPr>
          <w:p>
            <w:r>
              <w:rPr>
                <w:rFonts w:ascii="Calibri" w:hAnsi="Calibri"/>
                <w:color w:val="1E293B"/>
                <w:sz w:val="18"/>
              </w:rPr>
              <w:t>A newly trained immutable model version not approved for production.</w:t>
            </w:r>
          </w:p>
        </w:tc>
      </w:tr>
      <w:tr>
        <w:tc>
          <w:tcPr>
            <w:tcW w:type="dxa" w:w="2200"/>
            <w:tcMar>
              <w:top w:w="90" w:type="dxa"/>
              <w:start w:w="120" w:type="dxa"/>
              <w:bottom w:w="90" w:type="dxa"/>
              <w:end w:w="120" w:type="dxa"/>
            </w:tcMar>
            <w:vAlign w:val="center"/>
          </w:tcPr>
          <w:p>
            <w:r>
              <w:rPr>
                <w:rFonts w:ascii="Calibri" w:hAnsi="Calibri"/>
                <w:color w:val="1E293B"/>
                <w:sz w:val="18"/>
              </w:rPr>
              <w:t>Champion</w:t>
            </w:r>
          </w:p>
        </w:tc>
        <w:tc>
          <w:tcPr>
            <w:tcW w:type="dxa" w:w="7160"/>
            <w:tcMar>
              <w:top w:w="90" w:type="dxa"/>
              <w:start w:w="120" w:type="dxa"/>
              <w:bottom w:w="90" w:type="dxa"/>
              <w:end w:w="120" w:type="dxa"/>
            </w:tcMar>
            <w:vAlign w:val="center"/>
          </w:tcPr>
          <w:p>
            <w:r>
              <w:rPr>
                <w:rFonts w:ascii="Calibri" w:hAnsi="Calibri"/>
                <w:color w:val="1E293B"/>
                <w:sz w:val="18"/>
              </w:rPr>
              <w:t>The active approved model for a model type and segment.</w:t>
            </w:r>
          </w:p>
        </w:tc>
      </w:tr>
      <w:tr>
        <w:tc>
          <w:tcPr>
            <w:tcW w:type="dxa" w:w="2200"/>
            <w:shd w:fill="F7FAFF"/>
            <w:tcMar>
              <w:top w:w="90" w:type="dxa"/>
              <w:start w:w="120" w:type="dxa"/>
              <w:bottom w:w="90" w:type="dxa"/>
              <w:end w:w="120" w:type="dxa"/>
            </w:tcMar>
            <w:vAlign w:val="center"/>
          </w:tcPr>
          <w:p>
            <w:r>
              <w:rPr>
                <w:rFonts w:ascii="Calibri" w:hAnsi="Calibri"/>
                <w:color w:val="1E293B"/>
                <w:sz w:val="18"/>
              </w:rPr>
              <w:t>Challenger</w:t>
            </w:r>
          </w:p>
        </w:tc>
        <w:tc>
          <w:tcPr>
            <w:tcW w:type="dxa" w:w="7160"/>
            <w:shd w:fill="F7FAFF"/>
            <w:tcMar>
              <w:top w:w="90" w:type="dxa"/>
              <w:start w:w="120" w:type="dxa"/>
              <w:bottom w:w="90" w:type="dxa"/>
              <w:end w:w="120" w:type="dxa"/>
            </w:tcMar>
            <w:vAlign w:val="center"/>
          </w:tcPr>
          <w:p>
            <w:r>
              <w:rPr>
                <w:rFonts w:ascii="Calibri" w:hAnsi="Calibri"/>
                <w:color w:val="1E293B"/>
                <w:sz w:val="18"/>
              </w:rPr>
              <w:t>A compatible non-active model retained for comparison or rollback.</w:t>
            </w:r>
          </w:p>
        </w:tc>
      </w:tr>
      <w:tr>
        <w:tc>
          <w:tcPr>
            <w:tcW w:type="dxa" w:w="2200"/>
            <w:tcMar>
              <w:top w:w="90" w:type="dxa"/>
              <w:start w:w="120" w:type="dxa"/>
              <w:bottom w:w="90" w:type="dxa"/>
              <w:end w:w="120" w:type="dxa"/>
            </w:tcMar>
            <w:vAlign w:val="center"/>
          </w:tcPr>
          <w:p>
            <w:r>
              <w:rPr>
                <w:rFonts w:ascii="Calibri" w:hAnsi="Calibri"/>
                <w:color w:val="1E293B"/>
                <w:sz w:val="18"/>
              </w:rPr>
              <w:t>Cold start</w:t>
            </w:r>
          </w:p>
        </w:tc>
        <w:tc>
          <w:tcPr>
            <w:tcW w:type="dxa" w:w="7160"/>
            <w:tcMar>
              <w:top w:w="90" w:type="dxa"/>
              <w:start w:w="120" w:type="dxa"/>
              <w:bottom w:w="90" w:type="dxa"/>
              <w:end w:w="120" w:type="dxa"/>
            </w:tcMar>
            <w:vAlign w:val="center"/>
          </w:tcPr>
          <w:p>
            <w:r>
              <w:rPr>
                <w:rFonts w:ascii="Calibri" w:hAnsi="Calibri"/>
                <w:color w:val="1E293B"/>
                <w:sz w:val="18"/>
              </w:rPr>
              <w:t>Account state with insufficient trustworthy history for mature profile-based scoring.</w:t>
            </w:r>
          </w:p>
        </w:tc>
      </w:tr>
      <w:tr>
        <w:tc>
          <w:tcPr>
            <w:tcW w:type="dxa" w:w="2200"/>
            <w:shd w:fill="F7FAFF"/>
            <w:tcMar>
              <w:top w:w="90" w:type="dxa"/>
              <w:start w:w="120" w:type="dxa"/>
              <w:bottom w:w="90" w:type="dxa"/>
              <w:end w:w="120" w:type="dxa"/>
            </w:tcMar>
            <w:vAlign w:val="center"/>
          </w:tcPr>
          <w:p>
            <w:r>
              <w:rPr>
                <w:rFonts w:ascii="Calibri" w:hAnsi="Calibri"/>
                <w:color w:val="1E293B"/>
                <w:sz w:val="18"/>
              </w:rPr>
              <w:t>Feature version</w:t>
            </w:r>
          </w:p>
        </w:tc>
        <w:tc>
          <w:tcPr>
            <w:tcW w:type="dxa" w:w="7160"/>
            <w:shd w:fill="F7FAFF"/>
            <w:tcMar>
              <w:top w:w="90" w:type="dxa"/>
              <w:start w:w="120" w:type="dxa"/>
              <w:bottom w:w="90" w:type="dxa"/>
              <w:end w:w="120" w:type="dxa"/>
            </w:tcMar>
            <w:vAlign w:val="center"/>
          </w:tcPr>
          <w:p>
            <w:r>
              <w:rPr>
                <w:rFonts w:ascii="Calibri" w:hAnsi="Calibri"/>
                <w:color w:val="1E293B"/>
                <w:sz w:val="18"/>
              </w:rPr>
              <w:t>Versioned contract describing the exact persisted input vector expected by a model.</w:t>
            </w:r>
          </w:p>
        </w:tc>
      </w:tr>
      <w:tr>
        <w:tc>
          <w:tcPr>
            <w:tcW w:type="dxa" w:w="2200"/>
            <w:tcMar>
              <w:top w:w="90" w:type="dxa"/>
              <w:start w:w="120" w:type="dxa"/>
              <w:bottom w:w="90" w:type="dxa"/>
              <w:end w:w="120" w:type="dxa"/>
            </w:tcMar>
            <w:vAlign w:val="center"/>
          </w:tcPr>
          <w:p>
            <w:r>
              <w:rPr>
                <w:rFonts w:ascii="Calibri" w:hAnsi="Calibri"/>
                <w:color w:val="1E293B"/>
                <w:sz w:val="18"/>
              </w:rPr>
              <w:t>HST</w:t>
            </w:r>
          </w:p>
        </w:tc>
        <w:tc>
          <w:tcPr>
            <w:tcW w:type="dxa" w:w="7160"/>
            <w:tcMar>
              <w:top w:w="90" w:type="dxa"/>
              <w:start w:w="120" w:type="dxa"/>
              <w:bottom w:w="90" w:type="dxa"/>
              <w:end w:w="120" w:type="dxa"/>
            </w:tcMar>
            <w:vAlign w:val="center"/>
          </w:tcPr>
          <w:p>
            <w:r>
              <w:rPr>
                <w:rFonts w:ascii="Calibri" w:hAnsi="Calibri"/>
                <w:color w:val="1E293B"/>
                <w:sz w:val="18"/>
              </w:rPr>
              <w:t>Half-Space Trees, a bounded-state incremental anomaly model used for bank-scale production learning.</w:t>
            </w:r>
          </w:p>
        </w:tc>
      </w:tr>
      <w:tr>
        <w:tc>
          <w:tcPr>
            <w:tcW w:type="dxa" w:w="2200"/>
            <w:shd w:fill="F7FAFF"/>
            <w:tcMar>
              <w:top w:w="90" w:type="dxa"/>
              <w:start w:w="120" w:type="dxa"/>
              <w:bottom w:w="90" w:type="dxa"/>
              <w:end w:w="120" w:type="dxa"/>
            </w:tcMar>
            <w:vAlign w:val="center"/>
          </w:tcPr>
          <w:p>
            <w:r>
              <w:rPr>
                <w:rFonts w:ascii="Calibri" w:hAnsi="Calibri"/>
                <w:color w:val="1E293B"/>
                <w:sz w:val="18"/>
              </w:rPr>
              <w:t>Layered scoring</w:t>
            </w:r>
          </w:p>
        </w:tc>
        <w:tc>
          <w:tcPr>
            <w:tcW w:type="dxa" w:w="7160"/>
            <w:shd w:fill="F7FAFF"/>
            <w:tcMar>
              <w:top w:w="90" w:type="dxa"/>
              <w:start w:w="120" w:type="dxa"/>
              <w:bottom w:w="90" w:type="dxa"/>
              <w:end w:w="120" w:type="dxa"/>
            </w:tcMar>
            <w:vAlign w:val="center"/>
          </w:tcPr>
          <w:p>
            <w:r>
              <w:rPr>
                <w:rFonts w:ascii="Calibri" w:hAnsi="Calibri"/>
                <w:color w:val="1E293B"/>
                <w:sz w:val="18"/>
              </w:rPr>
              <w:t>Weighted production decision using rules, customer and peer behaviour, HST, and Online OCSVM evidence.</w:t>
            </w:r>
          </w:p>
        </w:tc>
      </w:tr>
      <w:tr>
        <w:tc>
          <w:tcPr>
            <w:tcW w:type="dxa" w:w="2200"/>
            <w:tcMar>
              <w:top w:w="90" w:type="dxa"/>
              <w:start w:w="120" w:type="dxa"/>
              <w:bottom w:w="90" w:type="dxa"/>
              <w:end w:w="120" w:type="dxa"/>
            </w:tcMar>
            <w:vAlign w:val="center"/>
          </w:tcPr>
          <w:p>
            <w:r>
              <w:rPr>
                <w:rFonts w:ascii="Calibri" w:hAnsi="Calibri"/>
                <w:color w:val="1E293B"/>
                <w:sz w:val="18"/>
              </w:rPr>
              <w:t>Model segment</w:t>
            </w:r>
          </w:p>
        </w:tc>
        <w:tc>
          <w:tcPr>
            <w:tcW w:type="dxa" w:w="7160"/>
            <w:tcMar>
              <w:top w:w="90" w:type="dxa"/>
              <w:start w:w="120" w:type="dxa"/>
              <w:bottom w:w="90" w:type="dxa"/>
              <w:end w:w="120" w:type="dxa"/>
            </w:tcMar>
            <w:vAlign w:val="center"/>
          </w:tcPr>
          <w:p>
            <w:r>
              <w:rPr>
                <w:rFonts w:ascii="Calibri" w:hAnsi="Calibri"/>
                <w:color w:val="1E293B"/>
                <w:sz w:val="18"/>
              </w:rPr>
              <w:t>A routing scope such as RETAIL_GENERAL; GLOBAL is the fallback scope.</w:t>
            </w:r>
          </w:p>
        </w:tc>
      </w:tr>
      <w:tr>
        <w:tc>
          <w:tcPr>
            <w:tcW w:type="dxa" w:w="2200"/>
            <w:shd w:fill="F7FAFF"/>
            <w:tcMar>
              <w:top w:w="90" w:type="dxa"/>
              <w:start w:w="120" w:type="dxa"/>
              <w:bottom w:w="90" w:type="dxa"/>
              <w:end w:w="120" w:type="dxa"/>
            </w:tcMar>
            <w:vAlign w:val="center"/>
          </w:tcPr>
          <w:p>
            <w:r>
              <w:rPr>
                <w:rFonts w:ascii="Calibri" w:hAnsi="Calibri"/>
                <w:color w:val="1E293B"/>
                <w:sz w:val="18"/>
              </w:rPr>
              <w:t>Online OCSVM</w:t>
            </w:r>
          </w:p>
        </w:tc>
        <w:tc>
          <w:tcPr>
            <w:tcW w:type="dxa" w:w="7160"/>
            <w:shd w:fill="F7FAFF"/>
            <w:tcMar>
              <w:top w:w="90" w:type="dxa"/>
              <w:start w:w="120" w:type="dxa"/>
              <w:bottom w:w="90" w:type="dxa"/>
              <w:end w:w="120" w:type="dxa"/>
            </w:tcMar>
            <w:vAlign w:val="center"/>
          </w:tcPr>
          <w:p>
            <w:r>
              <w:rPr>
                <w:rFonts w:ascii="Calibri" w:hAnsi="Calibri"/>
                <w:color w:val="1E293B"/>
                <w:sz w:val="18"/>
              </w:rPr>
              <w:t>Incremental One-Class SVM production model; different from the offline kernel One-Class SVM research model.</w:t>
            </w:r>
          </w:p>
        </w:tc>
      </w:tr>
      <w:tr>
        <w:tc>
          <w:tcPr>
            <w:tcW w:type="dxa" w:w="2200"/>
            <w:tcMar>
              <w:top w:w="90" w:type="dxa"/>
              <w:start w:w="120" w:type="dxa"/>
              <w:bottom w:w="90" w:type="dxa"/>
              <w:end w:w="120" w:type="dxa"/>
            </w:tcMar>
            <w:vAlign w:val="center"/>
          </w:tcPr>
          <w:p>
            <w:r>
              <w:rPr>
                <w:rFonts w:ascii="Calibri" w:hAnsi="Calibri"/>
                <w:color w:val="1E293B"/>
                <w:sz w:val="18"/>
              </w:rPr>
              <w:t>Parquet</w:t>
            </w:r>
          </w:p>
        </w:tc>
        <w:tc>
          <w:tcPr>
            <w:tcW w:type="dxa" w:w="7160"/>
            <w:tcMar>
              <w:top w:w="90" w:type="dxa"/>
              <w:start w:w="120" w:type="dxa"/>
              <w:bottom w:w="90" w:type="dxa"/>
              <w:end w:w="120" w:type="dxa"/>
            </w:tcMar>
            <w:vAlign w:val="center"/>
          </w:tcPr>
          <w:p>
            <w:r>
              <w:rPr>
                <w:rFonts w:ascii="Calibri" w:hAnsi="Calibri"/>
                <w:color w:val="1E293B"/>
                <w:sz w:val="18"/>
              </w:rPr>
              <w:t>Columnar file format used for efficient, checksummed, chunked training datasets.</w:t>
            </w:r>
          </w:p>
        </w:tc>
      </w:tr>
      <w:tr>
        <w:tc>
          <w:tcPr>
            <w:tcW w:type="dxa" w:w="2200"/>
            <w:shd w:fill="F7FAFF"/>
            <w:tcMar>
              <w:top w:w="90" w:type="dxa"/>
              <w:start w:w="120" w:type="dxa"/>
              <w:bottom w:w="90" w:type="dxa"/>
              <w:end w:w="120" w:type="dxa"/>
            </w:tcMar>
            <w:vAlign w:val="center"/>
          </w:tcPr>
          <w:p>
            <w:r>
              <w:rPr>
                <w:rFonts w:ascii="Calibri" w:hAnsi="Calibri"/>
                <w:color w:val="1E293B"/>
                <w:sz w:val="18"/>
              </w:rPr>
              <w:t>Silent scoring</w:t>
            </w:r>
          </w:p>
        </w:tc>
        <w:tc>
          <w:tcPr>
            <w:tcW w:type="dxa" w:w="7160"/>
            <w:shd w:fill="F7FAFF"/>
            <w:tcMar>
              <w:top w:w="90" w:type="dxa"/>
              <w:start w:w="120" w:type="dxa"/>
              <w:bottom w:w="90" w:type="dxa"/>
              <w:end w:w="120" w:type="dxa"/>
            </w:tcMar>
            <w:vAlign w:val="center"/>
          </w:tcPr>
          <w:p>
            <w:r>
              <w:rPr>
                <w:rFonts w:ascii="Calibri" w:hAnsi="Calibri"/>
                <w:color w:val="1E293B"/>
                <w:sz w:val="18"/>
              </w:rPr>
              <w:t>Challenger scoring that is logged for validation but cannot affect alerts or cases.</w:t>
            </w:r>
          </w:p>
        </w:tc>
      </w:tr>
      <w:tr>
        <w:tc>
          <w:tcPr>
            <w:tcW w:type="dxa" w:w="2200"/>
            <w:tcMar>
              <w:top w:w="90" w:type="dxa"/>
              <w:start w:w="120" w:type="dxa"/>
              <w:bottom w:w="90" w:type="dxa"/>
              <w:end w:w="120" w:type="dxa"/>
            </w:tcMar>
            <w:vAlign w:val="center"/>
          </w:tcPr>
          <w:p>
            <w:r>
              <w:rPr>
                <w:rFonts w:ascii="Calibri" w:hAnsi="Calibri"/>
                <w:color w:val="1E293B"/>
                <w:sz w:val="18"/>
              </w:rPr>
              <w:t>STR</w:t>
            </w:r>
          </w:p>
        </w:tc>
        <w:tc>
          <w:tcPr>
            <w:tcW w:type="dxa" w:w="7160"/>
            <w:tcMar>
              <w:top w:w="90" w:type="dxa"/>
              <w:start w:w="120" w:type="dxa"/>
              <w:bottom w:w="90" w:type="dxa"/>
              <w:end w:w="120" w:type="dxa"/>
            </w:tcMar>
            <w:vAlign w:val="center"/>
          </w:tcPr>
          <w:p>
            <w:r>
              <w:rPr>
                <w:rFonts w:ascii="Calibri" w:hAnsi="Calibri"/>
                <w:color w:val="1E293B"/>
                <w:sz w:val="18"/>
              </w:rPr>
              <w:t>Suspicious Transaction Report; here generated as a draft XML for review.</w:t>
            </w:r>
          </w:p>
        </w:tc>
      </w:tr>
    </w:tbl>
    <w:p>
      <w:pPr>
        <w:spacing w:after="0"/>
      </w:pPr>
    </w:p>
    <w:sectPr w:rsidR="00FC693F" w:rsidRPr="0006063C" w:rsidSect="00034616">
      <w:headerReference w:type="default" r:id="rId9"/>
      <w:footerReference w:type="default" r:id="rId10"/>
      <w:pgSz w:w="12240" w:h="15840"/>
      <w:pgMar w:top="1181" w:right="1238" w:bottom="1080"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Fraud Transaction Detector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27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