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jc w:val="center"/>
      </w:pPr>
      <w:r>
        <w:rPr>
          <w:rFonts w:ascii="Calibri" w:hAnsi="Calibri"/>
          <w:b/>
          <w:color w:val="2563EB"/>
          <w:sz w:val="20"/>
        </w:rPr>
        <w:t>TECHNICAL AND ACADEMIC REPORT</w:t>
      </w:r>
    </w:p>
    <w:p>
      <w:pPr>
        <w:spacing w:after="200"/>
        <w:jc w:val="center"/>
      </w:pPr>
      <w:r>
        <w:rPr>
          <w:rFonts w:ascii="Calibri" w:hAnsi="Calibri"/>
          <w:b/>
          <w:color w:val="0F2747"/>
          <w:sz w:val="60"/>
        </w:rPr>
        <w:t>Fraud Transaction Detector - System Design, Implementation, and Scalability</w:t>
      </w:r>
    </w:p>
    <w:p>
      <w:pPr>
        <w:spacing w:after="560"/>
        <w:jc w:val="center"/>
      </w:pPr>
      <w:r>
        <w:rPr>
          <w:rFonts w:ascii="Calibri" w:hAnsi="Calibri"/>
          <w:color w:val="64748B"/>
          <w:sz w:val="28"/>
        </w:rPr>
        <w:t>How the platform compares models as data grows, governs production learning, and supports explainable AML case review</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0F2747"/>
            <w:tcMar>
              <w:top w:w="90" w:type="dxa"/>
              <w:start w:w="120" w:type="dxa"/>
              <w:bottom w:w="90" w:type="dxa"/>
              <w:end w:w="120" w:type="dxa"/>
            </w:tcMar>
            <w:vAlign w:val="center"/>
          </w:tcPr>
          <w:p>
            <w:r>
              <w:rPr>
                <w:rFonts w:ascii="Calibri" w:hAnsi="Calibri"/>
                <w:b/>
                <w:color w:val="FFFFFF"/>
                <w:sz w:val="19"/>
              </w:rPr>
              <w:t>Audience</w:t>
            </w:r>
          </w:p>
        </w:tc>
        <w:tc>
          <w:tcPr>
            <w:tcW w:type="dxa" w:w="7560"/>
            <w:shd w:fill="F7FAFF"/>
            <w:tcMar>
              <w:top w:w="90" w:type="dxa"/>
              <w:start w:w="120" w:type="dxa"/>
              <w:bottom w:w="90" w:type="dxa"/>
              <w:end w:w="120" w:type="dxa"/>
            </w:tcMar>
            <w:vAlign w:val="center"/>
          </w:tcPr>
          <w:p>
            <w:r>
              <w:rPr>
                <w:rFonts w:ascii="Calibri" w:hAnsi="Calibri"/>
                <w:color w:val="1E293B"/>
                <w:sz w:val="19"/>
              </w:rPr>
              <w:t>Project supervisors, professors, technical reviewers, architects, and AML stakeholders</w:t>
            </w:r>
          </w:p>
        </w:tc>
      </w:tr>
      <w:tr>
        <w:tc>
          <w:tcPr>
            <w:tcW w:type="dxa" w:w="1800"/>
            <w:shd w:fill="0F2747"/>
            <w:tcMar>
              <w:top w:w="90" w:type="dxa"/>
              <w:start w:w="120" w:type="dxa"/>
              <w:bottom w:w="90" w:type="dxa"/>
              <w:end w:w="120" w:type="dxa"/>
            </w:tcMar>
            <w:vAlign w:val="center"/>
          </w:tcPr>
          <w:p>
            <w:r>
              <w:rPr>
                <w:rFonts w:ascii="Calibri" w:hAnsi="Calibri"/>
                <w:b/>
                <w:color w:val="FFFFFF"/>
                <w:sz w:val="19"/>
              </w:rPr>
              <w:t>Version</w:t>
            </w:r>
          </w:p>
        </w:tc>
        <w:tc>
          <w:tcPr>
            <w:tcW w:type="dxa" w:w="7560"/>
            <w:shd w:fill="F7FAFF"/>
            <w:tcMar>
              <w:top w:w="90" w:type="dxa"/>
              <w:start w:w="120" w:type="dxa"/>
              <w:bottom w:w="90" w:type="dxa"/>
              <w:end w:w="120" w:type="dxa"/>
            </w:tcMar>
            <w:vAlign w:val="center"/>
          </w:tcPr>
          <w:p>
            <w:r>
              <w:rPr>
                <w:rFonts w:ascii="Calibri" w:hAnsi="Calibri"/>
                <w:color w:val="1E293B"/>
                <w:sz w:val="19"/>
              </w:rPr>
              <w:t>2.0</w:t>
            </w:r>
          </w:p>
        </w:tc>
      </w:tr>
      <w:tr>
        <w:tc>
          <w:tcPr>
            <w:tcW w:type="dxa" w:w="1800"/>
            <w:shd w:fill="0F2747"/>
            <w:tcMar>
              <w:top w:w="90" w:type="dxa"/>
              <w:start w:w="120" w:type="dxa"/>
              <w:bottom w:w="90" w:type="dxa"/>
              <w:end w:w="120" w:type="dxa"/>
            </w:tcMar>
            <w:vAlign w:val="center"/>
          </w:tcPr>
          <w:p>
            <w:r>
              <w:rPr>
                <w:rFonts w:ascii="Calibri" w:hAnsi="Calibri"/>
                <w:b/>
                <w:color w:val="FFFFFF"/>
                <w:sz w:val="19"/>
              </w:rPr>
              <w:t>Prepared</w:t>
            </w:r>
          </w:p>
        </w:tc>
        <w:tc>
          <w:tcPr>
            <w:tcW w:type="dxa" w:w="7560"/>
            <w:shd w:fill="F7FAFF"/>
            <w:tcMar>
              <w:top w:w="90" w:type="dxa"/>
              <w:start w:w="120" w:type="dxa"/>
              <w:bottom w:w="90" w:type="dxa"/>
              <w:end w:w="120" w:type="dxa"/>
            </w:tcMar>
            <w:vAlign w:val="center"/>
          </w:tcPr>
          <w:p>
            <w:r>
              <w:rPr>
                <w:rFonts w:ascii="Calibri" w:hAnsi="Calibri"/>
                <w:color w:val="1E293B"/>
                <w:sz w:val="19"/>
              </w:rPr>
              <w:t>August 06, 2026</w:t>
            </w:r>
          </w:p>
        </w:tc>
      </w:tr>
    </w:tbl>
    <w:p>
      <w:pPr>
        <w:spacing w:before="560"/>
        <w:jc w:val="center"/>
      </w:pPr>
      <w:r>
        <w:rPr>
          <w:rFonts w:ascii="Calibri" w:hAnsi="Calibri"/>
          <w:b/>
          <w:color w:val="0F2747"/>
          <w:sz w:val="20"/>
        </w:rPr>
        <w:t>Fraud Transaction Detector | AML Anomaly Intelligence Platform</w:t>
      </w:r>
    </w:p>
    <w:p>
      <w:r>
        <w:br w:type="page"/>
      </w:r>
    </w:p>
    <w:p>
      <w:pPr>
        <w:pStyle w:val="Heading1"/>
      </w:pPr>
      <w:r>
        <w:t>Executive Summary</w:t>
      </w:r>
    </w:p>
    <w:p>
      <w:r>
        <w:rPr>
          <w:rFonts w:ascii="Calibri" w:hAnsi="Calibri"/>
          <w:color w:val="1E293B"/>
        </w:rPr>
        <w:t>The Fraud Transaction Detector is an anomaly-intelligence and AML case-management platform designed around a central research question: how does model behavior change as more transaction data becomes available? The system answers that question through chronological learning-curve comparison while also providing a safer production path for bank-scale transaction volumes.</w:t>
      </w:r>
    </w:p>
    <w:p>
      <w:r>
        <w:rPr>
          <w:rFonts w:ascii="Calibri" w:hAnsi="Calibri"/>
          <w:color w:val="1E293B"/>
        </w:rPr>
        <w:t>The implementation combines an Angular interface, a Spring Boot modular monolith, a Python FastAPI ML service, and Microsoft SQL Server. Spring owns transactional business logic, configuration, governance, and audit persistence. Python owns model fitting, artifact handling, and prediction. The browser never accesses the ML service or database directly.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Core contribution: </w:t>
            </w:r>
            <w:r>
              <w:rPr>
                <w:rFonts w:ascii="Calibri" w:hAnsi="Calibri"/>
                <w:color w:val="1E293B"/>
              </w:rPr>
              <w:t>The project separates research comparison from production decisioning. Five classical unsupervised models remain offline for learning-curve research, while production combines deterministic rules, customer and peer behaviour, Half-Space Trees, and Online One-Class SVM through a versioned weighted risk policy. Isolation Forest remains the rollback fallback.</w:t>
            </w:r>
          </w:p>
        </w:tc>
      </w:tr>
    </w:tbl>
    <w:p>
      <w:pPr>
        <w:spacing w:after="0"/>
      </w:pPr>
    </w:p>
    <w:p>
      <w:pPr>
        <w:pStyle w:val="Heading2"/>
      </w:pPr>
      <w:r>
        <w:t>Contents</w:t>
      </w:r>
    </w:p>
    <w:p>
      <w:pPr>
        <w:pStyle w:val="ListBullet"/>
      </w:pPr>
      <w:r>
        <w:rPr>
          <w:rFonts w:ascii="Calibri" w:hAnsi="Calibri"/>
          <w:color w:val="1E293B"/>
        </w:rPr>
        <w:t>1. Problem definition and design principles</w:t>
      </w:r>
    </w:p>
    <w:p>
      <w:pPr>
        <w:pStyle w:val="ListBullet"/>
      </w:pPr>
      <w:r>
        <w:rPr>
          <w:rFonts w:ascii="Calibri" w:hAnsi="Calibri"/>
          <w:color w:val="1E293B"/>
        </w:rPr>
        <w:t>2. Architecture and technology choices</w:t>
      </w:r>
    </w:p>
    <w:p>
      <w:pPr>
        <w:pStyle w:val="ListBullet"/>
      </w:pPr>
      <w:r>
        <w:rPr>
          <w:rFonts w:ascii="Calibri" w:hAnsi="Calibri"/>
          <w:color w:val="1E293B"/>
        </w:rPr>
        <w:t>3. Data ingestion, persistence, and feature engineering</w:t>
      </w:r>
    </w:p>
    <w:p>
      <w:pPr>
        <w:pStyle w:val="ListBullet"/>
      </w:pPr>
      <w:r>
        <w:rPr>
          <w:rFonts w:ascii="Calibri" w:hAnsi="Calibri"/>
          <w:color w:val="1E293B"/>
        </w:rPr>
        <w:t>4. Model-comparison methodology</w:t>
      </w:r>
    </w:p>
    <w:p>
      <w:pPr>
        <w:pStyle w:val="ListBullet"/>
      </w:pPr>
      <w:r>
        <w:rPr>
          <w:rFonts w:ascii="Calibri" w:hAnsi="Calibri"/>
          <w:color w:val="1E293B"/>
        </w:rPr>
        <w:t>5. Production model strategy and governance lifecycle</w:t>
      </w:r>
    </w:p>
    <w:p>
      <w:pPr>
        <w:pStyle w:val="ListBullet"/>
      </w:pPr>
      <w:r>
        <w:rPr>
          <w:rFonts w:ascii="Calibri" w:hAnsi="Calibri"/>
          <w:color w:val="1E293B"/>
        </w:rPr>
        <w:t>6. Scalability for millions of daily transactions</w:t>
      </w:r>
    </w:p>
    <w:p>
      <w:pPr>
        <w:pStyle w:val="ListBullet"/>
      </w:pPr>
      <w:r>
        <w:rPr>
          <w:rFonts w:ascii="Calibri" w:hAnsi="Calibri"/>
          <w:color w:val="1E293B"/>
        </w:rPr>
        <w:t>7. Case management, explainability, and feedback</w:t>
      </w:r>
    </w:p>
    <w:p>
      <w:pPr>
        <w:pStyle w:val="ListBullet"/>
      </w:pPr>
      <w:r>
        <w:rPr>
          <w:rFonts w:ascii="Calibri" w:hAnsi="Calibri"/>
          <w:color w:val="1E293B"/>
        </w:rPr>
        <w:t>8. Security, reliability, and auditability</w:t>
      </w:r>
    </w:p>
    <w:p>
      <w:pPr>
        <w:pStyle w:val="ListBullet"/>
      </w:pPr>
      <w:r>
        <w:rPr>
          <w:rFonts w:ascii="Calibri" w:hAnsi="Calibri"/>
          <w:color w:val="1E293B"/>
        </w:rPr>
        <w:t>9. Kafka and clustering roadmap</w:t>
      </w:r>
    </w:p>
    <w:p>
      <w:pPr>
        <w:pStyle w:val="ListBullet"/>
      </w:pPr>
      <w:r>
        <w:rPr>
          <w:rFonts w:ascii="Calibri" w:hAnsi="Calibri"/>
          <w:color w:val="1E293B"/>
        </w:rPr>
        <w:t>10. Limitations, validation, and future work</w:t>
      </w:r>
    </w:p>
    <w:p>
      <w:pPr>
        <w:pStyle w:val="Heading1"/>
      </w:pPr>
      <w:r>
        <w:t>1. Problem Definition</w:t>
      </w:r>
    </w:p>
    <w:p>
      <w:pPr>
        <w:pStyle w:val="Heading2"/>
      </w:pPr>
      <w:r>
        <w:t>Why transaction anomaly detection is difficult</w:t>
      </w:r>
    </w:p>
    <w:p>
      <w:pPr>
        <w:pStyle w:val="ListBullet"/>
      </w:pPr>
      <w:r>
        <w:rPr>
          <w:rFonts w:ascii="Calibri" w:hAnsi="Calibri"/>
          <w:color w:val="1E293B"/>
        </w:rPr>
        <w:t>Banks process very large and continuously growing transaction streams.</w:t>
      </w:r>
    </w:p>
    <w:p>
      <w:pPr>
        <w:pStyle w:val="ListBullet"/>
      </w:pPr>
      <w:r>
        <w:rPr>
          <w:rFonts w:ascii="Calibri" w:hAnsi="Calibri"/>
          <w:color w:val="1E293B"/>
        </w:rPr>
        <w:t>Confirmed fraud labels are sparse, delayed, and affected by investigation selection bias.</w:t>
      </w:r>
    </w:p>
    <w:p>
      <w:pPr>
        <w:pStyle w:val="ListBullet"/>
      </w:pPr>
      <w:r>
        <w:rPr>
          <w:rFonts w:ascii="Calibri" w:hAnsi="Calibri"/>
          <w:color w:val="1E293B"/>
        </w:rPr>
        <w:t>Normal behavior differs by customer, account maturity, location, channel, time, and business segment.</w:t>
      </w:r>
    </w:p>
    <w:p>
      <w:pPr>
        <w:pStyle w:val="ListBullet"/>
      </w:pPr>
      <w:r>
        <w:rPr>
          <w:rFonts w:ascii="Calibri" w:hAnsi="Calibri"/>
          <w:color w:val="1E293B"/>
        </w:rPr>
        <w:t>A model that appears useful on 2,000 rows may become unstable, slow, or operationally noisy on millions.</w:t>
      </w:r>
    </w:p>
    <w:p>
      <w:pPr>
        <w:pStyle w:val="ListBullet"/>
      </w:pPr>
      <w:r>
        <w:rPr>
          <w:rFonts w:ascii="Calibri" w:hAnsi="Calibri"/>
          <w:color w:val="1E293B"/>
        </w:rPr>
        <w:t>False positives consume investigator capacity and can harm customer experience.</w:t>
      </w:r>
    </w:p>
    <w:p>
      <w:pPr>
        <w:pStyle w:val="ListBullet"/>
      </w:pPr>
      <w:r>
        <w:rPr>
          <w:rFonts w:ascii="Calibri" w:hAnsi="Calibri"/>
          <w:color w:val="1E293B"/>
        </w:rPr>
        <w:t>Production model changes require reproducibility, approval, rollback, and evidence rather than an automatic retrain-and-replace process.</w:t>
      </w:r>
    </w:p>
    <w:p>
      <w:pPr>
        <w:pStyle w:val="Heading2"/>
      </w:pPr>
      <w:r>
        <w:t>System objective</w:t>
      </w:r>
    </w:p>
    <w:p>
      <w:r>
        <w:rPr>
          <w:rFonts w:ascii="Calibri" w:hAnsi="Calibri"/>
          <w:color w:val="1E293B"/>
        </w:rPr>
        <w:t>The system detects suspicious deviations, logs model evidence, creates review cases only when the configured production decision is met, and supports a reviewer outcome. It deliberately avoids stating that an anomaly is confirmed fraud.</w:t>
      </w:r>
    </w:p>
    <w:p>
      <w:pPr>
        <w:pStyle w:val="Heading2"/>
      </w:pPr>
      <w:r>
        <w:t>Design principles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Principle</w:t>
            </w:r>
          </w:p>
        </w:tc>
        <w:tc>
          <w:tcPr>
            <w:tcW w:type="dxa" w:w="6760"/>
            <w:shd w:fill="0F2747"/>
            <w:tcMar>
              <w:top w:w="90" w:type="dxa"/>
              <w:start w:w="120" w:type="dxa"/>
              <w:bottom w:w="90" w:type="dxa"/>
              <w:end w:w="120" w:type="dxa"/>
            </w:tcMar>
            <w:vAlign w:val="center"/>
          </w:tcPr>
          <w:p>
            <w:r>
              <w:rPr>
                <w:rFonts w:ascii="Calibri" w:hAnsi="Calibri"/>
                <w:b/>
                <w:color w:val="FFFFFF"/>
                <w:sz w:val="18"/>
              </w:rPr>
              <w:t>How it is applied</w:t>
            </w:r>
          </w:p>
        </w:tc>
      </w:tr>
      <w:tr>
        <w:tc>
          <w:tcPr>
            <w:tcW w:type="dxa" w:w="2600"/>
            <w:shd w:fill="F7FAFF"/>
            <w:tcMar>
              <w:top w:w="90" w:type="dxa"/>
              <w:start w:w="120" w:type="dxa"/>
              <w:bottom w:w="90" w:type="dxa"/>
              <w:end w:w="120" w:type="dxa"/>
            </w:tcMar>
            <w:vAlign w:val="center"/>
          </w:tcPr>
          <w:p>
            <w:r>
              <w:rPr>
                <w:rFonts w:ascii="Calibri" w:hAnsi="Calibri"/>
                <w:color w:val="1E293B"/>
                <w:sz w:val="18"/>
              </w:rPr>
              <w:t>Separation of concerns</w:t>
            </w:r>
          </w:p>
        </w:tc>
        <w:tc>
          <w:tcPr>
            <w:tcW w:type="dxa" w:w="6760"/>
            <w:shd w:fill="F7FAFF"/>
            <w:tcMar>
              <w:top w:w="90" w:type="dxa"/>
              <w:start w:w="120" w:type="dxa"/>
              <w:bottom w:w="90" w:type="dxa"/>
              <w:end w:w="120" w:type="dxa"/>
            </w:tcMar>
            <w:vAlign w:val="center"/>
          </w:tcPr>
          <w:p>
            <w:r>
              <w:rPr>
                <w:rFonts w:ascii="Calibri" w:hAnsi="Calibri"/>
                <w:color w:val="1E293B"/>
                <w:sz w:val="18"/>
              </w:rPr>
              <w:t>Angular presents workflows; Spring owns business/database rules; Python owns ML.</w:t>
            </w:r>
          </w:p>
        </w:tc>
      </w:tr>
      <w:tr>
        <w:tc>
          <w:tcPr>
            <w:tcW w:type="dxa" w:w="2600"/>
            <w:tcMar>
              <w:top w:w="90" w:type="dxa"/>
              <w:start w:w="120" w:type="dxa"/>
              <w:bottom w:w="90" w:type="dxa"/>
              <w:end w:w="120" w:type="dxa"/>
            </w:tcMar>
            <w:vAlign w:val="center"/>
          </w:tcPr>
          <w:p>
            <w:r>
              <w:rPr>
                <w:rFonts w:ascii="Calibri" w:hAnsi="Calibri"/>
                <w:color w:val="1E293B"/>
                <w:sz w:val="18"/>
              </w:rPr>
              <w:t>Chronological integrity</w:t>
            </w:r>
          </w:p>
        </w:tc>
        <w:tc>
          <w:tcPr>
            <w:tcW w:type="dxa" w:w="6760"/>
            <w:tcMar>
              <w:top w:w="90" w:type="dxa"/>
              <w:start w:w="120" w:type="dxa"/>
              <w:bottom w:w="90" w:type="dxa"/>
              <w:end w:w="120" w:type="dxa"/>
            </w:tcMar>
            <w:vAlign w:val="center"/>
          </w:tcPr>
          <w:p>
            <w:r>
              <w:rPr>
                <w:rFonts w:ascii="Calibri" w:hAnsi="Calibri"/>
                <w:color w:val="1E293B"/>
                <w:sz w:val="18"/>
              </w:rPr>
              <w:t>Training partitions and holdouts respect transaction time and use oldest observations first.</w:t>
            </w:r>
          </w:p>
        </w:tc>
      </w:tr>
      <w:tr>
        <w:tc>
          <w:tcPr>
            <w:tcW w:type="dxa" w:w="2600"/>
            <w:shd w:fill="F7FAFF"/>
            <w:tcMar>
              <w:top w:w="90" w:type="dxa"/>
              <w:start w:w="120" w:type="dxa"/>
              <w:bottom w:w="90" w:type="dxa"/>
              <w:end w:w="120" w:type="dxa"/>
            </w:tcMar>
            <w:vAlign w:val="center"/>
          </w:tcPr>
          <w:p>
            <w:r>
              <w:rPr>
                <w:rFonts w:ascii="Calibri" w:hAnsi="Calibri"/>
                <w:color w:val="1E293B"/>
                <w:sz w:val="18"/>
              </w:rPr>
              <w:t>Research-production separation</w:t>
            </w:r>
          </w:p>
        </w:tc>
        <w:tc>
          <w:tcPr>
            <w:tcW w:type="dxa" w:w="6760"/>
            <w:shd w:fill="F7FAFF"/>
            <w:tcMar>
              <w:top w:w="90" w:type="dxa"/>
              <w:start w:w="120" w:type="dxa"/>
              <w:bottom w:w="90" w:type="dxa"/>
              <w:end w:w="120" w:type="dxa"/>
            </w:tcMar>
            <w:vAlign w:val="center"/>
          </w:tcPr>
          <w:p>
            <w:r>
              <w:rPr>
                <w:rFonts w:ascii="Calibri" w:hAnsi="Calibri"/>
                <w:color w:val="1E293B"/>
                <w:sz w:val="18"/>
              </w:rPr>
              <w:t>Expensive classical models remain offline; scalable governed models control production.</w:t>
            </w:r>
          </w:p>
        </w:tc>
      </w:tr>
      <w:tr>
        <w:tc>
          <w:tcPr>
            <w:tcW w:type="dxa" w:w="2600"/>
            <w:tcMar>
              <w:top w:w="90" w:type="dxa"/>
              <w:start w:w="120" w:type="dxa"/>
              <w:bottom w:w="90" w:type="dxa"/>
              <w:end w:w="120" w:type="dxa"/>
            </w:tcMar>
            <w:vAlign w:val="center"/>
          </w:tcPr>
          <w:p>
            <w:r>
              <w:rPr>
                <w:rFonts w:ascii="Calibri" w:hAnsi="Calibri"/>
                <w:color w:val="1E293B"/>
                <w:sz w:val="18"/>
              </w:rPr>
              <w:t>Human accountability</w:t>
            </w:r>
          </w:p>
        </w:tc>
        <w:tc>
          <w:tcPr>
            <w:tcW w:type="dxa" w:w="6760"/>
            <w:tcMar>
              <w:top w:w="90" w:type="dxa"/>
              <w:start w:w="120" w:type="dxa"/>
              <w:bottom w:w="90" w:type="dxa"/>
              <w:end w:w="120" w:type="dxa"/>
            </w:tcMar>
            <w:vAlign w:val="center"/>
          </w:tcPr>
          <w:p>
            <w:r>
              <w:rPr>
                <w:rFonts w:ascii="Calibri" w:hAnsi="Calibri"/>
                <w:color w:val="1E293B"/>
                <w:sz w:val="18"/>
              </w:rPr>
              <w:t>Cases end in reviewer decisions; no model claims fraud confirmation.</w:t>
            </w:r>
          </w:p>
        </w:tc>
      </w:tr>
      <w:tr>
        <w:tc>
          <w:tcPr>
            <w:tcW w:type="dxa" w:w="2600"/>
            <w:shd w:fill="F7FAFF"/>
            <w:tcMar>
              <w:top w:w="90" w:type="dxa"/>
              <w:start w:w="120" w:type="dxa"/>
              <w:bottom w:w="90" w:type="dxa"/>
              <w:end w:w="120" w:type="dxa"/>
            </w:tcMar>
            <w:vAlign w:val="center"/>
          </w:tcPr>
          <w:p>
            <w:r>
              <w:rPr>
                <w:rFonts w:ascii="Calibri" w:hAnsi="Calibri"/>
                <w:color w:val="1E293B"/>
                <w:sz w:val="18"/>
              </w:rPr>
              <w:t>Reproducibility</w:t>
            </w:r>
          </w:p>
        </w:tc>
        <w:tc>
          <w:tcPr>
            <w:tcW w:type="dxa" w:w="6760"/>
            <w:shd w:fill="F7FAFF"/>
            <w:tcMar>
              <w:top w:w="90" w:type="dxa"/>
              <w:start w:w="120" w:type="dxa"/>
              <w:bottom w:w="90" w:type="dxa"/>
              <w:end w:w="120" w:type="dxa"/>
            </w:tcMar>
            <w:vAlign w:val="center"/>
          </w:tcPr>
          <w:p>
            <w:r>
              <w:rPr>
                <w:rFonts w:ascii="Calibri" w:hAnsi="Calibri"/>
                <w:color w:val="1E293B"/>
                <w:sz w:val="18"/>
              </w:rPr>
              <w:t>Training windows, cutoffs, feature versions, checksums, parameters, and artifacts are persisted.</w:t>
            </w:r>
          </w:p>
        </w:tc>
      </w:tr>
      <w:tr>
        <w:tc>
          <w:tcPr>
            <w:tcW w:type="dxa" w:w="2600"/>
            <w:tcMar>
              <w:top w:w="90" w:type="dxa"/>
              <w:start w:w="120" w:type="dxa"/>
              <w:bottom w:w="90" w:type="dxa"/>
              <w:end w:w="120" w:type="dxa"/>
            </w:tcMar>
            <w:vAlign w:val="center"/>
          </w:tcPr>
          <w:p>
            <w:r>
              <w:rPr>
                <w:rFonts w:ascii="Calibri" w:hAnsi="Calibri"/>
                <w:color w:val="1E293B"/>
                <w:sz w:val="18"/>
              </w:rPr>
              <w:t>Fail-safe change</w:t>
            </w:r>
          </w:p>
        </w:tc>
        <w:tc>
          <w:tcPr>
            <w:tcW w:type="dxa" w:w="6760"/>
            <w:tcMar>
              <w:top w:w="90" w:type="dxa"/>
              <w:start w:w="120" w:type="dxa"/>
              <w:bottom w:w="90" w:type="dxa"/>
              <w:end w:w="120" w:type="dxa"/>
            </w:tcMar>
            <w:vAlign w:val="center"/>
          </w:tcPr>
          <w:p>
            <w:r>
              <w:rPr>
                <w:rFonts w:ascii="Calibri" w:hAnsi="Calibri"/>
                <w:color w:val="1E293B"/>
                <w:sz w:val="18"/>
              </w:rPr>
              <w:t>Candidates score silently before validation; promotion is explicit and rollback is atomic.</w:t>
            </w:r>
          </w:p>
        </w:tc>
      </w:tr>
      <w:tr>
        <w:tc>
          <w:tcPr>
            <w:tcW w:type="dxa" w:w="2600"/>
            <w:shd w:fill="F7FAFF"/>
            <w:tcMar>
              <w:top w:w="90" w:type="dxa"/>
              <w:start w:w="120" w:type="dxa"/>
              <w:bottom w:w="90" w:type="dxa"/>
              <w:end w:w="120" w:type="dxa"/>
            </w:tcMar>
            <w:vAlign w:val="center"/>
          </w:tcPr>
          <w:p>
            <w:r>
              <w:rPr>
                <w:rFonts w:ascii="Calibri" w:hAnsi="Calibri"/>
                <w:color w:val="1E293B"/>
                <w:sz w:val="18"/>
              </w:rPr>
              <w:t>Bounded resource use</w:t>
            </w:r>
          </w:p>
        </w:tc>
        <w:tc>
          <w:tcPr>
            <w:tcW w:type="dxa" w:w="6760"/>
            <w:shd w:fill="F7FAFF"/>
            <w:tcMar>
              <w:top w:w="90" w:type="dxa"/>
              <w:start w:w="120" w:type="dxa"/>
              <w:bottom w:w="90" w:type="dxa"/>
              <w:end w:w="120" w:type="dxa"/>
            </w:tcMar>
            <w:vAlign w:val="center"/>
          </w:tcPr>
          <w:p>
            <w:r>
              <w:rPr>
                <w:rFonts w:ascii="Calibri" w:hAnsi="Calibri"/>
                <w:color w:val="1E293B"/>
                <w:sz w:val="18"/>
              </w:rPr>
              <w:t>Training data is exported/read in chunks; HST state does not grow with lifetime transaction count.</w:t>
            </w:r>
          </w:p>
        </w:tc>
      </w:tr>
    </w:tbl>
    <w:p>
      <w:pPr>
        <w:spacing w:after="0"/>
      </w:pPr>
    </w:p>
    <w:p>
      <w:pPr>
        <w:pStyle w:val="Heading1"/>
      </w:pPr>
      <w:r>
        <w:t>2. Current Architecture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Angular UI</w:t>
            </w:r>
          </w:p>
          <w:p>
            <w:pPr>
              <w:jc w:val="center"/>
            </w:pPr>
            <w:r>
              <w:rPr>
                <w:rFonts w:ascii="Calibri" w:hAnsi="Calibri"/>
                <w:color w:val="1E293B"/>
                <w:sz w:val="16"/>
              </w:rPr>
              <w:t>Authentication, model reports, governance, cases</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Spring Boot</w:t>
            </w:r>
          </w:p>
          <w:p>
            <w:pPr>
              <w:jc w:val="center"/>
            </w:pPr>
            <w:r>
              <w:rPr>
                <w:rFonts w:ascii="Calibri" w:hAnsi="Calibri"/>
                <w:color w:val="1E293B"/>
                <w:sz w:val="16"/>
              </w:rPr>
              <w:t>Business rules, APIs, SQL ownership, audit</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FastAPI</w:t>
            </w:r>
          </w:p>
          <w:p>
            <w:pPr>
              <w:jc w:val="center"/>
            </w:pPr>
            <w:r>
              <w:rPr>
                <w:rFonts w:ascii="Calibri" w:hAnsi="Calibri"/>
                <w:color w:val="1E293B"/>
                <w:sz w:val="16"/>
              </w:rPr>
              <w:t>Training, artifact verification, scoring</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SQL Server + files</w:t>
            </w:r>
          </w:p>
          <w:p>
            <w:pPr>
              <w:jc w:val="center"/>
            </w:pPr>
            <w:r>
              <w:rPr>
                <w:rFonts w:ascii="Calibri" w:hAnsi="Calibri"/>
                <w:color w:val="1E293B"/>
                <w:sz w:val="16"/>
              </w:rPr>
              <w:t>Operational data, registry, Parquet, model bundles</w:t>
            </w:r>
          </w:p>
        </w:tc>
      </w:tr>
    </w:tbl>
    <w:p>
      <w:pPr>
        <w:spacing w:after="0"/>
      </w:pPr>
    </w:p>
    <w:p>
      <w:pPr>
        <w:pStyle w:val="Heading2"/>
      </w:pPr>
      <w:r>
        <w:t>Why a modular monolith for Java</w:t>
      </w:r>
    </w:p>
    <w:p>
      <w:r>
        <w:rPr>
          <w:rFonts w:ascii="Calibri" w:hAnsi="Calibri"/>
          <w:color w:val="1E293B"/>
        </w:rPr>
        <w:t>The project originally considered separate Java authentication, gateway, and case services. They were consolidated into one Spring Boot modular monolith because the system is currently developed and operated as one product, uses one SQL Server database, and benefits from local transactions across ingestion, prediction logging, alert creation, and case creation.</w:t>
      </w:r>
    </w:p>
    <w:p>
      <w:pPr>
        <w:pStyle w:val="ListBullet"/>
      </w:pPr>
      <w:r>
        <w:rPr>
          <w:rFonts w:ascii="Calibri" w:hAnsi="Calibri"/>
          <w:color w:val="1E293B"/>
        </w:rPr>
        <w:t>Lower deployment and debugging complexity for the current team and academic environment.</w:t>
      </w:r>
    </w:p>
    <w:p>
      <w:pPr>
        <w:pStyle w:val="ListBullet"/>
      </w:pPr>
      <w:r>
        <w:rPr>
          <w:rFonts w:ascii="Calibri" w:hAnsi="Calibri"/>
          <w:color w:val="1E293B"/>
        </w:rPr>
        <w:t>No network hop between authentication, transaction, fraud, and case modules.</w:t>
      </w:r>
    </w:p>
    <w:p>
      <w:pPr>
        <w:pStyle w:val="ListBullet"/>
      </w:pPr>
      <w:r>
        <w:rPr>
          <w:rFonts w:ascii="Calibri" w:hAnsi="Calibri"/>
          <w:color w:val="1E293B"/>
        </w:rPr>
        <w:t>Database transactions remain coherent across tightly coupled business actions.</w:t>
      </w:r>
    </w:p>
    <w:p>
      <w:pPr>
        <w:pStyle w:val="ListBullet"/>
      </w:pPr>
      <w:r>
        <w:rPr>
          <w:rFonts w:ascii="Calibri" w:hAnsi="Calibri"/>
          <w:color w:val="1E293B"/>
        </w:rPr>
        <w:t>Internal package/module boundaries preserve a future path to extraction if independent scale or ownership justifies it.</w:t>
      </w:r>
    </w:p>
    <w:p>
      <w:pPr>
        <w:pStyle w:val="Heading2"/>
      </w:pPr>
      <w:r>
        <w:t>Component responsibilities</w:t>
      </w:r>
    </w:p>
    <w:tbl>
      <w:tblPr>
        <w:tblStyle w:val="TableGrid"/>
        <w:tblW w:type="dxa" w:w="9360"/>
        <w:jc w:val="left"/>
        <w:tblLayout w:type="fixed"/>
        <w:tblLook w:firstColumn="1" w:firstRow="1" w:lastColumn="0" w:lastRow="0" w:noHBand="0" w:noVBand="1" w:val="04A0"/>
        <w:tblInd w:w="120" w:type="dxa"/>
      </w:tblPr>
      <w:tblGrid>
        <w:gridCol w:w="1700"/>
        <w:gridCol w:w="4900"/>
        <w:gridCol w:w="2760"/>
      </w:tblGrid>
      <w:tr>
        <w:trPr>
          <w:tblHeader w:val="true"/>
        </w:trPr>
        <w:tc>
          <w:tcPr>
            <w:tcW w:type="dxa" w:w="1700"/>
            <w:shd w:fill="0F2747"/>
            <w:tcMar>
              <w:top w:w="90" w:type="dxa"/>
              <w:start w:w="120" w:type="dxa"/>
              <w:bottom w:w="90" w:type="dxa"/>
              <w:end w:w="120" w:type="dxa"/>
            </w:tcMar>
            <w:vAlign w:val="center"/>
          </w:tcPr>
          <w:p>
            <w:r>
              <w:rPr>
                <w:rFonts w:ascii="Calibri" w:hAnsi="Calibri"/>
                <w:b/>
                <w:color w:val="FFFFFF"/>
                <w:sz w:val="18"/>
              </w:rPr>
              <w:t>Component</w:t>
            </w:r>
          </w:p>
        </w:tc>
        <w:tc>
          <w:tcPr>
            <w:tcW w:type="dxa" w:w="4900"/>
            <w:shd w:fill="0F2747"/>
            <w:tcMar>
              <w:top w:w="90" w:type="dxa"/>
              <w:start w:w="120" w:type="dxa"/>
              <w:bottom w:w="90" w:type="dxa"/>
              <w:end w:w="120" w:type="dxa"/>
            </w:tcMar>
            <w:vAlign w:val="center"/>
          </w:tcPr>
          <w:p>
            <w:r>
              <w:rPr>
                <w:rFonts w:ascii="Calibri" w:hAnsi="Calibri"/>
                <w:b/>
                <w:color w:val="FFFFFF"/>
                <w:sz w:val="18"/>
              </w:rPr>
              <w:t>Responsibilities</w:t>
            </w:r>
          </w:p>
        </w:tc>
        <w:tc>
          <w:tcPr>
            <w:tcW w:type="dxa" w:w="2760"/>
            <w:shd w:fill="0F2747"/>
            <w:tcMar>
              <w:top w:w="90" w:type="dxa"/>
              <w:start w:w="120" w:type="dxa"/>
              <w:bottom w:w="90" w:type="dxa"/>
              <w:end w:w="120" w:type="dxa"/>
            </w:tcMar>
            <w:vAlign w:val="center"/>
          </w:tcPr>
          <w:p>
            <w:r>
              <w:rPr>
                <w:rFonts w:ascii="Calibri" w:hAnsi="Calibri"/>
                <w:b/>
                <w:color w:val="FFFFFF"/>
                <w:sz w:val="18"/>
              </w:rPr>
              <w:t>Explicit non-responsibilities</w:t>
            </w:r>
          </w:p>
        </w:tc>
      </w:tr>
      <w:tr>
        <w:tc>
          <w:tcPr>
            <w:tcW w:type="dxa" w:w="1700"/>
            <w:shd w:fill="F7FAFF"/>
            <w:tcMar>
              <w:top w:w="90" w:type="dxa"/>
              <w:start w:w="120" w:type="dxa"/>
              <w:bottom w:w="90" w:type="dxa"/>
              <w:end w:w="120" w:type="dxa"/>
            </w:tcMar>
            <w:vAlign w:val="center"/>
          </w:tcPr>
          <w:p>
            <w:r>
              <w:rPr>
                <w:rFonts w:ascii="Calibri" w:hAnsi="Calibri"/>
                <w:color w:val="1E293B"/>
                <w:sz w:val="18"/>
              </w:rPr>
              <w:t>Angular</w:t>
            </w:r>
          </w:p>
        </w:tc>
        <w:tc>
          <w:tcPr>
            <w:tcW w:type="dxa" w:w="4900"/>
            <w:shd w:fill="F7FAFF"/>
            <w:tcMar>
              <w:top w:w="90" w:type="dxa"/>
              <w:start w:w="120" w:type="dxa"/>
              <w:bottom w:w="90" w:type="dxa"/>
              <w:end w:w="120" w:type="dxa"/>
            </w:tcMar>
            <w:vAlign w:val="center"/>
          </w:tcPr>
          <w:p>
            <w:r>
              <w:rPr>
                <w:rFonts w:ascii="Calibri" w:hAnsi="Calibri"/>
                <w:color w:val="1E293B"/>
                <w:sz w:val="18"/>
              </w:rPr>
              <w:t>Login, upload, comparison reports, training operations, governance, configuration, case review.</w:t>
            </w:r>
          </w:p>
        </w:tc>
        <w:tc>
          <w:tcPr>
            <w:tcW w:type="dxa" w:w="2760"/>
            <w:shd w:fill="F7FAFF"/>
            <w:tcMar>
              <w:top w:w="90" w:type="dxa"/>
              <w:start w:w="120" w:type="dxa"/>
              <w:bottom w:w="90" w:type="dxa"/>
              <w:end w:w="120" w:type="dxa"/>
            </w:tcMar>
            <w:vAlign w:val="center"/>
          </w:tcPr>
          <w:p>
            <w:r>
              <w:rPr>
                <w:rFonts w:ascii="Calibri" w:hAnsi="Calibri"/>
                <w:color w:val="1E293B"/>
                <w:sz w:val="18"/>
              </w:rPr>
              <w:t>No SQL access and no direct Python calls.</w:t>
            </w:r>
          </w:p>
        </w:tc>
      </w:tr>
      <w:tr>
        <w:tc>
          <w:tcPr>
            <w:tcW w:type="dxa" w:w="1700"/>
            <w:tcMar>
              <w:top w:w="90" w:type="dxa"/>
              <w:start w:w="120" w:type="dxa"/>
              <w:bottom w:w="90" w:type="dxa"/>
              <w:end w:w="120" w:type="dxa"/>
            </w:tcMar>
            <w:vAlign w:val="center"/>
          </w:tcPr>
          <w:p>
            <w:r>
              <w:rPr>
                <w:rFonts w:ascii="Calibri" w:hAnsi="Calibri"/>
                <w:color w:val="1E293B"/>
                <w:sz w:val="18"/>
              </w:rPr>
              <w:t>Spring Boot</w:t>
            </w:r>
          </w:p>
        </w:tc>
        <w:tc>
          <w:tcPr>
            <w:tcW w:type="dxa" w:w="4900"/>
            <w:tcMar>
              <w:top w:w="90" w:type="dxa"/>
              <w:start w:w="120" w:type="dxa"/>
              <w:bottom w:w="90" w:type="dxa"/>
              <w:end w:w="120" w:type="dxa"/>
            </w:tcMar>
            <w:vAlign w:val="center"/>
          </w:tcPr>
          <w:p>
            <w:r>
              <w:rPr>
                <w:rFonts w:ascii="Calibri" w:hAnsi="Calibri"/>
                <w:color w:val="1E293B"/>
                <w:sz w:val="18"/>
              </w:rPr>
              <w:t>JWT, transaction ingestion, account context, persisted features, training orchestration, model registry, deployment pointers, alerts, cases, STR XML.</w:t>
            </w:r>
          </w:p>
        </w:tc>
        <w:tc>
          <w:tcPr>
            <w:tcW w:type="dxa" w:w="2760"/>
            <w:tcMar>
              <w:top w:w="90" w:type="dxa"/>
              <w:start w:w="120" w:type="dxa"/>
              <w:bottom w:w="90" w:type="dxa"/>
              <w:end w:w="120" w:type="dxa"/>
            </w:tcMar>
            <w:vAlign w:val="center"/>
          </w:tcPr>
          <w:p>
            <w:r>
              <w:rPr>
                <w:rFonts w:ascii="Calibri" w:hAnsi="Calibri"/>
                <w:color w:val="1E293B"/>
                <w:sz w:val="18"/>
              </w:rPr>
              <w:t>Does not fit ML algorithms.</w:t>
            </w:r>
          </w:p>
        </w:tc>
      </w:tr>
      <w:tr>
        <w:tc>
          <w:tcPr>
            <w:tcW w:type="dxa" w:w="1700"/>
            <w:shd w:fill="F7FAFF"/>
            <w:tcMar>
              <w:top w:w="90" w:type="dxa"/>
              <w:start w:w="120" w:type="dxa"/>
              <w:bottom w:w="90" w:type="dxa"/>
              <w:end w:w="120" w:type="dxa"/>
            </w:tcMar>
            <w:vAlign w:val="center"/>
          </w:tcPr>
          <w:p>
            <w:r>
              <w:rPr>
                <w:rFonts w:ascii="Calibri" w:hAnsi="Calibri"/>
                <w:color w:val="1E293B"/>
                <w:sz w:val="18"/>
              </w:rPr>
              <w:t>FastAPI</w:t>
            </w:r>
          </w:p>
        </w:tc>
        <w:tc>
          <w:tcPr>
            <w:tcW w:type="dxa" w:w="4900"/>
            <w:shd w:fill="F7FAFF"/>
            <w:tcMar>
              <w:top w:w="90" w:type="dxa"/>
              <w:start w:w="120" w:type="dxa"/>
              <w:bottom w:w="90" w:type="dxa"/>
              <w:end w:w="120" w:type="dxa"/>
            </w:tcMar>
            <w:vAlign w:val="center"/>
          </w:tcPr>
          <w:p>
            <w:r>
              <w:rPr>
                <w:rFonts w:ascii="Calibri" w:hAnsi="Calibri"/>
                <w:color w:val="1E293B"/>
                <w:sz w:val="18"/>
              </w:rPr>
              <w:t>Offline research training, HST and Online OCSVM incremental training, artifact bundles, and persisted-feature scoring.</w:t>
            </w:r>
          </w:p>
        </w:tc>
        <w:tc>
          <w:tcPr>
            <w:tcW w:type="dxa" w:w="2760"/>
            <w:shd w:fill="F7FAFF"/>
            <w:tcMar>
              <w:top w:w="90" w:type="dxa"/>
              <w:start w:w="120" w:type="dxa"/>
              <w:bottom w:w="90" w:type="dxa"/>
              <w:end w:w="120" w:type="dxa"/>
            </w:tcMar>
            <w:vAlign w:val="center"/>
          </w:tcPr>
          <w:p>
            <w:r>
              <w:rPr>
                <w:rFonts w:ascii="Calibri" w:hAnsi="Calibri"/>
                <w:color w:val="1E293B"/>
                <w:sz w:val="18"/>
              </w:rPr>
              <w:t>Does not access SQL Server directly, aggregate final business risk, or decide case workflow.</w:t>
            </w:r>
          </w:p>
        </w:tc>
      </w:tr>
      <w:tr>
        <w:tc>
          <w:tcPr>
            <w:tcW w:type="dxa" w:w="1700"/>
            <w:tcMar>
              <w:top w:w="90" w:type="dxa"/>
              <w:start w:w="120" w:type="dxa"/>
              <w:bottom w:w="90" w:type="dxa"/>
              <w:end w:w="120" w:type="dxa"/>
            </w:tcMar>
            <w:vAlign w:val="center"/>
          </w:tcPr>
          <w:p>
            <w:r>
              <w:rPr>
                <w:rFonts w:ascii="Calibri" w:hAnsi="Calibri"/>
                <w:color w:val="1E293B"/>
                <w:sz w:val="18"/>
              </w:rPr>
              <w:t>SQL Server</w:t>
            </w:r>
          </w:p>
        </w:tc>
        <w:tc>
          <w:tcPr>
            <w:tcW w:type="dxa" w:w="4900"/>
            <w:tcMar>
              <w:top w:w="90" w:type="dxa"/>
              <w:start w:w="120" w:type="dxa"/>
              <w:bottom w:w="90" w:type="dxa"/>
              <w:end w:w="120" w:type="dxa"/>
            </w:tcMar>
            <w:vAlign w:val="center"/>
          </w:tcPr>
          <w:p>
            <w:r>
              <w:rPr>
                <w:rFonts w:ascii="Calibri" w:hAnsi="Calibri"/>
                <w:color w:val="1E293B"/>
                <w:sz w:val="18"/>
              </w:rPr>
              <w:t>System of record for transactions, configuration, features, learning decisions, predictions, registry, validation, deployments, alerts, and cases.</w:t>
            </w:r>
          </w:p>
        </w:tc>
        <w:tc>
          <w:tcPr>
            <w:tcW w:type="dxa" w:w="2760"/>
            <w:tcMar>
              <w:top w:w="90" w:type="dxa"/>
              <w:start w:w="120" w:type="dxa"/>
              <w:bottom w:w="90" w:type="dxa"/>
              <w:end w:w="120" w:type="dxa"/>
            </w:tcMar>
            <w:vAlign w:val="center"/>
          </w:tcPr>
          <w:p>
            <w:r>
              <w:rPr>
                <w:rFonts w:ascii="Calibri" w:hAnsi="Calibri"/>
                <w:color w:val="1E293B"/>
                <w:sz w:val="18"/>
              </w:rPr>
              <w:t>Does not perform ML training.</w:t>
            </w:r>
          </w:p>
        </w:tc>
      </w:tr>
      <w:tr>
        <w:tc>
          <w:tcPr>
            <w:tcW w:type="dxa" w:w="1700"/>
            <w:shd w:fill="F7FAFF"/>
            <w:tcMar>
              <w:top w:w="90" w:type="dxa"/>
              <w:start w:w="120" w:type="dxa"/>
              <w:bottom w:w="90" w:type="dxa"/>
              <w:end w:w="120" w:type="dxa"/>
            </w:tcMar>
            <w:vAlign w:val="center"/>
          </w:tcPr>
          <w:p>
            <w:r>
              <w:rPr>
                <w:rFonts w:ascii="Calibri" w:hAnsi="Calibri"/>
                <w:color w:val="1E293B"/>
                <w:sz w:val="18"/>
              </w:rPr>
              <w:t>Parquet/artifact storage</w:t>
            </w:r>
          </w:p>
        </w:tc>
        <w:tc>
          <w:tcPr>
            <w:tcW w:type="dxa" w:w="4900"/>
            <w:shd w:fill="F7FAFF"/>
            <w:tcMar>
              <w:top w:w="90" w:type="dxa"/>
              <w:start w:w="120" w:type="dxa"/>
              <w:bottom w:w="90" w:type="dxa"/>
              <w:end w:w="120" w:type="dxa"/>
            </w:tcMar>
            <w:vAlign w:val="center"/>
          </w:tcPr>
          <w:p>
            <w:r>
              <w:rPr>
                <w:rFonts w:ascii="Calibri" w:hAnsi="Calibri"/>
                <w:color w:val="1E293B"/>
                <w:sz w:val="18"/>
              </w:rPr>
              <w:t>Immutable chunked datasets and versioned model bundles with checksums.</w:t>
            </w:r>
          </w:p>
        </w:tc>
        <w:tc>
          <w:tcPr>
            <w:tcW w:type="dxa" w:w="2760"/>
            <w:shd w:fill="F7FAFF"/>
            <w:tcMar>
              <w:top w:w="90" w:type="dxa"/>
              <w:start w:w="120" w:type="dxa"/>
              <w:bottom w:w="90" w:type="dxa"/>
              <w:end w:w="120" w:type="dxa"/>
            </w:tcMar>
            <w:vAlign w:val="center"/>
          </w:tcPr>
          <w:p>
            <w:r>
              <w:rPr>
                <w:rFonts w:ascii="Calibri" w:hAnsi="Calibri"/>
                <w:color w:val="1E293B"/>
                <w:sz w:val="18"/>
              </w:rPr>
              <w:t>Does not replace operational SQL records.</w:t>
            </w:r>
          </w:p>
        </w:tc>
      </w:tr>
    </w:tbl>
    <w:p>
      <w:pPr>
        <w:spacing w:after="0"/>
      </w:pPr>
    </w:p>
    <w:p>
      <w:pPr>
        <w:pStyle w:val="Heading2"/>
      </w:pPr>
      <w:r>
        <w:t>Application ports and call direction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AFC"/>
            <w:tcMar>
              <w:top w:w="90" w:type="dxa"/>
              <w:start w:w="120" w:type="dxa"/>
              <w:bottom w:w="90" w:type="dxa"/>
              <w:end w:w="120" w:type="dxa"/>
            </w:tcMar>
            <w:vAlign w:val="center"/>
          </w:tcPr>
          <w:p>
            <w:pPr>
              <w:spacing w:after="0"/>
            </w:pPr>
            <w:r>
              <w:rPr>
                <w:rFonts w:ascii="Consolas" w:hAnsi="Consolas"/>
                <w:color w:val="0F2747"/>
                <w:sz w:val="17"/>
              </w:rPr>
              <w:t>Browser :4200 -&gt; Spring Boot :8080 -&gt; FastAPI :8000</w:t>
            </w:r>
            <w:r>
              <w:br/>
            </w:r>
            <w:r>
              <w:rPr>
                <w:rFonts w:ascii="Consolas" w:hAnsi="Consolas"/>
                <w:color w:val="0F2747"/>
                <w:sz w:val="17"/>
              </w:rPr>
              <w:t xml:space="preserve">                              |</w:t>
            </w:r>
            <w:r>
              <w:br/>
            </w:r>
            <w:r>
              <w:rPr>
                <w:rFonts w:ascii="Consolas" w:hAnsi="Consolas"/>
                <w:color w:val="0F2747"/>
                <w:sz w:val="17"/>
              </w:rPr>
              <w:t xml:space="preserve">                              +-&gt; SQL Server :1433</w:t>
            </w:r>
            <w:r>
              <w:br/>
            </w:r>
            <w:r>
              <w:rPr>
                <w:rFonts w:ascii="Consolas" w:hAnsi="Consolas"/>
                <w:color w:val="0F2747"/>
                <w:sz w:val="17"/>
              </w:rPr>
              <w:t xml:space="preserve">                              +-&gt; Parquet/model artifact paths</w:t>
            </w:r>
          </w:p>
        </w:tc>
      </w:tr>
    </w:tbl>
    <w:p>
      <w:pPr>
        <w:pStyle w:val="Heading1"/>
      </w:pPr>
      <w:r>
        <w:t>3. Data Ingestion and Persistence</w:t>
      </w:r>
    </w:p>
    <w:p>
      <w:pPr>
        <w:pStyle w:val="Heading2"/>
      </w:pPr>
      <w:r>
        <w:t>Two ingestion modes</w:t>
      </w:r>
    </w:p>
    <w:p>
      <w:r>
        <w:rPr>
          <w:rFonts w:ascii="Calibri" w:hAnsi="Calibri"/>
          <w:color w:val="1E293B"/>
        </w:rPr>
        <w:t>Bulk upload accepts Excel and CSV for historical or batch loading. The transaction API supports ongoing system integration. Both routes persist transactions in SQL Server, allowing later training to run independently of file upload.</w:t>
      </w:r>
    </w:p>
    <w:p>
      <w:pPr>
        <w:pStyle w:val="Heading2"/>
      </w:pPr>
      <w:r>
        <w:t>Why training is decoupled from upload</w:t>
      </w:r>
    </w:p>
    <w:p>
      <w:pPr>
        <w:pStyle w:val="ListBullet"/>
      </w:pPr>
      <w:r>
        <w:rPr>
          <w:rFonts w:ascii="Calibri" w:hAnsi="Calibri"/>
          <w:color w:val="1E293B"/>
        </w:rPr>
        <w:t>A bank may ingest transactions continuously through APIs throughout the day.</w:t>
      </w:r>
    </w:p>
    <w:p>
      <w:pPr>
        <w:pStyle w:val="ListBullet"/>
      </w:pPr>
      <w:r>
        <w:rPr>
          <w:rFonts w:ascii="Calibri" w:hAnsi="Calibri"/>
          <w:color w:val="1E293B"/>
        </w:rPr>
        <w:t>Training can be scheduled after business hours or triggered by drift instead of after each upload.</w:t>
      </w:r>
    </w:p>
    <w:p>
      <w:pPr>
        <w:pStyle w:val="ListBullet"/>
      </w:pPr>
      <w:r>
        <w:rPr>
          <w:rFonts w:ascii="Calibri" w:hAnsi="Calibri"/>
          <w:color w:val="1E293B"/>
        </w:rPr>
        <w:t>One database snapshot can represent all eligible data regardless of its ingestion channel.</w:t>
      </w:r>
    </w:p>
    <w:p>
      <w:pPr>
        <w:pStyle w:val="ListBullet"/>
      </w:pPr>
      <w:r>
        <w:rPr>
          <w:rFonts w:ascii="Calibri" w:hAnsi="Calibri"/>
          <w:color w:val="1E293B"/>
        </w:rPr>
        <w:t>Operational ingestion latency is not blocked by expensive model fitting.</w:t>
      </w:r>
    </w:p>
    <w:p>
      <w:pPr>
        <w:pStyle w:val="Heading2"/>
      </w:pPr>
      <w:r>
        <w:t>Important persistence groups</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trPr>
        <w:tc>
          <w:tcPr>
            <w:tcW w:type="dxa" w:w="1900"/>
            <w:shd w:fill="0F2747"/>
            <w:tcMar>
              <w:top w:w="90" w:type="dxa"/>
              <w:start w:w="120" w:type="dxa"/>
              <w:bottom w:w="90" w:type="dxa"/>
              <w:end w:w="120" w:type="dxa"/>
            </w:tcMar>
            <w:vAlign w:val="center"/>
          </w:tcPr>
          <w:p>
            <w:r>
              <w:rPr>
                <w:rFonts w:ascii="Calibri" w:hAnsi="Calibri"/>
                <w:b/>
                <w:color w:val="FFFFFF"/>
                <w:sz w:val="18"/>
              </w:rPr>
              <w:t>Data group</w:t>
            </w:r>
          </w:p>
        </w:tc>
        <w:tc>
          <w:tcPr>
            <w:tcW w:type="dxa" w:w="4200"/>
            <w:shd w:fill="0F2747"/>
            <w:tcMar>
              <w:top w:w="90" w:type="dxa"/>
              <w:start w:w="120" w:type="dxa"/>
              <w:bottom w:w="90" w:type="dxa"/>
              <w:end w:w="120" w:type="dxa"/>
            </w:tcMar>
            <w:vAlign w:val="center"/>
          </w:tcPr>
          <w:p>
            <w:r>
              <w:rPr>
                <w:rFonts w:ascii="Calibri" w:hAnsi="Calibri"/>
                <w:b/>
                <w:color w:val="FFFFFF"/>
                <w:sz w:val="18"/>
              </w:rPr>
              <w:t>Examples</w:t>
            </w:r>
          </w:p>
        </w:tc>
        <w:tc>
          <w:tcPr>
            <w:tcW w:type="dxa" w:w="3260"/>
            <w:shd w:fill="0F2747"/>
            <w:tcMar>
              <w:top w:w="90" w:type="dxa"/>
              <w:start w:w="120" w:type="dxa"/>
              <w:bottom w:w="90" w:type="dxa"/>
              <w:end w:w="120" w:type="dxa"/>
            </w:tcMar>
            <w:vAlign w:val="center"/>
          </w:tcPr>
          <w:p>
            <w:r>
              <w:rPr>
                <w:rFonts w:ascii="Calibri" w:hAnsi="Calibri"/>
                <w:b/>
                <w:color w:val="FFFFFF"/>
                <w:sz w:val="18"/>
              </w:rPr>
              <w:t>Purpose</w:t>
            </w:r>
          </w:p>
        </w:tc>
      </w:tr>
      <w:tr>
        <w:tc>
          <w:tcPr>
            <w:tcW w:type="dxa" w:w="1900"/>
            <w:shd w:fill="F7FAFF"/>
            <w:tcMar>
              <w:top w:w="90" w:type="dxa"/>
              <w:start w:w="120" w:type="dxa"/>
              <w:bottom w:w="90" w:type="dxa"/>
              <w:end w:w="120" w:type="dxa"/>
            </w:tcMar>
            <w:vAlign w:val="center"/>
          </w:tcPr>
          <w:p>
            <w:r>
              <w:rPr>
                <w:rFonts w:ascii="Calibri" w:hAnsi="Calibri"/>
                <w:color w:val="1E293B"/>
                <w:sz w:val="18"/>
              </w:rPr>
              <w:t>Operational</w:t>
            </w:r>
          </w:p>
        </w:tc>
        <w:tc>
          <w:tcPr>
            <w:tcW w:type="dxa" w:w="4200"/>
            <w:shd w:fill="F7FAFF"/>
            <w:tcMar>
              <w:top w:w="90" w:type="dxa"/>
              <w:start w:w="120" w:type="dxa"/>
              <w:bottom w:w="90" w:type="dxa"/>
              <w:end w:w="120" w:type="dxa"/>
            </w:tcMar>
            <w:vAlign w:val="center"/>
          </w:tcPr>
          <w:p>
            <w:r>
              <w:rPr>
                <w:rFonts w:ascii="Calibri" w:hAnsi="Calibri"/>
                <w:color w:val="1E293B"/>
                <w:sz w:val="18"/>
              </w:rPr>
              <w:t>transactions, bulk_upload_batches</w:t>
            </w:r>
          </w:p>
        </w:tc>
        <w:tc>
          <w:tcPr>
            <w:tcW w:type="dxa" w:w="3260"/>
            <w:shd w:fill="F7FAFF"/>
            <w:tcMar>
              <w:top w:w="90" w:type="dxa"/>
              <w:start w:w="120" w:type="dxa"/>
              <w:bottom w:w="90" w:type="dxa"/>
              <w:end w:w="120" w:type="dxa"/>
            </w:tcMar>
            <w:vAlign w:val="center"/>
          </w:tcPr>
          <w:p>
            <w:r>
              <w:rPr>
                <w:rFonts w:ascii="Calibri" w:hAnsi="Calibri"/>
                <w:color w:val="1E293B"/>
                <w:sz w:val="18"/>
              </w:rPr>
              <w:t>Immutable transaction history and ingestion audit.</w:t>
            </w:r>
          </w:p>
        </w:tc>
      </w:tr>
      <w:tr>
        <w:tc>
          <w:tcPr>
            <w:tcW w:type="dxa" w:w="1900"/>
            <w:tcMar>
              <w:top w:w="90" w:type="dxa"/>
              <w:start w:w="120" w:type="dxa"/>
              <w:bottom w:w="90" w:type="dxa"/>
              <w:end w:w="120" w:type="dxa"/>
            </w:tcMar>
            <w:vAlign w:val="center"/>
          </w:tcPr>
          <w:p>
            <w:r>
              <w:rPr>
                <w:rFonts w:ascii="Calibri" w:hAnsi="Calibri"/>
                <w:color w:val="1E293B"/>
                <w:sz w:val="18"/>
              </w:rPr>
              <w:t>Prediction</w:t>
            </w:r>
          </w:p>
        </w:tc>
        <w:tc>
          <w:tcPr>
            <w:tcW w:type="dxa" w:w="4200"/>
            <w:tcMar>
              <w:top w:w="90" w:type="dxa"/>
              <w:start w:w="120" w:type="dxa"/>
              <w:bottom w:w="90" w:type="dxa"/>
              <w:end w:w="120" w:type="dxa"/>
            </w:tcMar>
            <w:vAlign w:val="center"/>
          </w:tcPr>
          <w:p>
            <w:r>
              <w:rPr>
                <w:rFonts w:ascii="Calibri" w:hAnsi="Calibri"/>
                <w:color w:val="1E293B"/>
                <w:sz w:val="18"/>
              </w:rPr>
              <w:t>fraud_prediction_logs, fraud_alerts</w:t>
            </w:r>
          </w:p>
        </w:tc>
        <w:tc>
          <w:tcPr>
            <w:tcW w:type="dxa" w:w="3260"/>
            <w:tcMar>
              <w:top w:w="90" w:type="dxa"/>
              <w:start w:w="120" w:type="dxa"/>
              <w:bottom w:w="90" w:type="dxa"/>
              <w:end w:w="120" w:type="dxa"/>
            </w:tcMar>
            <w:vAlign w:val="center"/>
          </w:tcPr>
          <w:p>
            <w:r>
              <w:rPr>
                <w:rFonts w:ascii="Calibri" w:hAnsi="Calibri"/>
                <w:color w:val="1E293B"/>
                <w:sz w:val="18"/>
              </w:rPr>
              <w:t>Model inputs/outputs, scores, risk, reasons, and alert review.</w:t>
            </w:r>
          </w:p>
        </w:tc>
      </w:tr>
      <w:tr>
        <w:tc>
          <w:tcPr>
            <w:tcW w:type="dxa" w:w="1900"/>
            <w:shd w:fill="F7FAFF"/>
            <w:tcMar>
              <w:top w:w="90" w:type="dxa"/>
              <w:start w:w="120" w:type="dxa"/>
              <w:bottom w:w="90" w:type="dxa"/>
              <w:end w:w="120" w:type="dxa"/>
            </w:tcMar>
            <w:vAlign w:val="center"/>
          </w:tcPr>
          <w:p>
            <w:r>
              <w:rPr>
                <w:rFonts w:ascii="Calibri" w:hAnsi="Calibri"/>
                <w:color w:val="1E293B"/>
                <w:sz w:val="18"/>
              </w:rPr>
              <w:t>Cases</w:t>
            </w:r>
          </w:p>
        </w:tc>
        <w:tc>
          <w:tcPr>
            <w:tcW w:type="dxa" w:w="4200"/>
            <w:shd w:fill="F7FAFF"/>
            <w:tcMar>
              <w:top w:w="90" w:type="dxa"/>
              <w:start w:w="120" w:type="dxa"/>
              <w:bottom w:w="90" w:type="dxa"/>
              <w:end w:w="120" w:type="dxa"/>
            </w:tcMar>
            <w:vAlign w:val="center"/>
          </w:tcPr>
          <w:p>
            <w:r>
              <w:rPr>
                <w:rFonts w:ascii="Calibri" w:hAnsi="Calibri"/>
                <w:color w:val="1E293B"/>
                <w:sz w:val="18"/>
              </w:rPr>
              <w:t>case records, notes, str_reports</w:t>
            </w:r>
          </w:p>
        </w:tc>
        <w:tc>
          <w:tcPr>
            <w:tcW w:type="dxa" w:w="3260"/>
            <w:shd w:fill="F7FAFF"/>
            <w:tcMar>
              <w:top w:w="90" w:type="dxa"/>
              <w:start w:w="120" w:type="dxa"/>
              <w:bottom w:w="90" w:type="dxa"/>
              <w:end w:w="120" w:type="dxa"/>
            </w:tcMar>
            <w:vAlign w:val="center"/>
          </w:tcPr>
          <w:p>
            <w:r>
              <w:rPr>
                <w:rFonts w:ascii="Calibri" w:hAnsi="Calibri"/>
                <w:color w:val="1E293B"/>
                <w:sz w:val="18"/>
              </w:rPr>
              <w:t>Human investigation and reporting trail.</w:t>
            </w:r>
          </w:p>
        </w:tc>
      </w:tr>
      <w:tr>
        <w:tc>
          <w:tcPr>
            <w:tcW w:type="dxa" w:w="1900"/>
            <w:tcMar>
              <w:top w:w="90" w:type="dxa"/>
              <w:start w:w="120" w:type="dxa"/>
              <w:bottom w:w="90" w:type="dxa"/>
              <w:end w:w="120" w:type="dxa"/>
            </w:tcMar>
            <w:vAlign w:val="center"/>
          </w:tcPr>
          <w:p>
            <w:r>
              <w:rPr>
                <w:rFonts w:ascii="Calibri" w:hAnsi="Calibri"/>
                <w:color w:val="1E293B"/>
                <w:sz w:val="18"/>
              </w:rPr>
              <w:t>Configuration</w:t>
            </w:r>
          </w:p>
        </w:tc>
        <w:tc>
          <w:tcPr>
            <w:tcW w:type="dxa" w:w="4200"/>
            <w:tcMar>
              <w:top w:w="90" w:type="dxa"/>
              <w:start w:w="120" w:type="dxa"/>
              <w:bottom w:w="90" w:type="dxa"/>
              <w:end w:w="120" w:type="dxa"/>
            </w:tcMar>
            <w:vAlign w:val="center"/>
          </w:tcPr>
          <w:p>
            <w:r>
              <w:rPr>
                <w:rFonts w:ascii="Calibri" w:hAnsi="Calibri"/>
                <w:color w:val="1E293B"/>
                <w:sz w:val="18"/>
              </w:rPr>
              <w:t>app_config, anomaly configuration</w:t>
            </w:r>
          </w:p>
        </w:tc>
        <w:tc>
          <w:tcPr>
            <w:tcW w:type="dxa" w:w="3260"/>
            <w:tcMar>
              <w:top w:w="90" w:type="dxa"/>
              <w:start w:w="120" w:type="dxa"/>
              <w:bottom w:w="90" w:type="dxa"/>
              <w:end w:w="120" w:type="dxa"/>
            </w:tcMar>
            <w:vAlign w:val="center"/>
          </w:tcPr>
          <w:p>
            <w:r>
              <w:rPr>
                <w:rFonts w:ascii="Calibri" w:hAnsi="Calibri"/>
                <w:color w:val="1E293B"/>
                <w:sz w:val="18"/>
              </w:rPr>
              <w:t>Runtime thresholds, feature/training settings, and safety controls.</w:t>
            </w:r>
          </w:p>
        </w:tc>
      </w:tr>
      <w:tr>
        <w:tc>
          <w:tcPr>
            <w:tcW w:type="dxa" w:w="1900"/>
            <w:shd w:fill="F7FAFF"/>
            <w:tcMar>
              <w:top w:w="90" w:type="dxa"/>
              <w:start w:w="120" w:type="dxa"/>
              <w:bottom w:w="90" w:type="dxa"/>
              <w:end w:w="120" w:type="dxa"/>
            </w:tcMar>
            <w:vAlign w:val="center"/>
          </w:tcPr>
          <w:p>
            <w:r>
              <w:rPr>
                <w:rFonts w:ascii="Calibri" w:hAnsi="Calibri"/>
                <w:color w:val="1E293B"/>
                <w:sz w:val="18"/>
              </w:rPr>
              <w:t>AML feature/profile</w:t>
            </w:r>
          </w:p>
        </w:tc>
        <w:tc>
          <w:tcPr>
            <w:tcW w:type="dxa" w:w="4200"/>
            <w:shd w:fill="F7FAFF"/>
            <w:tcMar>
              <w:top w:w="90" w:type="dxa"/>
              <w:start w:w="120" w:type="dxa"/>
              <w:bottom w:w="90" w:type="dxa"/>
              <w:end w:w="120" w:type="dxa"/>
            </w:tcMar>
            <w:vAlign w:val="center"/>
          </w:tcPr>
          <w:p>
            <w:r>
              <w:rPr>
                <w:rFonts w:ascii="Calibri" w:hAnsi="Calibri"/>
                <w:color w:val="1E293B"/>
                <w:sz w:val="18"/>
              </w:rPr>
              <w:t>persisted feature vectors, observed/trusted profile state, learning eligibility</w:t>
            </w:r>
          </w:p>
        </w:tc>
        <w:tc>
          <w:tcPr>
            <w:tcW w:type="dxa" w:w="3260"/>
            <w:shd w:fill="F7FAFF"/>
            <w:tcMar>
              <w:top w:w="90" w:type="dxa"/>
              <w:start w:w="120" w:type="dxa"/>
              <w:bottom w:w="90" w:type="dxa"/>
              <w:end w:w="120" w:type="dxa"/>
            </w:tcMar>
            <w:vAlign w:val="center"/>
          </w:tcPr>
          <w:p>
            <w:r>
              <w:rPr>
                <w:rFonts w:ascii="Calibri" w:hAnsi="Calibri"/>
                <w:color w:val="1E293B"/>
                <w:sz w:val="18"/>
              </w:rPr>
              <w:t>Stable model input and contamination-safe behavioral learning.</w:t>
            </w:r>
          </w:p>
        </w:tc>
      </w:tr>
      <w:tr>
        <w:tc>
          <w:tcPr>
            <w:tcW w:type="dxa" w:w="1900"/>
            <w:tcMar>
              <w:top w:w="90" w:type="dxa"/>
              <w:start w:w="120" w:type="dxa"/>
              <w:bottom w:w="90" w:type="dxa"/>
              <w:end w:w="120" w:type="dxa"/>
            </w:tcMar>
            <w:vAlign w:val="center"/>
          </w:tcPr>
          <w:p>
            <w:r>
              <w:rPr>
                <w:rFonts w:ascii="Calibri" w:hAnsi="Calibri"/>
                <w:color w:val="1E293B"/>
                <w:sz w:val="18"/>
              </w:rPr>
              <w:t>Training/governance</w:t>
            </w:r>
          </w:p>
        </w:tc>
        <w:tc>
          <w:tcPr>
            <w:tcW w:type="dxa" w:w="4200"/>
            <w:tcMar>
              <w:top w:w="90" w:type="dxa"/>
              <w:start w:w="120" w:type="dxa"/>
              <w:bottom w:w="90" w:type="dxa"/>
              <w:end w:w="120" w:type="dxa"/>
            </w:tcMar>
            <w:vAlign w:val="center"/>
          </w:tcPr>
          <w:p>
            <w:r>
              <w:rPr>
                <w:rFonts w:ascii="Calibri" w:hAnsi="Calibri"/>
                <w:color w:val="1E293B"/>
                <w:sz w:val="18"/>
              </w:rPr>
              <w:t>aml_business_days, aml_training_runs, aml_model_registry, aml_model_validations, aml_active_models, aml_model_deployments</w:t>
            </w:r>
          </w:p>
        </w:tc>
        <w:tc>
          <w:tcPr>
            <w:tcW w:type="dxa" w:w="3260"/>
            <w:tcMar>
              <w:top w:w="90" w:type="dxa"/>
              <w:start w:w="120" w:type="dxa"/>
              <w:bottom w:w="90" w:type="dxa"/>
              <w:end w:w="120" w:type="dxa"/>
            </w:tcMar>
            <w:vAlign w:val="center"/>
          </w:tcPr>
          <w:p>
            <w:r>
              <w:rPr>
                <w:rFonts w:ascii="Calibri" w:hAnsi="Calibri"/>
                <w:color w:val="1E293B"/>
                <w:sz w:val="18"/>
              </w:rPr>
              <w:t>Reproducible training and controlled lifecycle.</w:t>
            </w:r>
          </w:p>
        </w:tc>
      </w:tr>
    </w:tbl>
    <w:p>
      <w:pPr>
        <w:spacing w:after="0"/>
      </w:pPr>
    </w:p>
    <w:p>
      <w:pPr>
        <w:pStyle w:val="Heading1"/>
      </w:pPr>
      <w:r>
        <w:t>4. Feature Engineering and Learning Safety</w:t>
      </w:r>
    </w:p>
    <w:p>
      <w:pPr>
        <w:pStyle w:val="Heading2"/>
      </w:pPr>
      <w:r>
        <w:t>Behavioral feature strategy</w:t>
      </w:r>
    </w:p>
    <w:p>
      <w:r>
        <w:rPr>
          <w:rFonts w:ascii="Calibri" w:hAnsi="Calibri"/>
          <w:color w:val="1E293B"/>
        </w:rPr>
        <w:t>A transaction is evaluated relative to both its absolute characteristics and the account's historical behavior. Representative persisted features include time since previous transaction, location change, amount relative to account averages and maxima, amount z-score, rolling-window amount ratios, amount-to-balance ratio, transaction hour/day, night/weekend flags, login risk, peer context, velocity, novelty, and profile confidence.</w:t>
      </w:r>
    </w:p>
    <w:p>
      <w:pPr>
        <w:pStyle w:val="Heading2"/>
      </w:pPr>
      <w:r>
        <w:t>Observed profile versus trusted profile</w:t>
      </w:r>
    </w:p>
    <w:p>
      <w:r>
        <w:rPr>
          <w:rFonts w:ascii="Calibri" w:hAnsi="Calibri"/>
          <w:color w:val="1E293B"/>
        </w:rPr>
        <w:t>A naive online learner can contaminate its own normal profile by learning from suspicious transactions. The implementation separates observed behavior from trusted learning eligibility. Every transaction may be observed and logged, but only transactions satisfying policy can update trusted profiles or enter incremental/batch learning.</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Transaction</w:t>
            </w:r>
          </w:p>
          <w:p>
            <w:pPr>
              <w:jc w:val="center"/>
            </w:pPr>
            <w:r>
              <w:rPr>
                <w:rFonts w:ascii="Calibri" w:hAnsi="Calibri"/>
                <w:color w:val="1E293B"/>
                <w:sz w:val="16"/>
              </w:rPr>
              <w:t>Persist immutable event</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Feature context</w:t>
            </w:r>
          </w:p>
          <w:p>
            <w:pPr>
              <w:jc w:val="center"/>
            </w:pPr>
            <w:r>
              <w:rPr>
                <w:rFonts w:ascii="Calibri" w:hAnsi="Calibri"/>
                <w:color w:val="1E293B"/>
                <w:sz w:val="16"/>
              </w:rPr>
              <w:t>Load historical profile and peer state</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Prediction</w:t>
            </w:r>
          </w:p>
          <w:p>
            <w:pPr>
              <w:jc w:val="center"/>
            </w:pPr>
            <w:r>
              <w:rPr>
                <w:rFonts w:ascii="Calibri" w:hAnsi="Calibri"/>
                <w:color w:val="1E293B"/>
                <w:sz w:val="16"/>
              </w:rPr>
              <w:t>Score persisted versioned vector</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Learning decision</w:t>
            </w:r>
          </w:p>
          <w:p>
            <w:pPr>
              <w:jc w:val="center"/>
            </w:pPr>
            <w:r>
              <w:rPr>
                <w:rFonts w:ascii="Calibri" w:hAnsi="Calibri"/>
                <w:color w:val="1E293B"/>
                <w:sz w:val="16"/>
              </w:rPr>
              <w:t>Eligible, quarantined, or excluded</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Profile update</w:t>
            </w:r>
          </w:p>
          <w:p>
            <w:pPr>
              <w:jc w:val="center"/>
            </w:pPr>
            <w:r>
              <w:rPr>
                <w:rFonts w:ascii="Calibri" w:hAnsi="Calibri"/>
                <w:color w:val="1E293B"/>
                <w:sz w:val="16"/>
              </w:rPr>
              <w:t>Trusted state changes only when allowed</w:t>
            </w:r>
          </w:p>
        </w:tc>
      </w:tr>
    </w:tbl>
    <w:p>
      <w:pPr>
        <w:spacing w:after="0"/>
      </w:pPr>
    </w:p>
    <w:p>
      <w:pPr>
        <w:pStyle w:val="Heading2"/>
      </w:pPr>
      <w:r>
        <w:t>Cold-start handling</w:t>
      </w:r>
    </w:p>
    <w:p>
      <w:r>
        <w:rPr>
          <w:rFonts w:ascii="Calibri" w:hAnsi="Calibri"/>
          <w:color w:val="1E293B"/>
        </w:rPr>
        <w:t>New or low-history accounts lack reliable personal baselines. Cold-start configuration prevents weak profile evidence from being interpreted like mature-account behavior. Profile confidence, peer context, and safe fallback logic reduce unstable early decisions.</w:t>
      </w:r>
    </w:p>
    <w:p>
      <w:pPr>
        <w:pStyle w:val="Heading1"/>
      </w:pPr>
      <w:r>
        <w:t>5. Model-Comparison Methodology</w:t>
      </w:r>
    </w:p>
    <w:p>
      <w:pPr>
        <w:pStyle w:val="Heading2"/>
      </w:pPr>
      <w:r>
        <w:t>Central experiment</w:t>
      </w:r>
    </w:p>
    <w:p>
      <w:r>
        <w:rPr>
          <w:rFonts w:ascii="Calibri" w:hAnsi="Calibri"/>
          <w:color w:val="1E293B"/>
        </w:rPr>
        <w:t>For the same database snapshot, transactions are ordered by transaction_date and divided into nested oldest-first partitions: 10%, 25%, 50%, and 100%. Each of the five research models is trained and evaluated for every available partition. The approach reveals whether more data improves, stabilizes, or degrades model behavior.</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10% oldest</w:t>
            </w:r>
          </w:p>
          <w:p>
            <w:pPr>
              <w:jc w:val="center"/>
            </w:pPr>
            <w:r>
              <w:rPr>
                <w:rFonts w:ascii="Calibri" w:hAnsi="Calibri"/>
                <w:color w:val="1E293B"/>
                <w:sz w:val="16"/>
              </w:rPr>
              <w:t>Early-data baseline</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25% oldest</w:t>
            </w:r>
          </w:p>
          <w:p>
            <w:pPr>
              <w:jc w:val="center"/>
            </w:pPr>
            <w:r>
              <w:rPr>
                <w:rFonts w:ascii="Calibri" w:hAnsi="Calibri"/>
                <w:color w:val="1E293B"/>
                <w:sz w:val="16"/>
              </w:rPr>
              <w:t>Initial growth</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50% oldest</w:t>
            </w:r>
          </w:p>
          <w:p>
            <w:pPr>
              <w:jc w:val="center"/>
            </w:pPr>
            <w:r>
              <w:rPr>
                <w:rFonts w:ascii="Calibri" w:hAnsi="Calibri"/>
                <w:color w:val="1E293B"/>
                <w:sz w:val="16"/>
              </w:rPr>
              <w:t>Mid-scale behavior</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100%</w:t>
            </w:r>
          </w:p>
          <w:p>
            <w:pPr>
              <w:jc w:val="center"/>
            </w:pPr>
            <w:r>
              <w:rPr>
                <w:rFonts w:ascii="Calibri" w:hAnsi="Calibri"/>
                <w:color w:val="1E293B"/>
                <w:sz w:val="16"/>
              </w:rPr>
              <w:t>Full snapshot behavior</w:t>
            </w:r>
          </w:p>
        </w:tc>
      </w:tr>
    </w:tbl>
    <w:p>
      <w:pPr>
        <w:spacing w:after="0"/>
      </w:pPr>
    </w:p>
    <w:p>
      <w:pPr>
        <w:pStyle w:val="Heading2"/>
      </w:pPr>
      <w:r>
        <w:t>Fairness controls</w:t>
      </w:r>
    </w:p>
    <w:p>
      <w:pPr>
        <w:pStyle w:val="ListBullet"/>
      </w:pPr>
      <w:r>
        <w:rPr>
          <w:rFonts w:ascii="Calibri" w:hAnsi="Calibri"/>
          <w:color w:val="1E293B"/>
        </w:rPr>
        <w:t>The same chronological snapshot and ordering policy are used for every model.</w:t>
      </w:r>
    </w:p>
    <w:p>
      <w:pPr>
        <w:pStyle w:val="ListBullet"/>
      </w:pPr>
      <w:r>
        <w:rPr>
          <w:rFonts w:ascii="Calibri" w:hAnsi="Calibri"/>
          <w:color w:val="1E293B"/>
        </w:rPr>
        <w:t>A common future holdout is used rather than evaluating only on each model's training rows.</w:t>
      </w:r>
    </w:p>
    <w:p>
      <w:pPr>
        <w:pStyle w:val="ListBullet"/>
      </w:pPr>
      <w:r>
        <w:rPr>
          <w:rFonts w:ascii="Calibri" w:hAnsi="Calibri"/>
          <w:color w:val="1E293B"/>
        </w:rPr>
        <w:t>Random seeds and tuning limits are configurable and recorded.</w:t>
      </w:r>
    </w:p>
    <w:p>
      <w:pPr>
        <w:pStyle w:val="ListBullet"/>
      </w:pPr>
      <w:r>
        <w:rPr>
          <w:rFonts w:ascii="Calibri" w:hAnsi="Calibri"/>
          <w:color w:val="1E293B"/>
        </w:rPr>
        <w:t>Metrics include computational cost, not only anomaly separation.</w:t>
      </w:r>
    </w:p>
    <w:p>
      <w:pPr>
        <w:pStyle w:val="ListBullet"/>
      </w:pPr>
      <w:r>
        <w:rPr>
          <w:rFonts w:ascii="Calibri" w:hAnsi="Calibri"/>
          <w:color w:val="1E293B"/>
        </w:rPr>
        <w:t>The browser receives summaries and sampled/aggregated evidence rather than millions of points.</w:t>
      </w:r>
    </w:p>
    <w:p>
      <w:pPr>
        <w:pStyle w:val="Heading2"/>
      </w:pPr>
      <w:r>
        <w:t>Current research models</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Model</w:t>
            </w:r>
          </w:p>
        </w:tc>
        <w:tc>
          <w:tcPr>
            <w:tcW w:type="dxa" w:w="3500"/>
            <w:shd w:fill="0F2747"/>
            <w:tcMar>
              <w:top w:w="90" w:type="dxa"/>
              <w:start w:w="120" w:type="dxa"/>
              <w:bottom w:w="90" w:type="dxa"/>
              <w:end w:w="120" w:type="dxa"/>
            </w:tcMar>
            <w:vAlign w:val="center"/>
          </w:tcPr>
          <w:p>
            <w:r>
              <w:rPr>
                <w:rFonts w:ascii="Calibri" w:hAnsi="Calibri"/>
                <w:b/>
                <w:color w:val="FFFFFF"/>
                <w:sz w:val="18"/>
              </w:rPr>
              <w:t>Strength</w:t>
            </w:r>
          </w:p>
        </w:tc>
        <w:tc>
          <w:tcPr>
            <w:tcW w:type="dxa" w:w="3660"/>
            <w:shd w:fill="0F2747"/>
            <w:tcMar>
              <w:top w:w="90" w:type="dxa"/>
              <w:start w:w="120" w:type="dxa"/>
              <w:bottom w:w="90" w:type="dxa"/>
              <w:end w:w="120" w:type="dxa"/>
            </w:tcMar>
            <w:vAlign w:val="center"/>
          </w:tcPr>
          <w:p>
            <w:r>
              <w:rPr>
                <w:rFonts w:ascii="Calibri" w:hAnsi="Calibri"/>
                <w:b/>
                <w:color w:val="FFFFFF"/>
                <w:sz w:val="18"/>
              </w:rPr>
              <w:t>Reason it is not the universal bank-scale answer</w:t>
            </w:r>
          </w:p>
        </w:tc>
      </w:tr>
      <w:tr>
        <w:tc>
          <w:tcPr>
            <w:tcW w:type="dxa" w:w="2200"/>
            <w:shd w:fill="F7FAFF"/>
            <w:tcMar>
              <w:top w:w="90" w:type="dxa"/>
              <w:start w:w="120" w:type="dxa"/>
              <w:bottom w:w="90" w:type="dxa"/>
              <w:end w:w="120" w:type="dxa"/>
            </w:tcMar>
            <w:vAlign w:val="center"/>
          </w:tcPr>
          <w:p>
            <w:r>
              <w:rPr>
                <w:rFonts w:ascii="Calibri" w:hAnsi="Calibri"/>
                <w:color w:val="1E293B"/>
                <w:sz w:val="18"/>
              </w:rPr>
              <w:t>Isolation Forest</w:t>
            </w:r>
          </w:p>
        </w:tc>
        <w:tc>
          <w:tcPr>
            <w:tcW w:type="dxa" w:w="3500"/>
            <w:shd w:fill="F7FAFF"/>
            <w:tcMar>
              <w:top w:w="90" w:type="dxa"/>
              <w:start w:w="120" w:type="dxa"/>
              <w:bottom w:w="90" w:type="dxa"/>
              <w:end w:w="120" w:type="dxa"/>
            </w:tcMar>
            <w:vAlign w:val="center"/>
          </w:tcPr>
          <w:p>
            <w:r>
              <w:rPr>
                <w:rFonts w:ascii="Calibri" w:hAnsi="Calibri"/>
                <w:color w:val="1E293B"/>
                <w:sz w:val="18"/>
              </w:rPr>
              <w:t>Efficient global anomaly separation and useful batch baseline.</w:t>
            </w:r>
          </w:p>
        </w:tc>
        <w:tc>
          <w:tcPr>
            <w:tcW w:type="dxa" w:w="3660"/>
            <w:shd w:fill="F7FAFF"/>
            <w:tcMar>
              <w:top w:w="90" w:type="dxa"/>
              <w:start w:w="120" w:type="dxa"/>
              <w:bottom w:w="90" w:type="dxa"/>
              <w:end w:w="120" w:type="dxa"/>
            </w:tcMar>
            <w:vAlign w:val="center"/>
          </w:tcPr>
          <w:p>
            <w:r>
              <w:rPr>
                <w:rFonts w:ascii="Calibri" w:hAnsi="Calibri"/>
                <w:color w:val="1E293B"/>
                <w:sz w:val="18"/>
              </w:rPr>
              <w:t>Still non-incremental in common implementations; should train on a controlled representative sample at very large scale.</w:t>
            </w:r>
          </w:p>
        </w:tc>
      </w:tr>
      <w:tr>
        <w:tc>
          <w:tcPr>
            <w:tcW w:type="dxa" w:w="2200"/>
            <w:tcMar>
              <w:top w:w="90" w:type="dxa"/>
              <w:start w:w="120" w:type="dxa"/>
              <w:bottom w:w="90" w:type="dxa"/>
              <w:end w:w="120" w:type="dxa"/>
            </w:tcMar>
            <w:vAlign w:val="center"/>
          </w:tcPr>
          <w:p>
            <w:r>
              <w:rPr>
                <w:rFonts w:ascii="Calibri" w:hAnsi="Calibri"/>
                <w:color w:val="1E293B"/>
                <w:sz w:val="18"/>
              </w:rPr>
              <w:t>LOF</w:t>
            </w:r>
          </w:p>
        </w:tc>
        <w:tc>
          <w:tcPr>
            <w:tcW w:type="dxa" w:w="3500"/>
            <w:tcMar>
              <w:top w:w="90" w:type="dxa"/>
              <w:start w:w="120" w:type="dxa"/>
              <w:bottom w:w="90" w:type="dxa"/>
              <w:end w:w="120" w:type="dxa"/>
            </w:tcMar>
            <w:vAlign w:val="center"/>
          </w:tcPr>
          <w:p>
            <w:r>
              <w:rPr>
                <w:rFonts w:ascii="Calibri" w:hAnsi="Calibri"/>
                <w:color w:val="1E293B"/>
                <w:sz w:val="18"/>
              </w:rPr>
              <w:t>Strong local-density interpretation.</w:t>
            </w:r>
          </w:p>
        </w:tc>
        <w:tc>
          <w:tcPr>
            <w:tcW w:type="dxa" w:w="3660"/>
            <w:tcMar>
              <w:top w:w="90" w:type="dxa"/>
              <w:start w:w="120" w:type="dxa"/>
              <w:bottom w:w="90" w:type="dxa"/>
              <w:end w:w="120" w:type="dxa"/>
            </w:tcMar>
            <w:vAlign w:val="center"/>
          </w:tcPr>
          <w:p>
            <w:r>
              <w:rPr>
                <w:rFonts w:ascii="Calibri" w:hAnsi="Calibri"/>
                <w:color w:val="1E293B"/>
                <w:sz w:val="18"/>
              </w:rPr>
              <w:t>Full-data neighbor search and memory cost do not scale safely to millions; novelty mode still requires retained fit structure.</w:t>
            </w:r>
          </w:p>
        </w:tc>
      </w:tr>
      <w:tr>
        <w:tc>
          <w:tcPr>
            <w:tcW w:type="dxa" w:w="2200"/>
            <w:shd w:fill="F7FAFF"/>
            <w:tcMar>
              <w:top w:w="90" w:type="dxa"/>
              <w:start w:w="120" w:type="dxa"/>
              <w:bottom w:w="90" w:type="dxa"/>
              <w:end w:w="120" w:type="dxa"/>
            </w:tcMar>
            <w:vAlign w:val="center"/>
          </w:tcPr>
          <w:p>
            <w:r>
              <w:rPr>
                <w:rFonts w:ascii="Calibri" w:hAnsi="Calibri"/>
                <w:color w:val="1E293B"/>
                <w:sz w:val="18"/>
              </w:rPr>
              <w:t>Kernel One-Class SVM</w:t>
            </w:r>
          </w:p>
        </w:tc>
        <w:tc>
          <w:tcPr>
            <w:tcW w:type="dxa" w:w="3500"/>
            <w:shd w:fill="F7FAFF"/>
            <w:tcMar>
              <w:top w:w="90" w:type="dxa"/>
              <w:start w:w="120" w:type="dxa"/>
              <w:bottom w:w="90" w:type="dxa"/>
              <w:end w:w="120" w:type="dxa"/>
            </w:tcMar>
            <w:vAlign w:val="center"/>
          </w:tcPr>
          <w:p>
            <w:r>
              <w:rPr>
                <w:rFonts w:ascii="Calibri" w:hAnsi="Calibri"/>
                <w:color w:val="1E293B"/>
                <w:sz w:val="18"/>
              </w:rPr>
              <w:t>Flexible nonlinear normal boundary.</w:t>
            </w:r>
          </w:p>
        </w:tc>
        <w:tc>
          <w:tcPr>
            <w:tcW w:type="dxa" w:w="3660"/>
            <w:shd w:fill="F7FAFF"/>
            <w:tcMar>
              <w:top w:w="90" w:type="dxa"/>
              <w:start w:w="120" w:type="dxa"/>
              <w:bottom w:w="90" w:type="dxa"/>
              <w:end w:w="120" w:type="dxa"/>
            </w:tcMar>
            <w:vAlign w:val="center"/>
          </w:tcPr>
          <w:p>
            <w:r>
              <w:rPr>
                <w:rFonts w:ascii="Calibri" w:hAnsi="Calibri"/>
                <w:color w:val="1E293B"/>
                <w:sz w:val="18"/>
              </w:rPr>
              <w:t>Kernel time/memory growth becomes impractical on very large datasets.</w:t>
            </w:r>
          </w:p>
        </w:tc>
      </w:tr>
      <w:tr>
        <w:tc>
          <w:tcPr>
            <w:tcW w:type="dxa" w:w="2200"/>
            <w:tcMar>
              <w:top w:w="90" w:type="dxa"/>
              <w:start w:w="120" w:type="dxa"/>
              <w:bottom w:w="90" w:type="dxa"/>
              <w:end w:w="120" w:type="dxa"/>
            </w:tcMar>
            <w:vAlign w:val="center"/>
          </w:tcPr>
          <w:p>
            <w:r>
              <w:rPr>
                <w:rFonts w:ascii="Calibri" w:hAnsi="Calibri"/>
                <w:color w:val="1E293B"/>
                <w:sz w:val="18"/>
              </w:rPr>
              <w:t>Elliptic Envelope</w:t>
            </w:r>
          </w:p>
        </w:tc>
        <w:tc>
          <w:tcPr>
            <w:tcW w:type="dxa" w:w="3500"/>
            <w:tcMar>
              <w:top w:w="90" w:type="dxa"/>
              <w:start w:w="120" w:type="dxa"/>
              <w:bottom w:w="90" w:type="dxa"/>
              <w:end w:w="120" w:type="dxa"/>
            </w:tcMar>
            <w:vAlign w:val="center"/>
          </w:tcPr>
          <w:p>
            <w:r>
              <w:rPr>
                <w:rFonts w:ascii="Calibri" w:hAnsi="Calibri"/>
                <w:color w:val="1E293B"/>
                <w:sz w:val="18"/>
              </w:rPr>
              <w:t>Interpretable robust covariance outliers when assumptions hold.</w:t>
            </w:r>
          </w:p>
        </w:tc>
        <w:tc>
          <w:tcPr>
            <w:tcW w:type="dxa" w:w="3660"/>
            <w:tcMar>
              <w:top w:w="90" w:type="dxa"/>
              <w:start w:w="120" w:type="dxa"/>
              <w:bottom w:w="90" w:type="dxa"/>
              <w:end w:w="120" w:type="dxa"/>
            </w:tcMar>
            <w:vAlign w:val="center"/>
          </w:tcPr>
          <w:p>
            <w:r>
              <w:rPr>
                <w:rFonts w:ascii="Calibri" w:hAnsi="Calibri"/>
                <w:color w:val="1E293B"/>
                <w:sz w:val="18"/>
              </w:rPr>
              <w:t>High-dimensional categorical/behavioral features and non-Gaussian distributions violate assumptions and increase cost.</w:t>
            </w:r>
          </w:p>
        </w:tc>
      </w:tr>
      <w:tr>
        <w:tc>
          <w:tcPr>
            <w:tcW w:type="dxa" w:w="2200"/>
            <w:shd w:fill="F7FAFF"/>
            <w:tcMar>
              <w:top w:w="90" w:type="dxa"/>
              <w:start w:w="120" w:type="dxa"/>
              <w:bottom w:w="90" w:type="dxa"/>
              <w:end w:w="120" w:type="dxa"/>
            </w:tcMar>
            <w:vAlign w:val="center"/>
          </w:tcPr>
          <w:p>
            <w:r>
              <w:rPr>
                <w:rFonts w:ascii="Calibri" w:hAnsi="Calibri"/>
                <w:color w:val="1E293B"/>
                <w:sz w:val="18"/>
              </w:rPr>
              <w:t>PCA Reconstruction</w:t>
            </w:r>
          </w:p>
        </w:tc>
        <w:tc>
          <w:tcPr>
            <w:tcW w:type="dxa" w:w="3500"/>
            <w:shd w:fill="F7FAFF"/>
            <w:tcMar>
              <w:top w:w="90" w:type="dxa"/>
              <w:start w:w="120" w:type="dxa"/>
              <w:bottom w:w="90" w:type="dxa"/>
              <w:end w:w="120" w:type="dxa"/>
            </w:tcMar>
            <w:vAlign w:val="center"/>
          </w:tcPr>
          <w:p>
            <w:r>
              <w:rPr>
                <w:rFonts w:ascii="Calibri" w:hAnsi="Calibri"/>
                <w:color w:val="1E293B"/>
                <w:sz w:val="18"/>
              </w:rPr>
              <w:t>Useful reconstruction-error view and dimensional diagnostics.</w:t>
            </w:r>
          </w:p>
        </w:tc>
        <w:tc>
          <w:tcPr>
            <w:tcW w:type="dxa" w:w="3660"/>
            <w:shd w:fill="F7FAFF"/>
            <w:tcMar>
              <w:top w:w="90" w:type="dxa"/>
              <w:start w:w="120" w:type="dxa"/>
              <w:bottom w:w="90" w:type="dxa"/>
              <w:end w:w="120" w:type="dxa"/>
            </w:tcMar>
            <w:vAlign w:val="center"/>
          </w:tcPr>
          <w:p>
            <w:r>
              <w:rPr>
                <w:rFonts w:ascii="Calibri" w:hAnsi="Calibri"/>
                <w:color w:val="1E293B"/>
                <w:sz w:val="18"/>
              </w:rPr>
              <w:t>Linear components may miss nonlinear behavior; batch decomposition needs careful incremental redesign.</w:t>
            </w:r>
          </w:p>
        </w:tc>
      </w:tr>
    </w:tbl>
    <w:p>
      <w:pPr>
        <w:spacing w:after="0"/>
      </w:pPr>
    </w:p>
    <w:p>
      <w:pPr>
        <w:pStyle w:val="Heading2"/>
      </w:pPr>
      <w:r>
        <w:t>Unsupervised scoring</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0F2747"/>
            <w:tcMar>
              <w:top w:w="90" w:type="dxa"/>
              <w:start w:w="120" w:type="dxa"/>
              <w:bottom w:w="90" w:type="dxa"/>
              <w:end w:w="120" w:type="dxa"/>
            </w:tcMar>
            <w:vAlign w:val="center"/>
          </w:tcPr>
          <w:p>
            <w:r>
              <w:rPr>
                <w:rFonts w:ascii="Calibri" w:hAnsi="Calibri"/>
                <w:b/>
                <w:color w:val="FFFFFF"/>
                <w:sz w:val="18"/>
              </w:rPr>
              <w:t>Measure</w:t>
            </w:r>
          </w:p>
        </w:tc>
        <w:tc>
          <w:tcPr>
            <w:tcW w:type="dxa" w:w="6960"/>
            <w:shd w:fill="0F2747"/>
            <w:tcMar>
              <w:top w:w="90" w:type="dxa"/>
              <w:start w:w="120" w:type="dxa"/>
              <w:bottom w:w="90" w:type="dxa"/>
              <w:end w:w="120" w:type="dxa"/>
            </w:tcMar>
            <w:vAlign w:val="center"/>
          </w:tcPr>
          <w:p>
            <w:r>
              <w:rPr>
                <w:rFonts w:ascii="Calibri" w:hAnsi="Calibri"/>
                <w:b/>
                <w:color w:val="FFFFFF"/>
                <w:sz w:val="18"/>
              </w:rPr>
              <w:t>Definition and role</w:t>
            </w:r>
          </w:p>
        </w:tc>
      </w:tr>
      <w:tr>
        <w:tc>
          <w:tcPr>
            <w:tcW w:type="dxa" w:w="2400"/>
            <w:shd w:fill="F7FAFF"/>
            <w:tcMar>
              <w:top w:w="90" w:type="dxa"/>
              <w:start w:w="120" w:type="dxa"/>
              <w:bottom w:w="90" w:type="dxa"/>
              <w:end w:w="120" w:type="dxa"/>
            </w:tcMar>
            <w:vAlign w:val="center"/>
          </w:tcPr>
          <w:p>
            <w:r>
              <w:rPr>
                <w:rFonts w:ascii="Calibri" w:hAnsi="Calibri"/>
                <w:color w:val="1E293B"/>
                <w:sz w:val="18"/>
              </w:rPr>
              <w:t>Proxy quality</w:t>
            </w:r>
          </w:p>
        </w:tc>
        <w:tc>
          <w:tcPr>
            <w:tcW w:type="dxa" w:w="6960"/>
            <w:shd w:fill="F7FAFF"/>
            <w:tcMar>
              <w:top w:w="90" w:type="dxa"/>
              <w:start w:w="120" w:type="dxa"/>
              <w:bottom w:w="90" w:type="dxa"/>
              <w:end w:w="120" w:type="dxa"/>
            </w:tcMar>
            <w:vAlign w:val="center"/>
          </w:tcPr>
          <w:p>
            <w:r>
              <w:rPr>
                <w:rFonts w:ascii="Calibri" w:hAnsi="Calibri"/>
                <w:color w:val="1E293B"/>
                <w:sz w:val="18"/>
              </w:rPr>
              <w:t>Measures unsupervised separation/structure on a common validation set. It is evidence of anomaly usefulness, not confirmed-fraud accuracy.</w:t>
            </w:r>
          </w:p>
        </w:tc>
      </w:tr>
      <w:tr>
        <w:tc>
          <w:tcPr>
            <w:tcW w:type="dxa" w:w="2400"/>
            <w:tcMar>
              <w:top w:w="90" w:type="dxa"/>
              <w:start w:w="120" w:type="dxa"/>
              <w:bottom w:w="90" w:type="dxa"/>
              <w:end w:w="120" w:type="dxa"/>
            </w:tcMar>
            <w:vAlign w:val="center"/>
          </w:tcPr>
          <w:p>
            <w:r>
              <w:rPr>
                <w:rFonts w:ascii="Calibri" w:hAnsi="Calibri"/>
                <w:color w:val="1E293B"/>
                <w:sz w:val="18"/>
              </w:rPr>
              <w:t>Resampling stability</w:t>
            </w:r>
          </w:p>
        </w:tc>
        <w:tc>
          <w:tcPr>
            <w:tcW w:type="dxa" w:w="6960"/>
            <w:tcMar>
              <w:top w:w="90" w:type="dxa"/>
              <w:start w:w="120" w:type="dxa"/>
              <w:bottom w:w="90" w:type="dxa"/>
              <w:end w:w="120" w:type="dxa"/>
            </w:tcMar>
            <w:vAlign w:val="center"/>
          </w:tcPr>
          <w:p>
            <w:r>
              <w:rPr>
                <w:rFonts w:ascii="Calibri" w:hAnsi="Calibri"/>
                <w:color w:val="1E293B"/>
                <w:sz w:val="18"/>
              </w:rPr>
              <w:t>Measures consistency of anomaly decisions when the training sample is bootstrapped or perturbed.</w:t>
            </w:r>
          </w:p>
        </w:tc>
      </w:tr>
      <w:tr>
        <w:tc>
          <w:tcPr>
            <w:tcW w:type="dxa" w:w="2400"/>
            <w:shd w:fill="F7FAFF"/>
            <w:tcMar>
              <w:top w:w="90" w:type="dxa"/>
              <w:start w:w="120" w:type="dxa"/>
              <w:bottom w:w="90" w:type="dxa"/>
              <w:end w:w="120" w:type="dxa"/>
            </w:tcMar>
            <w:vAlign w:val="center"/>
          </w:tcPr>
          <w:p>
            <w:r>
              <w:rPr>
                <w:rFonts w:ascii="Calibri" w:hAnsi="Calibri"/>
                <w:color w:val="1E293B"/>
                <w:sz w:val="18"/>
              </w:rPr>
              <w:t>Rate control</w:t>
            </w:r>
          </w:p>
        </w:tc>
        <w:tc>
          <w:tcPr>
            <w:tcW w:type="dxa" w:w="6960"/>
            <w:shd w:fill="F7FAFF"/>
            <w:tcMar>
              <w:top w:w="90" w:type="dxa"/>
              <w:start w:w="120" w:type="dxa"/>
              <w:bottom w:w="90" w:type="dxa"/>
              <w:end w:w="120" w:type="dxa"/>
            </w:tcMar>
            <w:vAlign w:val="center"/>
          </w:tcPr>
          <w:p>
            <w:r>
              <w:rPr>
                <w:rFonts w:ascii="Calibri" w:hAnsi="Calibri"/>
                <w:color w:val="1E293B"/>
                <w:sz w:val="18"/>
              </w:rPr>
              <w:t>Rewards operationally plausible and controlled anomaly volumes rather than indiscriminate flagging.</w:t>
            </w:r>
          </w:p>
        </w:tc>
      </w:tr>
      <w:tr>
        <w:tc>
          <w:tcPr>
            <w:tcW w:type="dxa" w:w="2400"/>
            <w:tcMar>
              <w:top w:w="90" w:type="dxa"/>
              <w:start w:w="120" w:type="dxa"/>
              <w:bottom w:w="90" w:type="dxa"/>
              <w:end w:w="120" w:type="dxa"/>
            </w:tcMar>
            <w:vAlign w:val="center"/>
          </w:tcPr>
          <w:p>
            <w:r>
              <w:rPr>
                <w:rFonts w:ascii="Calibri" w:hAnsi="Calibri"/>
                <w:color w:val="1E293B"/>
                <w:sz w:val="18"/>
              </w:rPr>
              <w:t>Fit score</w:t>
            </w:r>
          </w:p>
        </w:tc>
        <w:tc>
          <w:tcPr>
            <w:tcW w:type="dxa" w:w="6960"/>
            <w:tcMar>
              <w:top w:w="90" w:type="dxa"/>
              <w:start w:w="120" w:type="dxa"/>
              <w:bottom w:w="90" w:type="dxa"/>
              <w:end w:w="120" w:type="dxa"/>
            </w:tcMar>
            <w:vAlign w:val="center"/>
          </w:tcPr>
          <w:p>
            <w:r>
              <w:rPr>
                <w:rFonts w:ascii="Calibri" w:hAnsi="Calibri"/>
                <w:color w:val="1E293B"/>
                <w:sz w:val="18"/>
              </w:rPr>
              <w:t>0.50 x Proxy Quality + 0.35 x Stability + 0.15 x Rate Control, each normalized to 0-100.</w:t>
            </w:r>
          </w:p>
        </w:tc>
      </w:tr>
      <w:tr>
        <w:tc>
          <w:tcPr>
            <w:tcW w:type="dxa" w:w="2400"/>
            <w:shd w:fill="F7FAFF"/>
            <w:tcMar>
              <w:top w:w="90" w:type="dxa"/>
              <w:start w:w="120" w:type="dxa"/>
              <w:bottom w:w="90" w:type="dxa"/>
              <w:end w:w="120" w:type="dxa"/>
            </w:tcMar>
            <w:vAlign w:val="center"/>
          </w:tcPr>
          <w:p>
            <w:r>
              <w:rPr>
                <w:rFonts w:ascii="Calibri" w:hAnsi="Calibri"/>
                <w:color w:val="1E293B"/>
                <w:sz w:val="18"/>
              </w:rPr>
              <w:t>Growth trend</w:t>
            </w:r>
          </w:p>
        </w:tc>
        <w:tc>
          <w:tcPr>
            <w:tcW w:type="dxa" w:w="6960"/>
            <w:shd w:fill="F7FAFF"/>
            <w:tcMar>
              <w:top w:w="90" w:type="dxa"/>
              <w:start w:w="120" w:type="dxa"/>
              <w:bottom w:w="90" w:type="dxa"/>
              <w:end w:w="120" w:type="dxa"/>
            </w:tcMar>
            <w:vAlign w:val="center"/>
          </w:tcPr>
          <w:p>
            <w:r>
              <w:rPr>
                <w:rFonts w:ascii="Calibri" w:hAnsi="Calibri"/>
                <w:color w:val="1E293B"/>
                <w:sz w:val="18"/>
              </w:rPr>
              <w:t>Tracks the change in quality and behavior from early partitions to the full snapshot.</w:t>
            </w:r>
          </w:p>
        </w:tc>
      </w:tr>
      <w:tr>
        <w:tc>
          <w:tcPr>
            <w:tcW w:type="dxa" w:w="2400"/>
            <w:tcMar>
              <w:top w:w="90" w:type="dxa"/>
              <w:start w:w="120" w:type="dxa"/>
              <w:bottom w:w="90" w:type="dxa"/>
              <w:end w:w="120" w:type="dxa"/>
            </w:tcMar>
            <w:vAlign w:val="center"/>
          </w:tcPr>
          <w:p>
            <w:r>
              <w:rPr>
                <w:rFonts w:ascii="Calibri" w:hAnsi="Calibri"/>
                <w:color w:val="1E293B"/>
                <w:sz w:val="18"/>
              </w:rPr>
              <w:t>Operational cost</w:t>
            </w:r>
          </w:p>
        </w:tc>
        <w:tc>
          <w:tcPr>
            <w:tcW w:type="dxa" w:w="6960"/>
            <w:tcMar>
              <w:top w:w="90" w:type="dxa"/>
              <w:start w:w="120" w:type="dxa"/>
              <w:bottom w:w="90" w:type="dxa"/>
              <w:end w:w="120" w:type="dxa"/>
            </w:tcMar>
            <w:vAlign w:val="center"/>
          </w:tcPr>
          <w:p>
            <w:r>
              <w:rPr>
                <w:rFonts w:ascii="Calibri" w:hAnsi="Calibri"/>
                <w:color w:val="1E293B"/>
                <w:sz w:val="18"/>
              </w:rPr>
              <w:t>Training duration, prediction latency per row, and artifact size.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Scientific limitation: </w:t>
            </w:r>
            <w:r>
              <w:rPr>
                <w:rFonts w:ascii="Calibri" w:hAnsi="Calibri"/>
                <w:color w:val="1E293B"/>
              </w:rPr>
              <w:t>Without representative confirmed labels, the project cannot honestly claim population accuracy, precision, recall, F1, or a confusion matrix. Reviewer outcomes later provide labeled evidence, but that sample may be selection-biased because only alerted transactions are reviewed.</w:t>
            </w:r>
          </w:p>
        </w:tc>
      </w:tr>
    </w:tbl>
    <w:p>
      <w:pPr>
        <w:spacing w:after="0"/>
      </w:pPr>
    </w:p>
    <w:p>
      <w:pPr>
        <w:pStyle w:val="Heading1"/>
      </w:pPr>
      <w:r>
        <w:t>6. Production Model Strategy</w:t>
      </w:r>
    </w:p>
    <w:p>
      <w:pPr>
        <w:pStyle w:val="Heading2"/>
      </w:pPr>
      <w:r>
        <w:t>Why production differs from research</w:t>
      </w:r>
    </w:p>
    <w:p>
      <w:r>
        <w:rPr>
          <w:rFonts w:ascii="Calibri" w:hAnsi="Calibri"/>
          <w:color w:val="1E293B"/>
        </w:rPr>
        <w:t>A model can be academically useful yet operationally unsafe at bank scale. The production strategy therefore prioritizes bounded memory, chronological incremental learning, auditable artifacts, predictable latency, and safe fallback behavior.</w:t>
      </w:r>
    </w:p>
    <w:p>
      <w:pPr>
        <w:pStyle w:val="Heading2"/>
      </w:pPr>
      <w:r>
        <w:t>Current production decision hierarchy</w:t>
      </w:r>
    </w:p>
    <w:p>
      <w:pPr>
        <w:pStyle w:val="ListNumber"/>
      </w:pPr>
      <w:r>
        <w:rPr>
          <w:rFonts w:ascii="Calibri" w:hAnsi="Calibri"/>
          <w:color w:val="1E293B"/>
        </w:rPr>
        <w:t>Evaluate deterministic velocity and AML rules, including hard-rule overrides.</w:t>
      </w:r>
    </w:p>
    <w:p>
      <w:pPr>
        <w:pStyle w:val="ListNumber"/>
      </w:pPr>
      <w:r>
        <w:rPr>
          <w:rFonts w:ascii="Calibri" w:hAnsi="Calibri"/>
          <w:color w:val="1E293B"/>
        </w:rPr>
        <w:t>Calculate normalized customer and peer-group behavioural scores with confidence metadata.</w:t>
      </w:r>
    </w:p>
    <w:p>
      <w:pPr>
        <w:pStyle w:val="ListNumber"/>
      </w:pPr>
      <w:r>
        <w:rPr>
          <w:rFonts w:ascii="Calibri" w:hAnsi="Calibri"/>
          <w:color w:val="1E293B"/>
        </w:rPr>
        <w:t>Obtain normalized Half-Space Trees and Online One-Class SVM scores from exact registered versions.</w:t>
      </w:r>
    </w:p>
    <w:p>
      <w:pPr>
        <w:pStyle w:val="ListNumber"/>
      </w:pPr>
      <w:r>
        <w:rPr>
          <w:rFonts w:ascii="Calibri" w:hAnsi="Calibri"/>
          <w:color w:val="1E293B"/>
        </w:rPr>
        <w:t>Combine component evidence using the versioned weighted risk policy.</w:t>
      </w:r>
    </w:p>
    <w:p>
      <w:pPr>
        <w:pStyle w:val="ListNumber"/>
      </w:pPr>
      <w:r>
        <w:rPr>
          <w:rFonts w:ascii="Calibri" w:hAnsi="Calibri"/>
          <w:color w:val="1E293B"/>
        </w:rPr>
        <w:t>Accept layered output only for an account selected by the segment's deterministic canary and only when policy/model versions match the active pointer.</w:t>
      </w:r>
    </w:p>
    <w:p>
      <w:pPr>
        <w:pStyle w:val="ListNumber"/>
      </w:pPr>
      <w:r>
        <w:rPr>
          <w:rFonts w:ascii="Calibri" w:hAnsi="Calibri"/>
          <w:color w:val="1E293B"/>
        </w:rPr>
        <w:t>Use the compatibility result for unpromoted accounts and the Isolation Forest fallback for an explicit rollback pointer or unsafe layered result.</w:t>
      </w:r>
    </w:p>
    <w:p>
      <w:pPr>
        <w:pStyle w:val="Heading2"/>
      </w:pPr>
      <w:r>
        <w:t>Incremental production-model rationale</w:t>
      </w:r>
    </w:p>
    <w:p>
      <w:pPr>
        <w:pStyle w:val="ListBullet"/>
      </w:pPr>
      <w:r>
        <w:rPr>
          <w:rFonts w:ascii="Calibri" w:hAnsi="Calibri"/>
          <w:color w:val="1E293B"/>
        </w:rPr>
        <w:t>Incremental learning processes rows sequentially and supports end-of-day updates.</w:t>
      </w:r>
    </w:p>
    <w:p>
      <w:pPr>
        <w:pStyle w:val="ListBullet"/>
      </w:pPr>
      <w:r>
        <w:rPr>
          <w:rFonts w:ascii="Calibri" w:hAnsi="Calibri"/>
          <w:color w:val="1E293B"/>
        </w:rPr>
        <w:t>Model state is bounded by tree count and height rather than lifetime row count.</w:t>
      </w:r>
    </w:p>
    <w:p>
      <w:pPr>
        <w:pStyle w:val="ListBullet"/>
      </w:pPr>
      <w:r>
        <w:rPr>
          <w:rFonts w:ascii="Calibri" w:hAnsi="Calibri"/>
          <w:color w:val="1E293B"/>
        </w:rPr>
        <w:t>The trainer reads Parquet in configurable record batches.</w:t>
      </w:r>
    </w:p>
    <w:p>
      <w:pPr>
        <w:pStyle w:val="ListBullet"/>
      </w:pPr>
      <w:r>
        <w:rPr>
          <w:rFonts w:ascii="Calibri" w:hAnsi="Calibri"/>
          <w:color w:val="1E293B"/>
        </w:rPr>
        <w:t>Chronological learning matches the temporal nature of transaction behavior.</w:t>
      </w:r>
    </w:p>
    <w:p>
      <w:pPr>
        <w:pStyle w:val="ListBullet"/>
      </w:pPr>
      <w:r>
        <w:rPr>
          <w:rFonts w:ascii="Calibri" w:hAnsi="Calibri"/>
          <w:color w:val="1E293B"/>
        </w:rPr>
        <w:t>HST provides bounded-state tree evidence while Online OCSVM provides complementary incremental boundary evidence.</w:t>
      </w:r>
    </w:p>
    <w:p>
      <w:pPr>
        <w:pStyle w:val="ListBullet"/>
      </w:pPr>
      <w:r>
        <w:rPr>
          <w:rFonts w:ascii="Calibri" w:hAnsi="Calibri"/>
          <w:color w:val="1E293B"/>
        </w:rPr>
        <w:t>Candidate and complete layered scoring can run silently before affecting any production decision.</w:t>
      </w:r>
    </w:p>
    <w:p>
      <w:pPr>
        <w:pStyle w:val="Heading2"/>
      </w:pPr>
      <w:r>
        <w:t>Offline-only boundary</w:t>
      </w:r>
    </w:p>
    <w:p>
      <w:r>
        <w:rPr>
          <w:rFonts w:ascii="Calibri" w:hAnsi="Calibri"/>
          <w:color w:val="1E293B"/>
        </w:rPr>
        <w:t>LOF, kernel One-Class SVM, Elliptic Envelope, and PCA Reconstruction are retained for partition comparison and research reporting but are explicitly blocked from production-v2 decisions. This preserves the thesis feature without exposing algorithms whose full-data behavior is unsuitable for millions of transactions.</w:t>
      </w:r>
    </w:p>
    <w:p>
      <w:pPr>
        <w:pStyle w:val="Heading1"/>
      </w:pPr>
      <w:r>
        <w:t>7. Reproducible Training Lifecycle</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Close date</w:t>
            </w:r>
          </w:p>
          <w:p>
            <w:pPr>
              <w:jc w:val="center"/>
            </w:pPr>
            <w:r>
              <w:rPr>
                <w:rFonts w:ascii="Calibri" w:hAnsi="Calibri"/>
                <w:color w:val="1E293B"/>
                <w:sz w:val="16"/>
              </w:rPr>
              <w:t>Freeze business-day eligibility</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Create run</w:t>
            </w:r>
          </w:p>
          <w:p>
            <w:pPr>
              <w:jc w:val="center"/>
            </w:pPr>
            <w:r>
              <w:rPr>
                <w:rFonts w:ascii="Calibri" w:hAnsi="Calibri"/>
                <w:color w:val="1E293B"/>
                <w:sz w:val="16"/>
              </w:rPr>
              <w:t>Window, cutoff, feature/model version</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Export</w:t>
            </w:r>
          </w:p>
          <w:p>
            <w:pPr>
              <w:jc w:val="center"/>
            </w:pPr>
            <w:r>
              <w:rPr>
                <w:rFonts w:ascii="Calibri" w:hAnsi="Calibri"/>
                <w:color w:val="1E293B"/>
                <w:sz w:val="16"/>
              </w:rPr>
              <w:t>Chunked checksummed Parquet</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Train</w:t>
            </w:r>
          </w:p>
          <w:p>
            <w:pPr>
              <w:jc w:val="center"/>
            </w:pPr>
            <w:r>
              <w:rPr>
                <w:rFonts w:ascii="Calibri" w:hAnsi="Calibri"/>
                <w:color w:val="1E293B"/>
                <w:sz w:val="16"/>
              </w:rPr>
              <w:t>HST / Online OCSVM candidates</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Shadow</w:t>
            </w:r>
          </w:p>
          <w:p>
            <w:pPr>
              <w:jc w:val="center"/>
            </w:pPr>
            <w:r>
              <w:rPr>
                <w:rFonts w:ascii="Calibri" w:hAnsi="Calibri"/>
                <w:color w:val="1E293B"/>
                <w:sz w:val="16"/>
              </w:rPr>
              <w:t>Layered comparison evidence</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Canary</w:t>
            </w:r>
          </w:p>
          <w:p>
            <w:pPr>
              <w:jc w:val="center"/>
            </w:pPr>
            <w:r>
              <w:rPr>
                <w:rFonts w:ascii="Calibri" w:hAnsi="Calibri"/>
                <w:color w:val="1E293B"/>
                <w:sz w:val="16"/>
              </w:rPr>
              <w:t>Exact-version segment pointer</w:t>
            </w:r>
          </w:p>
        </w:tc>
      </w:tr>
    </w:tbl>
    <w:p>
      <w:pPr>
        <w:spacing w:after="0"/>
      </w:pPr>
    </w:p>
    <w:p>
      <w:pPr>
        <w:pStyle w:val="Heading2"/>
      </w:pPr>
      <w:r>
        <w:t>Immutable dataset export</w:t>
      </w:r>
    </w:p>
    <w:p>
      <w:r>
        <w:rPr>
          <w:rFonts w:ascii="Calibri" w:hAnsi="Calibri"/>
          <w:color w:val="1E293B"/>
        </w:rPr>
        <w:t>Spring uses keyset pagination to export only eligible persisted feature rows. Files are written in bounded Parquet parts. A manifest records columns, part row counts, SHA-256 checksums, and an aggregate dataset checksum. The full dataset never has to reside in Java or Python memory.</w:t>
      </w:r>
    </w:p>
    <w:p>
      <w:pPr>
        <w:pStyle w:val="Heading2"/>
      </w:pPr>
      <w:r>
        <w:t>Immutable artifact registration</w:t>
      </w:r>
    </w:p>
    <w:p>
      <w:r>
        <w:rPr>
          <w:rFonts w:ascii="Calibri" w:hAnsi="Calibri"/>
          <w:color w:val="1E293B"/>
        </w:rPr>
        <w:t>Python writes the model state, feature schema, parameters, metrics, and manifest into a versioned candidate bundle. Spring independently verifies the deterministic bundle checksum before registering the candidate. Candidate registration and training-run completion occur transactionally.</w:t>
      </w:r>
    </w:p>
    <w:p>
      <w:pPr>
        <w:pStyle w:val="Heading2"/>
      </w:pPr>
      <w:r>
        <w:t>Champion-challenger validation</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0F2747"/>
            <w:tcMar>
              <w:top w:w="90" w:type="dxa"/>
              <w:start w:w="120" w:type="dxa"/>
              <w:bottom w:w="90" w:type="dxa"/>
              <w:end w:w="120" w:type="dxa"/>
            </w:tcMar>
            <w:vAlign w:val="center"/>
          </w:tcPr>
          <w:p>
            <w:r>
              <w:rPr>
                <w:rFonts w:ascii="Calibri" w:hAnsi="Calibri"/>
                <w:b/>
                <w:color w:val="FFFFFF"/>
                <w:sz w:val="18"/>
              </w:rPr>
              <w:t>Metric/gate</w:t>
            </w:r>
          </w:p>
        </w:tc>
        <w:tc>
          <w:tcPr>
            <w:tcW w:type="dxa" w:w="6260"/>
            <w:shd w:fill="0F2747"/>
            <w:tcMar>
              <w:top w:w="90" w:type="dxa"/>
              <w:start w:w="120" w:type="dxa"/>
              <w:bottom w:w="90" w:type="dxa"/>
              <w:end w:w="120" w:type="dxa"/>
            </w:tcMar>
            <w:vAlign w:val="center"/>
          </w:tcPr>
          <w:p>
            <w:r>
              <w:rPr>
                <w:rFonts w:ascii="Calibri" w:hAnsi="Calibri"/>
                <w:b/>
                <w:color w:val="FFFFFF"/>
                <w:sz w:val="18"/>
              </w:rPr>
              <w:t>Purpose</w:t>
            </w:r>
          </w:p>
        </w:tc>
      </w:tr>
      <w:tr>
        <w:tc>
          <w:tcPr>
            <w:tcW w:type="dxa" w:w="3100"/>
            <w:shd w:fill="F7FAFF"/>
            <w:tcMar>
              <w:top w:w="90" w:type="dxa"/>
              <w:start w:w="120" w:type="dxa"/>
              <w:bottom w:w="90" w:type="dxa"/>
              <w:end w:w="120" w:type="dxa"/>
            </w:tcMar>
            <w:vAlign w:val="center"/>
          </w:tcPr>
          <w:p>
            <w:r>
              <w:rPr>
                <w:rFonts w:ascii="Calibri" w:hAnsi="Calibri"/>
                <w:color w:val="1E293B"/>
                <w:sz w:val="18"/>
              </w:rPr>
              <w:t>Minimum silent predictions</w:t>
            </w:r>
          </w:p>
        </w:tc>
        <w:tc>
          <w:tcPr>
            <w:tcW w:type="dxa" w:w="6260"/>
            <w:shd w:fill="F7FAFF"/>
            <w:tcMar>
              <w:top w:w="90" w:type="dxa"/>
              <w:start w:w="120" w:type="dxa"/>
              <w:bottom w:w="90" w:type="dxa"/>
              <w:end w:w="120" w:type="dxa"/>
            </w:tcMar>
            <w:vAlign w:val="center"/>
          </w:tcPr>
          <w:p>
            <w:r>
              <w:rPr>
                <w:rFonts w:ascii="Calibri" w:hAnsi="Calibri"/>
                <w:color w:val="1E293B"/>
                <w:sz w:val="18"/>
              </w:rPr>
              <w:t>Prevents decisions on a tiny observation sample.</w:t>
            </w:r>
          </w:p>
        </w:tc>
      </w:tr>
      <w:tr>
        <w:tc>
          <w:tcPr>
            <w:tcW w:type="dxa" w:w="3100"/>
            <w:tcMar>
              <w:top w:w="90" w:type="dxa"/>
              <w:start w:w="120" w:type="dxa"/>
              <w:bottom w:w="90" w:type="dxa"/>
              <w:end w:w="120" w:type="dxa"/>
            </w:tcMar>
            <w:vAlign w:val="center"/>
          </w:tcPr>
          <w:p>
            <w:r>
              <w:rPr>
                <w:rFonts w:ascii="Calibri" w:hAnsi="Calibri"/>
                <w:color w:val="1E293B"/>
                <w:sz w:val="18"/>
              </w:rPr>
              <w:t>Candidate anomaly rate</w:t>
            </w:r>
          </w:p>
        </w:tc>
        <w:tc>
          <w:tcPr>
            <w:tcW w:type="dxa" w:w="6260"/>
            <w:tcMar>
              <w:top w:w="90" w:type="dxa"/>
              <w:start w:w="120" w:type="dxa"/>
              <w:bottom w:w="90" w:type="dxa"/>
              <w:end w:w="120" w:type="dxa"/>
            </w:tcMar>
            <w:vAlign w:val="center"/>
          </w:tcPr>
          <w:p>
            <w:r>
              <w:rPr>
                <w:rFonts w:ascii="Calibri" w:hAnsi="Calibri"/>
                <w:color w:val="1E293B"/>
                <w:sz w:val="18"/>
              </w:rPr>
              <w:t>Rejects candidates that flag implausibly few or many transactions.</w:t>
            </w:r>
          </w:p>
        </w:tc>
      </w:tr>
      <w:tr>
        <w:tc>
          <w:tcPr>
            <w:tcW w:type="dxa" w:w="3100"/>
            <w:shd w:fill="F7FAFF"/>
            <w:tcMar>
              <w:top w:w="90" w:type="dxa"/>
              <w:start w:w="120" w:type="dxa"/>
              <w:bottom w:w="90" w:type="dxa"/>
              <w:end w:w="120" w:type="dxa"/>
            </w:tcMar>
            <w:vAlign w:val="center"/>
          </w:tcPr>
          <w:p>
            <w:r>
              <w:rPr>
                <w:rFonts w:ascii="Calibri" w:hAnsi="Calibri"/>
                <w:color w:val="1E293B"/>
                <w:sz w:val="18"/>
              </w:rPr>
              <w:t>Agreement and Jaccard</w:t>
            </w:r>
          </w:p>
        </w:tc>
        <w:tc>
          <w:tcPr>
            <w:tcW w:type="dxa" w:w="6260"/>
            <w:shd w:fill="F7FAFF"/>
            <w:tcMar>
              <w:top w:w="90" w:type="dxa"/>
              <w:start w:w="120" w:type="dxa"/>
              <w:bottom w:w="90" w:type="dxa"/>
              <w:end w:w="120" w:type="dxa"/>
            </w:tcMar>
            <w:vAlign w:val="center"/>
          </w:tcPr>
          <w:p>
            <w:r>
              <w:rPr>
                <w:rFonts w:ascii="Calibri" w:hAnsi="Calibri"/>
                <w:color w:val="1E293B"/>
                <w:sz w:val="18"/>
              </w:rPr>
              <w:t>Measures overlap and disagreement with the current production decision.</w:t>
            </w:r>
          </w:p>
        </w:tc>
      </w:tr>
      <w:tr>
        <w:tc>
          <w:tcPr>
            <w:tcW w:type="dxa" w:w="3100"/>
            <w:tcMar>
              <w:top w:w="90" w:type="dxa"/>
              <w:start w:w="120" w:type="dxa"/>
              <w:bottom w:w="90" w:type="dxa"/>
              <w:end w:w="120" w:type="dxa"/>
            </w:tcMar>
            <w:vAlign w:val="center"/>
          </w:tcPr>
          <w:p>
            <w:r>
              <w:rPr>
                <w:rFonts w:ascii="Calibri" w:hAnsi="Calibri"/>
                <w:color w:val="1E293B"/>
                <w:sz w:val="18"/>
              </w:rPr>
              <w:t>P50/P95/P99 score separation</w:t>
            </w:r>
          </w:p>
        </w:tc>
        <w:tc>
          <w:tcPr>
            <w:tcW w:type="dxa" w:w="6260"/>
            <w:tcMar>
              <w:top w:w="90" w:type="dxa"/>
              <w:start w:w="120" w:type="dxa"/>
              <w:bottom w:w="90" w:type="dxa"/>
              <w:end w:w="120" w:type="dxa"/>
            </w:tcMar>
            <w:vAlign w:val="center"/>
          </w:tcPr>
          <w:p>
            <w:r>
              <w:rPr>
                <w:rFonts w:ascii="Calibri" w:hAnsi="Calibri"/>
                <w:color w:val="1E293B"/>
                <w:sz w:val="18"/>
              </w:rPr>
              <w:t>Checks whether the upper anomaly tail is distinguishable from typical scores.</w:t>
            </w:r>
          </w:p>
        </w:tc>
      </w:tr>
      <w:tr>
        <w:tc>
          <w:tcPr>
            <w:tcW w:type="dxa" w:w="3100"/>
            <w:shd w:fill="F7FAFF"/>
            <w:tcMar>
              <w:top w:w="90" w:type="dxa"/>
              <w:start w:w="120" w:type="dxa"/>
              <w:bottom w:w="90" w:type="dxa"/>
              <w:end w:w="120" w:type="dxa"/>
            </w:tcMar>
            <w:vAlign w:val="center"/>
          </w:tcPr>
          <w:p>
            <w:r>
              <w:rPr>
                <w:rFonts w:ascii="Calibri" w:hAnsi="Calibri"/>
                <w:color w:val="1E293B"/>
                <w:sz w:val="18"/>
              </w:rPr>
              <w:t>Daily anomaly-rate deviation</w:t>
            </w:r>
          </w:p>
        </w:tc>
        <w:tc>
          <w:tcPr>
            <w:tcW w:type="dxa" w:w="6260"/>
            <w:shd w:fill="F7FAFF"/>
            <w:tcMar>
              <w:top w:w="90" w:type="dxa"/>
              <w:start w:w="120" w:type="dxa"/>
              <w:bottom w:w="90" w:type="dxa"/>
              <w:end w:w="120" w:type="dxa"/>
            </w:tcMar>
            <w:vAlign w:val="center"/>
          </w:tcPr>
          <w:p>
            <w:r>
              <w:rPr>
                <w:rFonts w:ascii="Calibri" w:hAnsi="Calibri"/>
                <w:color w:val="1E293B"/>
                <w:sz w:val="18"/>
              </w:rPr>
              <w:t>Measures day-to-day operational stability.</w:t>
            </w:r>
          </w:p>
        </w:tc>
      </w:tr>
      <w:tr>
        <w:tc>
          <w:tcPr>
            <w:tcW w:type="dxa" w:w="3100"/>
            <w:tcMar>
              <w:top w:w="90" w:type="dxa"/>
              <w:start w:w="120" w:type="dxa"/>
              <w:bottom w:w="90" w:type="dxa"/>
              <w:end w:w="120" w:type="dxa"/>
            </w:tcMar>
            <w:vAlign w:val="center"/>
          </w:tcPr>
          <w:p>
            <w:r>
              <w:rPr>
                <w:rFonts w:ascii="Calibri" w:hAnsi="Calibri"/>
                <w:color w:val="1E293B"/>
                <w:sz w:val="18"/>
              </w:rPr>
              <w:t>Reviewed precision</w:t>
            </w:r>
          </w:p>
        </w:tc>
        <w:tc>
          <w:tcPr>
            <w:tcW w:type="dxa" w:w="6260"/>
            <w:tcMar>
              <w:top w:w="90" w:type="dxa"/>
              <w:start w:w="120" w:type="dxa"/>
              <w:bottom w:w="90" w:type="dxa"/>
              <w:end w:w="120" w:type="dxa"/>
            </w:tcMar>
            <w:vAlign w:val="center"/>
          </w:tcPr>
          <w:p>
            <w:r>
              <w:rPr>
                <w:rFonts w:ascii="Calibri" w:hAnsi="Calibri"/>
                <w:color w:val="1E293B"/>
                <w:sz w:val="18"/>
              </w:rPr>
              <w:t>Uses reviewed overlaps when enough outcomes exist, while acknowledging selection bias.</w:t>
            </w:r>
          </w:p>
        </w:tc>
      </w:tr>
    </w:tbl>
    <w:p>
      <w:pPr>
        <w:spacing w:after="0"/>
      </w:pPr>
    </w:p>
    <w:p>
      <w:pPr>
        <w:pStyle w:val="Heading2"/>
      </w:pPr>
      <w:r>
        <w:t>Promotion and rollback</w:t>
      </w:r>
    </w:p>
    <w:p>
      <w:r>
        <w:rPr>
          <w:rFonts w:ascii="Calibri" w:hAnsi="Calibri"/>
          <w:color w:val="1E293B"/>
        </w:rPr>
        <w:t>Only ADMIN or AML_ADMIN can promote or roll back. Individual model promotion verifies candidate evidence and artifacts. Layered architecture promotion additionally requires a recent passing segment report, locks exact policy/HST/Online OCSVM versions, and activates deterministic account-level canary traffic. A unique action ID makes requests idempotent. Architecture rollback atomically sets the segment to Isolation Forest fallback with zero layered traffic.</w:t>
      </w:r>
    </w:p>
    <w:p>
      <w:pPr>
        <w:pStyle w:val="Heading1"/>
      </w:pPr>
      <w:r>
        <w:t>8. Scalability for Millions of Transactions</w:t>
      </w:r>
    </w:p>
    <w:p>
      <w:pPr>
        <w:pStyle w:val="Heading2"/>
      </w:pPr>
      <w:r>
        <w:t>Problems and implemented responses</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shd w:fill="0F2747"/>
            <w:tcMar>
              <w:top w:w="90" w:type="dxa"/>
              <w:start w:w="120" w:type="dxa"/>
              <w:bottom w:w="90" w:type="dxa"/>
              <w:end w:w="120" w:type="dxa"/>
            </w:tcMar>
            <w:vAlign w:val="center"/>
          </w:tcPr>
          <w:p>
            <w:r>
              <w:rPr>
                <w:rFonts w:ascii="Calibri" w:hAnsi="Calibri"/>
                <w:b/>
                <w:color w:val="FFFFFF"/>
                <w:sz w:val="18"/>
              </w:rPr>
              <w:t>Scalability problem</w:t>
            </w:r>
          </w:p>
        </w:tc>
        <w:tc>
          <w:tcPr>
            <w:tcW w:type="dxa" w:w="4300"/>
            <w:shd w:fill="0F2747"/>
            <w:tcMar>
              <w:top w:w="90" w:type="dxa"/>
              <w:start w:w="120" w:type="dxa"/>
              <w:bottom w:w="90" w:type="dxa"/>
              <w:end w:w="120" w:type="dxa"/>
            </w:tcMar>
            <w:vAlign w:val="center"/>
          </w:tcPr>
          <w:p>
            <w:r>
              <w:rPr>
                <w:rFonts w:ascii="Calibri" w:hAnsi="Calibri"/>
                <w:b/>
                <w:color w:val="FFFFFF"/>
                <w:sz w:val="18"/>
              </w:rPr>
              <w:t>Implemented response</w:t>
            </w:r>
          </w:p>
        </w:tc>
        <w:tc>
          <w:tcPr>
            <w:tcW w:type="dxa" w:w="2360"/>
            <w:shd w:fill="0F2747"/>
            <w:tcMar>
              <w:top w:w="90" w:type="dxa"/>
              <w:start w:w="120" w:type="dxa"/>
              <w:bottom w:w="90" w:type="dxa"/>
              <w:end w:w="120" w:type="dxa"/>
            </w:tcMar>
            <w:vAlign w:val="center"/>
          </w:tcPr>
          <w:p>
            <w:r>
              <w:rPr>
                <w:rFonts w:ascii="Calibri" w:hAnsi="Calibri"/>
                <w:b/>
                <w:color w:val="FFFFFF"/>
                <w:sz w:val="18"/>
              </w:rPr>
              <w:t>Benefit</w:t>
            </w:r>
          </w:p>
        </w:tc>
      </w:tr>
      <w:tr>
        <w:tc>
          <w:tcPr>
            <w:tcW w:type="dxa" w:w="2700"/>
            <w:shd w:fill="F7FAFF"/>
            <w:tcMar>
              <w:top w:w="90" w:type="dxa"/>
              <w:start w:w="120" w:type="dxa"/>
              <w:bottom w:w="90" w:type="dxa"/>
              <w:end w:w="120" w:type="dxa"/>
            </w:tcMar>
            <w:vAlign w:val="center"/>
          </w:tcPr>
          <w:p>
            <w:r>
              <w:rPr>
                <w:rFonts w:ascii="Calibri" w:hAnsi="Calibri"/>
                <w:color w:val="1E293B"/>
                <w:sz w:val="18"/>
              </w:rPr>
              <w:t>Millions of rows cannot be sent as one JSON payload</w:t>
            </w:r>
          </w:p>
        </w:tc>
        <w:tc>
          <w:tcPr>
            <w:tcW w:type="dxa" w:w="4300"/>
            <w:shd w:fill="F7FAFF"/>
            <w:tcMar>
              <w:top w:w="90" w:type="dxa"/>
              <w:start w:w="120" w:type="dxa"/>
              <w:bottom w:w="90" w:type="dxa"/>
              <w:end w:w="120" w:type="dxa"/>
            </w:tcMar>
            <w:vAlign w:val="center"/>
          </w:tcPr>
          <w:p>
            <w:r>
              <w:rPr>
                <w:rFonts w:ascii="Calibri" w:hAnsi="Calibri"/>
                <w:color w:val="1E293B"/>
                <w:sz w:val="18"/>
              </w:rPr>
              <w:t>Spring exports immutable Parquet files; Python reads them directly in batches.</w:t>
            </w:r>
          </w:p>
        </w:tc>
        <w:tc>
          <w:tcPr>
            <w:tcW w:type="dxa" w:w="2360"/>
            <w:shd w:fill="F7FAFF"/>
            <w:tcMar>
              <w:top w:w="90" w:type="dxa"/>
              <w:start w:w="120" w:type="dxa"/>
              <w:bottom w:w="90" w:type="dxa"/>
              <w:end w:w="120" w:type="dxa"/>
            </w:tcMar>
            <w:vAlign w:val="center"/>
          </w:tcPr>
          <w:p>
            <w:r>
              <w:rPr>
                <w:rFonts w:ascii="Calibri" w:hAnsi="Calibri"/>
                <w:color w:val="1E293B"/>
                <w:sz w:val="18"/>
              </w:rPr>
              <w:t>Lower serialization cost and bounded memory.</w:t>
            </w:r>
          </w:p>
        </w:tc>
      </w:tr>
      <w:tr>
        <w:tc>
          <w:tcPr>
            <w:tcW w:type="dxa" w:w="2700"/>
            <w:tcMar>
              <w:top w:w="90" w:type="dxa"/>
              <w:start w:w="120" w:type="dxa"/>
              <w:bottom w:w="90" w:type="dxa"/>
              <w:end w:w="120" w:type="dxa"/>
            </w:tcMar>
            <w:vAlign w:val="center"/>
          </w:tcPr>
          <w:p>
            <w:r>
              <w:rPr>
                <w:rFonts w:ascii="Calibri" w:hAnsi="Calibri"/>
                <w:color w:val="1E293B"/>
                <w:sz w:val="18"/>
              </w:rPr>
              <w:t>Full lifetime data cannot fit in one process</w:t>
            </w:r>
          </w:p>
        </w:tc>
        <w:tc>
          <w:tcPr>
            <w:tcW w:type="dxa" w:w="4300"/>
            <w:tcMar>
              <w:top w:w="90" w:type="dxa"/>
              <w:start w:w="120" w:type="dxa"/>
              <w:bottom w:w="90" w:type="dxa"/>
              <w:end w:w="120" w:type="dxa"/>
            </w:tcMar>
            <w:vAlign w:val="center"/>
          </w:tcPr>
          <w:p>
            <w:r>
              <w:rPr>
                <w:rFonts w:ascii="Calibri" w:hAnsi="Calibri"/>
                <w:color w:val="1E293B"/>
                <w:sz w:val="18"/>
              </w:rPr>
              <w:t>Keyset-paginated export, configurable part size, record-batch decoding, and incremental learning.</w:t>
            </w:r>
          </w:p>
        </w:tc>
        <w:tc>
          <w:tcPr>
            <w:tcW w:type="dxa" w:w="2360"/>
            <w:tcMar>
              <w:top w:w="90" w:type="dxa"/>
              <w:start w:w="120" w:type="dxa"/>
              <w:bottom w:w="90" w:type="dxa"/>
              <w:end w:w="120" w:type="dxa"/>
            </w:tcMar>
            <w:vAlign w:val="center"/>
          </w:tcPr>
          <w:p>
            <w:r>
              <w:rPr>
                <w:rFonts w:ascii="Calibri" w:hAnsi="Calibri"/>
                <w:color w:val="1E293B"/>
                <w:sz w:val="18"/>
              </w:rPr>
              <w:t>Memory use depends on chunk/model settings, not total rows.</w:t>
            </w:r>
          </w:p>
        </w:tc>
      </w:tr>
      <w:tr>
        <w:tc>
          <w:tcPr>
            <w:tcW w:type="dxa" w:w="2700"/>
            <w:shd w:fill="F7FAFF"/>
            <w:tcMar>
              <w:top w:w="90" w:type="dxa"/>
              <w:start w:w="120" w:type="dxa"/>
              <w:bottom w:w="90" w:type="dxa"/>
              <w:end w:w="120" w:type="dxa"/>
            </w:tcMar>
            <w:vAlign w:val="center"/>
          </w:tcPr>
          <w:p>
            <w:r>
              <w:rPr>
                <w:rFonts w:ascii="Calibri" w:hAnsi="Calibri"/>
                <w:color w:val="1E293B"/>
                <w:sz w:val="18"/>
              </w:rPr>
              <w:t>Expensive algorithms become impractical</w:t>
            </w:r>
          </w:p>
        </w:tc>
        <w:tc>
          <w:tcPr>
            <w:tcW w:type="dxa" w:w="4300"/>
            <w:shd w:fill="F7FAFF"/>
            <w:tcMar>
              <w:top w:w="90" w:type="dxa"/>
              <w:start w:w="120" w:type="dxa"/>
              <w:bottom w:w="90" w:type="dxa"/>
              <w:end w:w="120" w:type="dxa"/>
            </w:tcMar>
            <w:vAlign w:val="center"/>
          </w:tcPr>
          <w:p>
            <w:r>
              <w:rPr>
                <w:rFonts w:ascii="Calibri" w:hAnsi="Calibri"/>
                <w:color w:val="1E293B"/>
                <w:sz w:val="18"/>
              </w:rPr>
              <w:t>Production uses HST; costly classical models are capped/offline; Isolation Forest uses controlled batch fitting.</w:t>
            </w:r>
          </w:p>
        </w:tc>
        <w:tc>
          <w:tcPr>
            <w:tcW w:type="dxa" w:w="2360"/>
            <w:shd w:fill="F7FAFF"/>
            <w:tcMar>
              <w:top w:w="90" w:type="dxa"/>
              <w:start w:w="120" w:type="dxa"/>
              <w:bottom w:w="90" w:type="dxa"/>
              <w:end w:w="120" w:type="dxa"/>
            </w:tcMar>
            <w:vAlign w:val="center"/>
          </w:tcPr>
          <w:p>
            <w:r>
              <w:rPr>
                <w:rFonts w:ascii="Calibri" w:hAnsi="Calibri"/>
                <w:color w:val="1E293B"/>
                <w:sz w:val="18"/>
              </w:rPr>
              <w:t>Predictable resource use without losing research comparison.</w:t>
            </w:r>
          </w:p>
        </w:tc>
      </w:tr>
      <w:tr>
        <w:tc>
          <w:tcPr>
            <w:tcW w:type="dxa" w:w="2700"/>
            <w:tcMar>
              <w:top w:w="90" w:type="dxa"/>
              <w:start w:w="120" w:type="dxa"/>
              <w:bottom w:w="90" w:type="dxa"/>
              <w:end w:w="120" w:type="dxa"/>
            </w:tcMar>
            <w:vAlign w:val="center"/>
          </w:tcPr>
          <w:p>
            <w:r>
              <w:rPr>
                <w:rFonts w:ascii="Calibri" w:hAnsi="Calibri"/>
                <w:color w:val="1E293B"/>
                <w:sz w:val="18"/>
              </w:rPr>
              <w:t>Training must not block transaction APIs</w:t>
            </w:r>
          </w:p>
        </w:tc>
        <w:tc>
          <w:tcPr>
            <w:tcW w:type="dxa" w:w="4300"/>
            <w:tcMar>
              <w:top w:w="90" w:type="dxa"/>
              <w:start w:w="120" w:type="dxa"/>
              <w:bottom w:w="90" w:type="dxa"/>
              <w:end w:w="120" w:type="dxa"/>
            </w:tcMar>
            <w:vAlign w:val="center"/>
          </w:tcPr>
          <w:p>
            <w:r>
              <w:rPr>
                <w:rFonts w:ascii="Calibri" w:hAnsi="Calibri"/>
                <w:color w:val="1E293B"/>
                <w:sz w:val="18"/>
              </w:rPr>
              <w:t>Dataset export and HST training are asynchronous run states.</w:t>
            </w:r>
          </w:p>
        </w:tc>
        <w:tc>
          <w:tcPr>
            <w:tcW w:type="dxa" w:w="2360"/>
            <w:tcMar>
              <w:top w:w="90" w:type="dxa"/>
              <w:start w:w="120" w:type="dxa"/>
              <w:bottom w:w="90" w:type="dxa"/>
              <w:end w:w="120" w:type="dxa"/>
            </w:tcMar>
            <w:vAlign w:val="center"/>
          </w:tcPr>
          <w:p>
            <w:r>
              <w:rPr>
                <w:rFonts w:ascii="Calibri" w:hAnsi="Calibri"/>
                <w:color w:val="1E293B"/>
                <w:sz w:val="18"/>
              </w:rPr>
              <w:t>Ingestion remains available while background jobs progress.</w:t>
            </w:r>
          </w:p>
        </w:tc>
      </w:tr>
      <w:tr>
        <w:tc>
          <w:tcPr>
            <w:tcW w:type="dxa" w:w="2700"/>
            <w:shd w:fill="F7FAFF"/>
            <w:tcMar>
              <w:top w:w="90" w:type="dxa"/>
              <w:start w:w="120" w:type="dxa"/>
              <w:bottom w:w="90" w:type="dxa"/>
              <w:end w:w="120" w:type="dxa"/>
            </w:tcMar>
            <w:vAlign w:val="center"/>
          </w:tcPr>
          <w:p>
            <w:r>
              <w:rPr>
                <w:rFonts w:ascii="Calibri" w:hAnsi="Calibri"/>
                <w:color w:val="1E293B"/>
                <w:sz w:val="18"/>
              </w:rPr>
              <w:t>Continuous retraining may learn anomalies</w:t>
            </w:r>
          </w:p>
        </w:tc>
        <w:tc>
          <w:tcPr>
            <w:tcW w:type="dxa" w:w="4300"/>
            <w:shd w:fill="F7FAFF"/>
            <w:tcMar>
              <w:top w:w="90" w:type="dxa"/>
              <w:start w:w="120" w:type="dxa"/>
              <w:bottom w:w="90" w:type="dxa"/>
              <w:end w:w="120" w:type="dxa"/>
            </w:tcMar>
            <w:vAlign w:val="center"/>
          </w:tcPr>
          <w:p>
            <w:r>
              <w:rPr>
                <w:rFonts w:ascii="Calibri" w:hAnsi="Calibri"/>
                <w:color w:val="1E293B"/>
                <w:sz w:val="18"/>
              </w:rPr>
              <w:t>Observed/trusted profiles and learning-eligibility decisions quarantine unsafe examples.</w:t>
            </w:r>
          </w:p>
        </w:tc>
        <w:tc>
          <w:tcPr>
            <w:tcW w:type="dxa" w:w="2360"/>
            <w:shd w:fill="F7FAFF"/>
            <w:tcMar>
              <w:top w:w="90" w:type="dxa"/>
              <w:start w:w="120" w:type="dxa"/>
              <w:bottom w:w="90" w:type="dxa"/>
              <w:end w:w="120" w:type="dxa"/>
            </w:tcMar>
            <w:vAlign w:val="center"/>
          </w:tcPr>
          <w:p>
            <w:r>
              <w:rPr>
                <w:rFonts w:ascii="Calibri" w:hAnsi="Calibri"/>
                <w:color w:val="1E293B"/>
                <w:sz w:val="18"/>
              </w:rPr>
              <w:t>Reduces self-contamination.</w:t>
            </w:r>
          </w:p>
        </w:tc>
      </w:tr>
      <w:tr>
        <w:tc>
          <w:tcPr>
            <w:tcW w:type="dxa" w:w="2700"/>
            <w:tcMar>
              <w:top w:w="90" w:type="dxa"/>
              <w:start w:w="120" w:type="dxa"/>
              <w:bottom w:w="90" w:type="dxa"/>
              <w:end w:w="120" w:type="dxa"/>
            </w:tcMar>
            <w:vAlign w:val="center"/>
          </w:tcPr>
          <w:p>
            <w:r>
              <w:rPr>
                <w:rFonts w:ascii="Calibri" w:hAnsi="Calibri"/>
                <w:color w:val="1E293B"/>
                <w:sz w:val="18"/>
              </w:rPr>
              <w:t>Model changes can create operational incidents</w:t>
            </w:r>
          </w:p>
        </w:tc>
        <w:tc>
          <w:tcPr>
            <w:tcW w:type="dxa" w:w="4300"/>
            <w:tcMar>
              <w:top w:w="90" w:type="dxa"/>
              <w:start w:w="120" w:type="dxa"/>
              <w:bottom w:w="90" w:type="dxa"/>
              <w:end w:w="120" w:type="dxa"/>
            </w:tcMar>
            <w:vAlign w:val="center"/>
          </w:tcPr>
          <w:p>
            <w:r>
              <w:rPr>
                <w:rFonts w:ascii="Calibri" w:hAnsi="Calibri"/>
                <w:color w:val="1E293B"/>
                <w:sz w:val="18"/>
              </w:rPr>
              <w:t>Silent challengers, validation gates, explicit promotion, active pointers, and rollback.</w:t>
            </w:r>
          </w:p>
        </w:tc>
        <w:tc>
          <w:tcPr>
            <w:tcW w:type="dxa" w:w="2360"/>
            <w:tcMar>
              <w:top w:w="90" w:type="dxa"/>
              <w:start w:w="120" w:type="dxa"/>
              <w:bottom w:w="90" w:type="dxa"/>
              <w:end w:w="120" w:type="dxa"/>
            </w:tcMar>
            <w:vAlign w:val="center"/>
          </w:tcPr>
          <w:p>
            <w:r>
              <w:rPr>
                <w:rFonts w:ascii="Calibri" w:hAnsi="Calibri"/>
                <w:color w:val="1E293B"/>
                <w:sz w:val="18"/>
              </w:rPr>
              <w:t>Safer deployment and fast recovery.</w:t>
            </w:r>
          </w:p>
        </w:tc>
      </w:tr>
      <w:tr>
        <w:tc>
          <w:tcPr>
            <w:tcW w:type="dxa" w:w="2700"/>
            <w:shd w:fill="F7FAFF"/>
            <w:tcMar>
              <w:top w:w="90" w:type="dxa"/>
              <w:start w:w="120" w:type="dxa"/>
              <w:bottom w:w="90" w:type="dxa"/>
              <w:end w:w="120" w:type="dxa"/>
            </w:tcMar>
            <w:vAlign w:val="center"/>
          </w:tcPr>
          <w:p>
            <w:r>
              <w:rPr>
                <w:rFonts w:ascii="Calibri" w:hAnsi="Calibri"/>
                <w:color w:val="1E293B"/>
                <w:sz w:val="18"/>
              </w:rPr>
              <w:t>Different customer populations behave differently</w:t>
            </w:r>
          </w:p>
        </w:tc>
        <w:tc>
          <w:tcPr>
            <w:tcW w:type="dxa" w:w="4300"/>
            <w:shd w:fill="F7FAFF"/>
            <w:tcMar>
              <w:top w:w="90" w:type="dxa"/>
              <w:start w:w="120" w:type="dxa"/>
              <w:bottom w:w="90" w:type="dxa"/>
              <w:end w:w="120" w:type="dxa"/>
            </w:tcMar>
            <w:vAlign w:val="center"/>
          </w:tcPr>
          <w:p>
            <w:r>
              <w:rPr>
                <w:rFonts w:ascii="Calibri" w:hAnsi="Calibri"/>
                <w:color w:val="1E293B"/>
                <w:sz w:val="18"/>
              </w:rPr>
              <w:t>Segment-specific champions with GLOBAL fallback.</w:t>
            </w:r>
          </w:p>
        </w:tc>
        <w:tc>
          <w:tcPr>
            <w:tcW w:type="dxa" w:w="2360"/>
            <w:shd w:fill="F7FAFF"/>
            <w:tcMar>
              <w:top w:w="90" w:type="dxa"/>
              <w:start w:w="120" w:type="dxa"/>
              <w:bottom w:w="90" w:type="dxa"/>
              <w:end w:w="120" w:type="dxa"/>
            </w:tcMar>
            <w:vAlign w:val="center"/>
          </w:tcPr>
          <w:p>
            <w:r>
              <w:rPr>
                <w:rFonts w:ascii="Calibri" w:hAnsi="Calibri"/>
                <w:color w:val="1E293B"/>
                <w:sz w:val="18"/>
              </w:rPr>
              <w:t>Targeted behavior without breaking unmatched segments.</w:t>
            </w:r>
          </w:p>
        </w:tc>
      </w:tr>
      <w:tr>
        <w:tc>
          <w:tcPr>
            <w:tcW w:type="dxa" w:w="2700"/>
            <w:tcMar>
              <w:top w:w="90" w:type="dxa"/>
              <w:start w:w="120" w:type="dxa"/>
              <w:bottom w:w="90" w:type="dxa"/>
              <w:end w:w="120" w:type="dxa"/>
            </w:tcMar>
            <w:vAlign w:val="center"/>
          </w:tcPr>
          <w:p>
            <w:r>
              <w:rPr>
                <w:rFonts w:ascii="Calibri" w:hAnsi="Calibri"/>
                <w:color w:val="1E293B"/>
                <w:sz w:val="18"/>
              </w:rPr>
              <w:t>Browser cannot plot millions of points</w:t>
            </w:r>
          </w:p>
        </w:tc>
        <w:tc>
          <w:tcPr>
            <w:tcW w:type="dxa" w:w="4300"/>
            <w:tcMar>
              <w:top w:w="90" w:type="dxa"/>
              <w:start w:w="120" w:type="dxa"/>
              <w:bottom w:w="90" w:type="dxa"/>
              <w:end w:w="120" w:type="dxa"/>
            </w:tcMar>
            <w:vAlign w:val="center"/>
          </w:tcPr>
          <w:p>
            <w:r>
              <w:rPr>
                <w:rFonts w:ascii="Calibri" w:hAnsi="Calibri"/>
                <w:color w:val="1E293B"/>
                <w:sz w:val="18"/>
              </w:rPr>
              <w:t>Reports use metrics, learning curves, representative samples, and planned density aggregation.</w:t>
            </w:r>
          </w:p>
        </w:tc>
        <w:tc>
          <w:tcPr>
            <w:tcW w:type="dxa" w:w="2360"/>
            <w:tcMar>
              <w:top w:w="90" w:type="dxa"/>
              <w:start w:w="120" w:type="dxa"/>
              <w:bottom w:w="90" w:type="dxa"/>
              <w:end w:w="120" w:type="dxa"/>
            </w:tcMar>
            <w:vAlign w:val="center"/>
          </w:tcPr>
          <w:p>
            <w:r>
              <w:rPr>
                <w:rFonts w:ascii="Calibri" w:hAnsi="Calibri"/>
                <w:color w:val="1E293B"/>
                <w:sz w:val="18"/>
              </w:rPr>
              <w:t>Responsive visualization with statistically controlled sampling.</w:t>
            </w:r>
          </w:p>
        </w:tc>
      </w:tr>
    </w:tbl>
    <w:p>
      <w:pPr>
        <w:spacing w:after="0"/>
      </w:pPr>
    </w:p>
    <w:p>
      <w:pPr>
        <w:pStyle w:val="Heading2"/>
      </w:pPr>
      <w:r>
        <w:t>Horizontal scale path</w:t>
      </w:r>
    </w:p>
    <w:p>
      <w:r>
        <w:rPr>
          <w:rFonts w:ascii="Calibri" w:hAnsi="Calibri"/>
          <w:color w:val="1E293B"/>
        </w:rPr>
        <w:t>Spring remains stateless at the HTTP layer apart from SQL/filesystem dependencies and can be replicated behind a load balancer after shared storage and job coordination are externalized. Prediction workers can load the same approved versioned artifact and scale horizontally. Segment pointers in SQL provide deterministic routing.</w:t>
      </w:r>
    </w:p>
    <w:p>
      <w:pPr>
        <w:pStyle w:val="Heading2"/>
      </w:pPr>
      <w:r>
        <w:t>Operational metrics required at scale</w:t>
      </w:r>
    </w:p>
    <w:p>
      <w:pPr>
        <w:pStyle w:val="ListBullet"/>
      </w:pPr>
      <w:r>
        <w:rPr>
          <w:rFonts w:ascii="Calibri" w:hAnsi="Calibri"/>
          <w:color w:val="1E293B"/>
        </w:rPr>
        <w:t>Transaction throughput and ingestion lag.</w:t>
      </w:r>
    </w:p>
    <w:p>
      <w:pPr>
        <w:pStyle w:val="ListBullet"/>
      </w:pPr>
      <w:r>
        <w:rPr>
          <w:rFonts w:ascii="Calibri" w:hAnsi="Calibri"/>
          <w:color w:val="1E293B"/>
        </w:rPr>
        <w:t>Prediction p50, p95, and p99 latency and ML-service error rate.</w:t>
      </w:r>
    </w:p>
    <w:p>
      <w:pPr>
        <w:pStyle w:val="ListBullet"/>
      </w:pPr>
      <w:r>
        <w:rPr>
          <w:rFonts w:ascii="Calibri" w:hAnsi="Calibri"/>
          <w:color w:val="1E293B"/>
        </w:rPr>
        <w:t>Alert and case creation rate by segment, model version, and channel.</w:t>
      </w:r>
    </w:p>
    <w:p>
      <w:pPr>
        <w:pStyle w:val="ListBullet"/>
      </w:pPr>
      <w:r>
        <w:rPr>
          <w:rFonts w:ascii="Calibri" w:hAnsi="Calibri"/>
          <w:color w:val="1E293B"/>
        </w:rPr>
        <w:t>False-positive and STR-generated outcome rates.</w:t>
      </w:r>
    </w:p>
    <w:p>
      <w:pPr>
        <w:pStyle w:val="ListBullet"/>
      </w:pPr>
      <w:r>
        <w:rPr>
          <w:rFonts w:ascii="Calibri" w:hAnsi="Calibri"/>
          <w:color w:val="1E293B"/>
        </w:rPr>
        <w:t>Feature drift, score-distribution drift, model freshness, and data completeness.</w:t>
      </w:r>
    </w:p>
    <w:p>
      <w:pPr>
        <w:pStyle w:val="ListBullet"/>
      </w:pPr>
      <w:r>
        <w:rPr>
          <w:rFonts w:ascii="Calibri" w:hAnsi="Calibri"/>
          <w:color w:val="1E293B"/>
        </w:rPr>
        <w:t>Training duration, exported/learned rows, memory, artifact size, retries, and failed runs.</w:t>
      </w:r>
    </w:p>
    <w:p>
      <w:pPr>
        <w:pStyle w:val="Heading1"/>
      </w:pPr>
      <w:r>
        <w:t>9. Runtime Prediction and Case Flow</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Ingest</w:t>
            </w:r>
          </w:p>
          <w:p>
            <w:pPr>
              <w:jc w:val="center"/>
            </w:pPr>
            <w:r>
              <w:rPr>
                <w:rFonts w:ascii="Calibri" w:hAnsi="Calibri"/>
                <w:color w:val="1E293B"/>
                <w:sz w:val="16"/>
              </w:rPr>
              <w:t>Persist transaction</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Feature</w:t>
            </w:r>
          </w:p>
          <w:p>
            <w:pPr>
              <w:jc w:val="center"/>
            </w:pPr>
            <w:r>
              <w:rPr>
                <w:rFonts w:ascii="Calibri" w:hAnsi="Calibri"/>
                <w:color w:val="1E293B"/>
                <w:sz w:val="16"/>
              </w:rPr>
              <w:t>Compute/persist versioned vector</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Components</w:t>
            </w:r>
          </w:p>
          <w:p>
            <w:pPr>
              <w:jc w:val="center"/>
            </w:pPr>
            <w:r>
              <w:rPr>
                <w:rFonts w:ascii="Calibri" w:hAnsi="Calibri"/>
                <w:color w:val="1E293B"/>
                <w:sz w:val="16"/>
              </w:rPr>
              <w:t>Rules + behaviour + HST + OCSVM</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Aggregate</w:t>
            </w:r>
          </w:p>
          <w:p>
            <w:pPr>
              <w:jc w:val="center"/>
            </w:pPr>
            <w:r>
              <w:rPr>
                <w:rFonts w:ascii="Calibri" w:hAnsi="Calibri"/>
                <w:color w:val="1E293B"/>
                <w:sz w:val="16"/>
              </w:rPr>
              <w:t>Versioned weighted risk</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Route</w:t>
            </w:r>
          </w:p>
          <w:p>
            <w:pPr>
              <w:jc w:val="center"/>
            </w:pPr>
            <w:r>
              <w:rPr>
                <w:rFonts w:ascii="Calibri" w:hAnsi="Calibri"/>
                <w:color w:val="1E293B"/>
                <w:sz w:val="16"/>
              </w:rPr>
              <w:t>Canary or IF fallback</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Case</w:t>
            </w:r>
          </w:p>
          <w:p>
            <w:pPr>
              <w:jc w:val="center"/>
            </w:pPr>
            <w:r>
              <w:rPr>
                <w:rFonts w:ascii="Calibri" w:hAnsi="Calibri"/>
                <w:color w:val="1E293B"/>
                <w:sz w:val="16"/>
              </w:rPr>
              <w:t>Human review and outcome</w:t>
            </w:r>
          </w:p>
        </w:tc>
      </w:tr>
    </w:tbl>
    <w:p>
      <w:pPr>
        <w:spacing w:after="0"/>
      </w:pPr>
    </w:p>
    <w:p>
      <w:pPr>
        <w:pStyle w:val="Heading2"/>
      </w:pPr>
      <w:r>
        <w:t>Explainability evidence</w:t>
      </w:r>
    </w:p>
    <w:p>
      <w:r>
        <w:rPr>
          <w:rFonts w:ascii="Calibri" w:hAnsi="Calibri"/>
          <w:color w:val="1E293B"/>
        </w:rPr>
        <w:t>Prediction logs preserve final risk level and score, risk-policy version, exact model versions, component evidence, anomaly votes only for compatibility records, reason codes, learning decision, and timestamp. Case responses expose the latest decision evidence so investigators can see why the case exists and which architecture produced it.</w:t>
      </w:r>
    </w:p>
    <w:p>
      <w:pPr>
        <w:pStyle w:val="Heading2"/>
      </w:pPr>
      <w:r>
        <w:t>Reviewer outcomes</w:t>
      </w:r>
    </w:p>
    <w:p>
      <w:r>
        <w:rPr>
          <w:rFonts w:ascii="Calibri" w:hAnsi="Calibri"/>
          <w:color w:val="1E293B"/>
        </w:rPr>
        <w:t>A reviewer can generate a draft STR XML or mark the case false positive. Notes and actions form an audit trail. Outcomes also support future supervised evaluation and learning-eligibility policy, but the system distinguishes reviewed-alert precision from unbiased population precision.</w:t>
      </w:r>
    </w:p>
    <w:p>
      <w:pPr>
        <w:pStyle w:val="Heading1"/>
      </w:pPr>
      <w:r>
        <w:t>10. Security, Reliability, and Auditability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Control</w:t>
            </w:r>
          </w:p>
        </w:tc>
        <w:tc>
          <w:tcPr>
            <w:tcW w:type="dxa" w:w="6760"/>
            <w:shd w:fill="0F2747"/>
            <w:tcMar>
              <w:top w:w="90" w:type="dxa"/>
              <w:start w:w="120" w:type="dxa"/>
              <w:bottom w:w="90" w:type="dxa"/>
              <w:end w:w="120" w:type="dxa"/>
            </w:tcMar>
            <w:vAlign w:val="center"/>
          </w:tcPr>
          <w:p>
            <w:r>
              <w:rPr>
                <w:rFonts w:ascii="Calibri" w:hAnsi="Calibri"/>
                <w:b/>
                <w:color w:val="FFFFFF"/>
                <w:sz w:val="18"/>
              </w:rPr>
              <w:t>Implementation</w:t>
            </w:r>
          </w:p>
        </w:tc>
      </w:tr>
      <w:tr>
        <w:tc>
          <w:tcPr>
            <w:tcW w:type="dxa" w:w="2600"/>
            <w:shd w:fill="F7FAFF"/>
            <w:tcMar>
              <w:top w:w="90" w:type="dxa"/>
              <w:start w:w="120" w:type="dxa"/>
              <w:bottom w:w="90" w:type="dxa"/>
              <w:end w:w="120" w:type="dxa"/>
            </w:tcMar>
            <w:vAlign w:val="center"/>
          </w:tcPr>
          <w:p>
            <w:r>
              <w:rPr>
                <w:rFonts w:ascii="Calibri" w:hAnsi="Calibri"/>
                <w:color w:val="1E293B"/>
                <w:sz w:val="18"/>
              </w:rPr>
              <w:t>Authentication</w:t>
            </w:r>
          </w:p>
        </w:tc>
        <w:tc>
          <w:tcPr>
            <w:tcW w:type="dxa" w:w="6760"/>
            <w:shd w:fill="F7FAFF"/>
            <w:tcMar>
              <w:top w:w="90" w:type="dxa"/>
              <w:start w:w="120" w:type="dxa"/>
              <w:bottom w:w="90" w:type="dxa"/>
              <w:end w:w="120" w:type="dxa"/>
            </w:tcMar>
            <w:vAlign w:val="center"/>
          </w:tcPr>
          <w:p>
            <w:r>
              <w:rPr>
                <w:rFonts w:ascii="Calibri" w:hAnsi="Calibri"/>
                <w:color w:val="1E293B"/>
                <w:sz w:val="18"/>
              </w:rPr>
              <w:t>JWT issued by the Spring authentication module; browser requests use bearer tokens.</w:t>
            </w:r>
          </w:p>
        </w:tc>
      </w:tr>
      <w:tr>
        <w:tc>
          <w:tcPr>
            <w:tcW w:type="dxa" w:w="2600"/>
            <w:tcMar>
              <w:top w:w="90" w:type="dxa"/>
              <w:start w:w="120" w:type="dxa"/>
              <w:bottom w:w="90" w:type="dxa"/>
              <w:end w:w="120" w:type="dxa"/>
            </w:tcMar>
            <w:vAlign w:val="center"/>
          </w:tcPr>
          <w:p>
            <w:r>
              <w:rPr>
                <w:rFonts w:ascii="Calibri" w:hAnsi="Calibri"/>
                <w:color w:val="1E293B"/>
                <w:sz w:val="18"/>
              </w:rPr>
              <w:t>Role boundary</w:t>
            </w:r>
          </w:p>
        </w:tc>
        <w:tc>
          <w:tcPr>
            <w:tcW w:type="dxa" w:w="6760"/>
            <w:tcMar>
              <w:top w:w="90" w:type="dxa"/>
              <w:start w:w="120" w:type="dxa"/>
              <w:bottom w:w="90" w:type="dxa"/>
              <w:end w:w="120" w:type="dxa"/>
            </w:tcMar>
            <w:vAlign w:val="center"/>
          </w:tcPr>
          <w:p>
            <w:r>
              <w:rPr>
                <w:rFonts w:ascii="Calibri" w:hAnsi="Calibri"/>
                <w:color w:val="1E293B"/>
                <w:sz w:val="18"/>
              </w:rPr>
              <w:t>Administrative Angular routes and governance actions require ADMIN/AML_ADMIN; self-registration creates REVIEWER only.</w:t>
            </w:r>
          </w:p>
        </w:tc>
      </w:tr>
      <w:tr>
        <w:tc>
          <w:tcPr>
            <w:tcW w:type="dxa" w:w="2600"/>
            <w:shd w:fill="F7FAFF"/>
            <w:tcMar>
              <w:top w:w="90" w:type="dxa"/>
              <w:start w:w="120" w:type="dxa"/>
              <w:bottom w:w="90" w:type="dxa"/>
              <w:end w:w="120" w:type="dxa"/>
            </w:tcMar>
            <w:vAlign w:val="center"/>
          </w:tcPr>
          <w:p>
            <w:r>
              <w:rPr>
                <w:rFonts w:ascii="Calibri" w:hAnsi="Calibri"/>
                <w:color w:val="1E293B"/>
                <w:sz w:val="18"/>
              </w:rPr>
              <w:t>CORS</w:t>
            </w:r>
          </w:p>
        </w:tc>
        <w:tc>
          <w:tcPr>
            <w:tcW w:type="dxa" w:w="6760"/>
            <w:shd w:fill="F7FAFF"/>
            <w:tcMar>
              <w:top w:w="90" w:type="dxa"/>
              <w:start w:w="120" w:type="dxa"/>
              <w:bottom w:w="90" w:type="dxa"/>
              <w:end w:w="120" w:type="dxa"/>
            </w:tcMar>
            <w:vAlign w:val="center"/>
          </w:tcPr>
          <w:p>
            <w:r>
              <w:rPr>
                <w:rFonts w:ascii="Calibri" w:hAnsi="Calibri"/>
                <w:color w:val="1E293B"/>
                <w:sz w:val="18"/>
              </w:rPr>
              <w:t>Browser origins are explicitly configured for the Angular host.</w:t>
            </w:r>
          </w:p>
        </w:tc>
      </w:tr>
      <w:tr>
        <w:tc>
          <w:tcPr>
            <w:tcW w:type="dxa" w:w="2600"/>
            <w:tcMar>
              <w:top w:w="90" w:type="dxa"/>
              <w:start w:w="120" w:type="dxa"/>
              <w:bottom w:w="90" w:type="dxa"/>
              <w:end w:w="120" w:type="dxa"/>
            </w:tcMar>
            <w:vAlign w:val="center"/>
          </w:tcPr>
          <w:p>
            <w:r>
              <w:rPr>
                <w:rFonts w:ascii="Calibri" w:hAnsi="Calibri"/>
                <w:color w:val="1E293B"/>
                <w:sz w:val="18"/>
              </w:rPr>
              <w:t>Database ownership</w:t>
            </w:r>
          </w:p>
        </w:tc>
        <w:tc>
          <w:tcPr>
            <w:tcW w:type="dxa" w:w="6760"/>
            <w:tcMar>
              <w:top w:w="90" w:type="dxa"/>
              <w:start w:w="120" w:type="dxa"/>
              <w:bottom w:w="90" w:type="dxa"/>
              <w:end w:w="120" w:type="dxa"/>
            </w:tcMar>
            <w:vAlign w:val="center"/>
          </w:tcPr>
          <w:p>
            <w:r>
              <w:rPr>
                <w:rFonts w:ascii="Calibri" w:hAnsi="Calibri"/>
                <w:color w:val="1E293B"/>
                <w:sz w:val="18"/>
              </w:rPr>
              <w:t>Only Spring accesses SQL Server, reducing duplicated persistence logic and credentials.</w:t>
            </w:r>
          </w:p>
        </w:tc>
      </w:tr>
      <w:tr>
        <w:tc>
          <w:tcPr>
            <w:tcW w:type="dxa" w:w="2600"/>
            <w:shd w:fill="F7FAFF"/>
            <w:tcMar>
              <w:top w:w="90" w:type="dxa"/>
              <w:start w:w="120" w:type="dxa"/>
              <w:bottom w:w="90" w:type="dxa"/>
              <w:end w:w="120" w:type="dxa"/>
            </w:tcMar>
            <w:vAlign w:val="center"/>
          </w:tcPr>
          <w:p>
            <w:r>
              <w:rPr>
                <w:rFonts w:ascii="Calibri" w:hAnsi="Calibri"/>
                <w:color w:val="1E293B"/>
                <w:sz w:val="18"/>
              </w:rPr>
              <w:t>Checksums</w:t>
            </w:r>
          </w:p>
        </w:tc>
        <w:tc>
          <w:tcPr>
            <w:tcW w:type="dxa" w:w="6760"/>
            <w:shd w:fill="F7FAFF"/>
            <w:tcMar>
              <w:top w:w="90" w:type="dxa"/>
              <w:start w:w="120" w:type="dxa"/>
              <w:bottom w:w="90" w:type="dxa"/>
              <w:end w:w="120" w:type="dxa"/>
            </w:tcMar>
            <w:vAlign w:val="center"/>
          </w:tcPr>
          <w:p>
            <w:r>
              <w:rPr>
                <w:rFonts w:ascii="Calibri" w:hAnsi="Calibri"/>
                <w:color w:val="1E293B"/>
                <w:sz w:val="18"/>
              </w:rPr>
              <w:t>Training datasets and model artifacts use SHA-256 verification.</w:t>
            </w:r>
          </w:p>
        </w:tc>
      </w:tr>
      <w:tr>
        <w:tc>
          <w:tcPr>
            <w:tcW w:type="dxa" w:w="2600"/>
            <w:tcMar>
              <w:top w:w="90" w:type="dxa"/>
              <w:start w:w="120" w:type="dxa"/>
              <w:bottom w:w="90" w:type="dxa"/>
              <w:end w:w="120" w:type="dxa"/>
            </w:tcMar>
            <w:vAlign w:val="center"/>
          </w:tcPr>
          <w:p>
            <w:r>
              <w:rPr>
                <w:rFonts w:ascii="Calibri" w:hAnsi="Calibri"/>
                <w:color w:val="1E293B"/>
                <w:sz w:val="18"/>
              </w:rPr>
              <w:t>Idempotency</w:t>
            </w:r>
          </w:p>
        </w:tc>
        <w:tc>
          <w:tcPr>
            <w:tcW w:type="dxa" w:w="6760"/>
            <w:tcMar>
              <w:top w:w="90" w:type="dxa"/>
              <w:start w:w="120" w:type="dxa"/>
              <w:bottom w:w="90" w:type="dxa"/>
              <w:end w:w="120" w:type="dxa"/>
            </w:tcMar>
            <w:vAlign w:val="center"/>
          </w:tcPr>
          <w:p>
            <w:r>
              <w:rPr>
                <w:rFonts w:ascii="Calibri" w:hAnsi="Calibri"/>
                <w:color w:val="1E293B"/>
                <w:sz w:val="18"/>
              </w:rPr>
              <w:t>Deployment action IDs prevent repeated promotion/rollback from being applied twice.</w:t>
            </w:r>
          </w:p>
        </w:tc>
      </w:tr>
      <w:tr>
        <w:tc>
          <w:tcPr>
            <w:tcW w:type="dxa" w:w="2600"/>
            <w:shd w:fill="F7FAFF"/>
            <w:tcMar>
              <w:top w:w="90" w:type="dxa"/>
              <w:start w:w="120" w:type="dxa"/>
              <w:bottom w:w="90" w:type="dxa"/>
              <w:end w:w="120" w:type="dxa"/>
            </w:tcMar>
            <w:vAlign w:val="center"/>
          </w:tcPr>
          <w:p>
            <w:r>
              <w:rPr>
                <w:rFonts w:ascii="Calibri" w:hAnsi="Calibri"/>
                <w:color w:val="1E293B"/>
                <w:sz w:val="18"/>
              </w:rPr>
              <w:t>Atomicity</w:t>
            </w:r>
          </w:p>
        </w:tc>
        <w:tc>
          <w:tcPr>
            <w:tcW w:type="dxa" w:w="6760"/>
            <w:shd w:fill="F7FAFF"/>
            <w:tcMar>
              <w:top w:w="90" w:type="dxa"/>
              <w:start w:w="120" w:type="dxa"/>
              <w:bottom w:w="90" w:type="dxa"/>
              <w:end w:w="120" w:type="dxa"/>
            </w:tcMar>
            <w:vAlign w:val="center"/>
          </w:tcPr>
          <w:p>
            <w:r>
              <w:rPr>
                <w:rFonts w:ascii="Calibri" w:hAnsi="Calibri"/>
                <w:color w:val="1E293B"/>
                <w:sz w:val="18"/>
              </w:rPr>
              <w:t>Pointer, registry-status, and deployment-event updates occur in a single database transaction.</w:t>
            </w:r>
          </w:p>
        </w:tc>
      </w:tr>
      <w:tr>
        <w:tc>
          <w:tcPr>
            <w:tcW w:type="dxa" w:w="2600"/>
            <w:tcMar>
              <w:top w:w="90" w:type="dxa"/>
              <w:start w:w="120" w:type="dxa"/>
              <w:bottom w:w="90" w:type="dxa"/>
              <w:end w:w="120" w:type="dxa"/>
            </w:tcMar>
            <w:vAlign w:val="center"/>
          </w:tcPr>
          <w:p>
            <w:r>
              <w:rPr>
                <w:rFonts w:ascii="Calibri" w:hAnsi="Calibri"/>
                <w:color w:val="1E293B"/>
                <w:sz w:val="18"/>
              </w:rPr>
              <w:t>Fail-safe scoring</w:t>
            </w:r>
          </w:p>
        </w:tc>
        <w:tc>
          <w:tcPr>
            <w:tcW w:type="dxa" w:w="6760"/>
            <w:tcMar>
              <w:top w:w="90" w:type="dxa"/>
              <w:start w:w="120" w:type="dxa"/>
              <w:bottom w:w="90" w:type="dxa"/>
              <w:end w:w="120" w:type="dxa"/>
            </w:tcMar>
            <w:vAlign w:val="center"/>
          </w:tcPr>
          <w:p>
            <w:r>
              <w:rPr>
                <w:rFonts w:ascii="Calibri" w:hAnsi="Calibri"/>
                <w:color w:val="1E293B"/>
                <w:sz w:val="18"/>
              </w:rPr>
              <w:t>Unavailable ML returns auditable allow-and-log fallback; it does not invent a fraud classification.</w:t>
            </w:r>
          </w:p>
        </w:tc>
      </w:tr>
      <w:tr>
        <w:tc>
          <w:tcPr>
            <w:tcW w:type="dxa" w:w="2600"/>
            <w:shd w:fill="F7FAFF"/>
            <w:tcMar>
              <w:top w:w="90" w:type="dxa"/>
              <w:start w:w="120" w:type="dxa"/>
              <w:bottom w:w="90" w:type="dxa"/>
              <w:end w:w="120" w:type="dxa"/>
            </w:tcMar>
            <w:vAlign w:val="center"/>
          </w:tcPr>
          <w:p>
            <w:r>
              <w:rPr>
                <w:rFonts w:ascii="Calibri" w:hAnsi="Calibri"/>
                <w:color w:val="1E293B"/>
                <w:sz w:val="18"/>
              </w:rPr>
              <w:t>Traceability</w:t>
            </w:r>
          </w:p>
        </w:tc>
        <w:tc>
          <w:tcPr>
            <w:tcW w:type="dxa" w:w="6760"/>
            <w:shd w:fill="F7FAFF"/>
            <w:tcMar>
              <w:top w:w="90" w:type="dxa"/>
              <w:start w:w="120" w:type="dxa"/>
              <w:bottom w:w="90" w:type="dxa"/>
              <w:end w:w="120" w:type="dxa"/>
            </w:tcMar>
            <w:vAlign w:val="center"/>
          </w:tcPr>
          <w:p>
            <w:r>
              <w:rPr>
                <w:rFonts w:ascii="Calibri" w:hAnsi="Calibri"/>
                <w:color w:val="1E293B"/>
                <w:sz w:val="18"/>
              </w:rPr>
              <w:t>Run IDs, timestamps, actors, reasons, model/feature versions, scores, and reviewer notes are persisted.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90" w:type="dxa"/>
              <w:start w:w="120" w:type="dxa"/>
              <w:bottom w:w="90" w:type="dxa"/>
              <w:end w:w="120" w:type="dxa"/>
            </w:tcMar>
            <w:vAlign w:val="center"/>
          </w:tcPr>
          <w:p>
            <w:pPr>
              <w:spacing w:after="0"/>
            </w:pPr>
            <w:r>
              <w:rPr>
                <w:rFonts w:ascii="Calibri" w:hAnsi="Calibri"/>
                <w:b/>
                <w:color w:val="B91C1C"/>
              </w:rPr>
              <w:t xml:space="preserve">Production hardening still required: </w:t>
            </w:r>
            <w:r>
              <w:rPr>
                <w:rFonts w:ascii="Calibri" w:hAnsi="Calibri"/>
                <w:color w:val="1E293B"/>
              </w:rPr>
              <w:t>The demonstration defaults, including local database credentials and JWT secret fallback, must be replaced with a secrets manager, TLS, centralized identity, stricter authorization enforcement, and production monitoring before institutional deployment.</w:t>
            </w:r>
          </w:p>
        </w:tc>
      </w:tr>
    </w:tbl>
    <w:p>
      <w:pPr>
        <w:spacing w:after="0"/>
      </w:pPr>
    </w:p>
    <w:p>
      <w:pPr>
        <w:pStyle w:val="Heading1"/>
      </w:pPr>
      <w:r>
        <w:t>11. Kafka Architecture Roadmap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Current status: </w:t>
            </w:r>
            <w:r>
              <w:rPr>
                <w:rFonts w:ascii="Calibri" w:hAnsi="Calibri"/>
                <w:color w:val="1E293B"/>
              </w:rPr>
              <w:t>Kafka is a planned bank-scale extension, not part of the current runtime. The current system uses synchronous API/file ingestion, SQL persistence, asynchronous in-process training jobs, and Parquet artifacts.</w:t>
            </w:r>
          </w:p>
        </w:tc>
      </w:tr>
    </w:tbl>
    <w:p>
      <w:pPr>
        <w:spacing w:after="0"/>
      </w:pPr>
    </w:p>
    <w:p>
      <w:pPr>
        <w:pStyle w:val="Heading2"/>
      </w:pPr>
      <w:r>
        <w:t>What Kafka would solve</w:t>
      </w:r>
    </w:p>
    <w:p>
      <w:pPr>
        <w:pStyle w:val="ListBullet"/>
      </w:pPr>
      <w:r>
        <w:rPr>
          <w:rFonts w:ascii="Calibri" w:hAnsi="Calibri"/>
          <w:color w:val="1E293B"/>
        </w:rPr>
        <w:t>Durable transaction-event transport with replay.</w:t>
      </w:r>
    </w:p>
    <w:p>
      <w:pPr>
        <w:pStyle w:val="ListBullet"/>
      </w:pPr>
      <w:r>
        <w:rPr>
          <w:rFonts w:ascii="Calibri" w:hAnsi="Calibri"/>
          <w:color w:val="1E293B"/>
        </w:rPr>
        <w:t>Ordering within an account partition when partitioned by account ID.</w:t>
      </w:r>
    </w:p>
    <w:p>
      <w:pPr>
        <w:pStyle w:val="ListBullet"/>
      </w:pPr>
      <w:r>
        <w:rPr>
          <w:rFonts w:ascii="Calibri" w:hAnsi="Calibri"/>
          <w:color w:val="1E293B"/>
        </w:rPr>
        <w:t>Back-pressure isolation between ingestion, feature generation, prediction, audit, case, and training consumers.</w:t>
      </w:r>
    </w:p>
    <w:p>
      <w:pPr>
        <w:pStyle w:val="ListBullet"/>
      </w:pPr>
      <w:r>
        <w:rPr>
          <w:rFonts w:ascii="Calibri" w:hAnsi="Calibri"/>
          <w:color w:val="1E293B"/>
        </w:rPr>
        <w:t>Independent horizontal scaling and deployment of consumers.</w:t>
      </w:r>
    </w:p>
    <w:p>
      <w:pPr>
        <w:pStyle w:val="ListBullet"/>
      </w:pPr>
      <w:r>
        <w:rPr>
          <w:rFonts w:ascii="Calibri" w:hAnsi="Calibri"/>
          <w:color w:val="1E293B"/>
        </w:rPr>
        <w:t>A reliable event source for rebuilding state after failure or model/feature changes.</w:t>
      </w:r>
    </w:p>
    <w:p>
      <w:pPr>
        <w:pStyle w:val="Heading2"/>
      </w:pPr>
      <w:r>
        <w:t>What Kafka would not do</w:t>
      </w:r>
    </w:p>
    <w:p>
      <w:r>
        <w:rPr>
          <w:rFonts w:ascii="Calibri" w:hAnsi="Calibri"/>
          <w:color w:val="1E293B"/>
        </w:rPr>
        <w:t>Kafka would not train models, calculate clusters, replace model governance, or automatically make distributed consumers correct. Feature-state management, idempotency, schema evolution, dead-letter handling, and exactly-once business effects still require explicit design.</w:t>
      </w:r>
    </w:p>
    <w:p>
      <w:pPr>
        <w:pStyle w:val="Heading2"/>
      </w:pPr>
      <w:r>
        <w:t>Suggested topics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0F2747"/>
            <w:tcMar>
              <w:top w:w="90" w:type="dxa"/>
              <w:start w:w="120" w:type="dxa"/>
              <w:bottom w:w="90" w:type="dxa"/>
              <w:end w:w="120" w:type="dxa"/>
            </w:tcMar>
            <w:vAlign w:val="center"/>
          </w:tcPr>
          <w:p>
            <w:r>
              <w:rPr>
                <w:rFonts w:ascii="Calibri" w:hAnsi="Calibri"/>
                <w:b/>
                <w:color w:val="FFFFFF"/>
                <w:sz w:val="18"/>
              </w:rPr>
              <w:t>Topic</w:t>
            </w:r>
          </w:p>
        </w:tc>
        <w:tc>
          <w:tcPr>
            <w:tcW w:type="dxa" w:w="6360"/>
            <w:shd w:fill="0F2747"/>
            <w:tcMar>
              <w:top w:w="90" w:type="dxa"/>
              <w:start w:w="120" w:type="dxa"/>
              <w:bottom w:w="90" w:type="dxa"/>
              <w:end w:w="120" w:type="dxa"/>
            </w:tcMar>
            <w:vAlign w:val="center"/>
          </w:tcPr>
          <w:p>
            <w:r>
              <w:rPr>
                <w:rFonts w:ascii="Calibri" w:hAnsi="Calibri"/>
                <w:b/>
                <w:color w:val="FFFFFF"/>
                <w:sz w:val="18"/>
              </w:rPr>
              <w:t>Example consumers</w:t>
            </w:r>
          </w:p>
        </w:tc>
      </w:tr>
      <w:tr>
        <w:tc>
          <w:tcPr>
            <w:tcW w:type="dxa" w:w="3000"/>
            <w:shd w:fill="F7FAFF"/>
            <w:tcMar>
              <w:top w:w="90" w:type="dxa"/>
              <w:start w:w="120" w:type="dxa"/>
              <w:bottom w:w="90" w:type="dxa"/>
              <w:end w:w="120" w:type="dxa"/>
            </w:tcMar>
            <w:vAlign w:val="center"/>
          </w:tcPr>
          <w:p>
            <w:r>
              <w:rPr>
                <w:rFonts w:ascii="Calibri" w:hAnsi="Calibri"/>
                <w:color w:val="1E293B"/>
                <w:sz w:val="18"/>
              </w:rPr>
              <w:t>transactions.raw</w:t>
            </w:r>
          </w:p>
        </w:tc>
        <w:tc>
          <w:tcPr>
            <w:tcW w:type="dxa" w:w="6360"/>
            <w:shd w:fill="F7FAFF"/>
            <w:tcMar>
              <w:top w:w="90" w:type="dxa"/>
              <w:start w:w="120" w:type="dxa"/>
              <w:bottom w:w="90" w:type="dxa"/>
              <w:end w:w="120" w:type="dxa"/>
            </w:tcMar>
            <w:vAlign w:val="center"/>
          </w:tcPr>
          <w:p>
            <w:r>
              <w:rPr>
                <w:rFonts w:ascii="Calibri" w:hAnsi="Calibri"/>
                <w:color w:val="1E293B"/>
                <w:sz w:val="18"/>
              </w:rPr>
              <w:t>Validation, persistence, feature stream processor</w:t>
            </w:r>
          </w:p>
        </w:tc>
      </w:tr>
      <w:tr>
        <w:tc>
          <w:tcPr>
            <w:tcW w:type="dxa" w:w="3000"/>
            <w:tcMar>
              <w:top w:w="90" w:type="dxa"/>
              <w:start w:w="120" w:type="dxa"/>
              <w:bottom w:w="90" w:type="dxa"/>
              <w:end w:w="120" w:type="dxa"/>
            </w:tcMar>
            <w:vAlign w:val="center"/>
          </w:tcPr>
          <w:p>
            <w:r>
              <w:rPr>
                <w:rFonts w:ascii="Calibri" w:hAnsi="Calibri"/>
                <w:color w:val="1E293B"/>
                <w:sz w:val="18"/>
              </w:rPr>
              <w:t>transactions.features</w:t>
            </w:r>
          </w:p>
        </w:tc>
        <w:tc>
          <w:tcPr>
            <w:tcW w:type="dxa" w:w="6360"/>
            <w:tcMar>
              <w:top w:w="90" w:type="dxa"/>
              <w:start w:w="120" w:type="dxa"/>
              <w:bottom w:w="90" w:type="dxa"/>
              <w:end w:w="120" w:type="dxa"/>
            </w:tcMar>
            <w:vAlign w:val="center"/>
          </w:tcPr>
          <w:p>
            <w:r>
              <w:rPr>
                <w:rFonts w:ascii="Calibri" w:hAnsi="Calibri"/>
                <w:color w:val="1E293B"/>
                <w:sz w:val="18"/>
              </w:rPr>
              <w:t>Prediction workers, feature store, monitoring</w:t>
            </w:r>
          </w:p>
        </w:tc>
      </w:tr>
      <w:tr>
        <w:tc>
          <w:tcPr>
            <w:tcW w:type="dxa" w:w="3000"/>
            <w:shd w:fill="F7FAFF"/>
            <w:tcMar>
              <w:top w:w="90" w:type="dxa"/>
              <w:start w:w="120" w:type="dxa"/>
              <w:bottom w:w="90" w:type="dxa"/>
              <w:end w:w="120" w:type="dxa"/>
            </w:tcMar>
            <w:vAlign w:val="center"/>
          </w:tcPr>
          <w:p>
            <w:r>
              <w:rPr>
                <w:rFonts w:ascii="Calibri" w:hAnsi="Calibri"/>
                <w:color w:val="1E293B"/>
                <w:sz w:val="18"/>
              </w:rPr>
              <w:t>anomaly.predictions</w:t>
            </w:r>
          </w:p>
        </w:tc>
        <w:tc>
          <w:tcPr>
            <w:tcW w:type="dxa" w:w="6360"/>
            <w:shd w:fill="F7FAFF"/>
            <w:tcMar>
              <w:top w:w="90" w:type="dxa"/>
              <w:start w:w="120" w:type="dxa"/>
              <w:bottom w:w="90" w:type="dxa"/>
              <w:end w:w="120" w:type="dxa"/>
            </w:tcMar>
            <w:vAlign w:val="center"/>
          </w:tcPr>
          <w:p>
            <w:r>
              <w:rPr>
                <w:rFonts w:ascii="Calibri" w:hAnsi="Calibri"/>
                <w:color w:val="1E293B"/>
                <w:sz w:val="18"/>
              </w:rPr>
              <w:t>Audit persistence, alert/case policy, monitoring</w:t>
            </w:r>
          </w:p>
        </w:tc>
      </w:tr>
      <w:tr>
        <w:tc>
          <w:tcPr>
            <w:tcW w:type="dxa" w:w="3000"/>
            <w:tcMar>
              <w:top w:w="90" w:type="dxa"/>
              <w:start w:w="120" w:type="dxa"/>
              <w:bottom w:w="90" w:type="dxa"/>
              <w:end w:w="120" w:type="dxa"/>
            </w:tcMar>
            <w:vAlign w:val="center"/>
          </w:tcPr>
          <w:p>
            <w:r>
              <w:rPr>
                <w:rFonts w:ascii="Calibri" w:hAnsi="Calibri"/>
                <w:color w:val="1E293B"/>
                <w:sz w:val="18"/>
              </w:rPr>
              <w:t>model.training.commands</w:t>
            </w:r>
          </w:p>
        </w:tc>
        <w:tc>
          <w:tcPr>
            <w:tcW w:type="dxa" w:w="6360"/>
            <w:tcMar>
              <w:top w:w="90" w:type="dxa"/>
              <w:start w:w="120" w:type="dxa"/>
              <w:bottom w:w="90" w:type="dxa"/>
              <w:end w:w="120" w:type="dxa"/>
            </w:tcMar>
            <w:vAlign w:val="center"/>
          </w:tcPr>
          <w:p>
            <w:r>
              <w:rPr>
                <w:rFonts w:ascii="Calibri" w:hAnsi="Calibri"/>
                <w:color w:val="1E293B"/>
                <w:sz w:val="18"/>
              </w:rPr>
              <w:t>Python training workers</w:t>
            </w:r>
          </w:p>
        </w:tc>
      </w:tr>
      <w:tr>
        <w:tc>
          <w:tcPr>
            <w:tcW w:type="dxa" w:w="3000"/>
            <w:shd w:fill="F7FAFF"/>
            <w:tcMar>
              <w:top w:w="90" w:type="dxa"/>
              <w:start w:w="120" w:type="dxa"/>
              <w:bottom w:w="90" w:type="dxa"/>
              <w:end w:w="120" w:type="dxa"/>
            </w:tcMar>
            <w:vAlign w:val="center"/>
          </w:tcPr>
          <w:p>
            <w:r>
              <w:rPr>
                <w:rFonts w:ascii="Calibri" w:hAnsi="Calibri"/>
                <w:color w:val="1E293B"/>
                <w:sz w:val="18"/>
              </w:rPr>
              <w:t>model.training.results</w:t>
            </w:r>
          </w:p>
        </w:tc>
        <w:tc>
          <w:tcPr>
            <w:tcW w:type="dxa" w:w="6360"/>
            <w:shd w:fill="F7FAFF"/>
            <w:tcMar>
              <w:top w:w="90" w:type="dxa"/>
              <w:start w:w="120" w:type="dxa"/>
              <w:bottom w:w="90" w:type="dxa"/>
              <w:end w:w="120" w:type="dxa"/>
            </w:tcMar>
            <w:vAlign w:val="center"/>
          </w:tcPr>
          <w:p>
            <w:r>
              <w:rPr>
                <w:rFonts w:ascii="Calibri" w:hAnsi="Calibri"/>
                <w:color w:val="1E293B"/>
                <w:sz w:val="18"/>
              </w:rPr>
              <w:t>Spring registry/orchestration</w:t>
            </w:r>
          </w:p>
        </w:tc>
      </w:tr>
      <w:tr>
        <w:tc>
          <w:tcPr>
            <w:tcW w:type="dxa" w:w="3000"/>
            <w:tcMar>
              <w:top w:w="90" w:type="dxa"/>
              <w:start w:w="120" w:type="dxa"/>
              <w:bottom w:w="90" w:type="dxa"/>
              <w:end w:w="120" w:type="dxa"/>
            </w:tcMar>
            <w:vAlign w:val="center"/>
          </w:tcPr>
          <w:p>
            <w:r>
              <w:rPr>
                <w:rFonts w:ascii="Calibri" w:hAnsi="Calibri"/>
                <w:color w:val="1E293B"/>
                <w:sz w:val="18"/>
              </w:rPr>
              <w:t>model.lifecycle.events</w:t>
            </w:r>
          </w:p>
        </w:tc>
        <w:tc>
          <w:tcPr>
            <w:tcW w:type="dxa" w:w="6360"/>
            <w:tcMar>
              <w:top w:w="90" w:type="dxa"/>
              <w:start w:w="120" w:type="dxa"/>
              <w:bottom w:w="90" w:type="dxa"/>
              <w:end w:w="120" w:type="dxa"/>
            </w:tcMar>
            <w:vAlign w:val="center"/>
          </w:tcPr>
          <w:p>
            <w:r>
              <w:rPr>
                <w:rFonts w:ascii="Calibri" w:hAnsi="Calibri"/>
                <w:color w:val="1E293B"/>
                <w:sz w:val="18"/>
              </w:rPr>
              <w:t>Prediction-worker cache refresh, audit, monitoring</w:t>
            </w:r>
          </w:p>
        </w:tc>
      </w:tr>
      <w:tr>
        <w:tc>
          <w:tcPr>
            <w:tcW w:type="dxa" w:w="3000"/>
            <w:shd w:fill="F7FAFF"/>
            <w:tcMar>
              <w:top w:w="90" w:type="dxa"/>
              <w:start w:w="120" w:type="dxa"/>
              <w:bottom w:w="90" w:type="dxa"/>
              <w:end w:w="120" w:type="dxa"/>
            </w:tcMar>
            <w:vAlign w:val="center"/>
          </w:tcPr>
          <w:p>
            <w:r>
              <w:rPr>
                <w:rFonts w:ascii="Calibri" w:hAnsi="Calibri"/>
                <w:color w:val="1E293B"/>
                <w:sz w:val="18"/>
              </w:rPr>
              <w:t>case.events</w:t>
            </w:r>
          </w:p>
        </w:tc>
        <w:tc>
          <w:tcPr>
            <w:tcW w:type="dxa" w:w="6360"/>
            <w:shd w:fill="F7FAFF"/>
            <w:tcMar>
              <w:top w:w="90" w:type="dxa"/>
              <w:start w:w="120" w:type="dxa"/>
              <w:bottom w:w="90" w:type="dxa"/>
              <w:end w:w="120" w:type="dxa"/>
            </w:tcMar>
            <w:vAlign w:val="center"/>
          </w:tcPr>
          <w:p>
            <w:r>
              <w:rPr>
                <w:rFonts w:ascii="Calibri" w:hAnsi="Calibri"/>
                <w:color w:val="1E293B"/>
                <w:sz w:val="18"/>
              </w:rPr>
              <w:t>Case workflow, notifications, downstream reporting</w:t>
            </w:r>
          </w:p>
        </w:tc>
      </w:tr>
    </w:tbl>
    <w:p>
      <w:pPr>
        <w:spacing w:after="0"/>
      </w:pPr>
    </w:p>
    <w:p>
      <w:pPr>
        <w:pStyle w:val="Heading2"/>
      </w:pPr>
      <w:r>
        <w:t>Recommended adoption sequence</w:t>
      </w:r>
    </w:p>
    <w:p>
      <w:pPr>
        <w:pStyle w:val="ListNumber"/>
      </w:pPr>
      <w:r>
        <w:rPr>
          <w:rFonts w:ascii="Calibri" w:hAnsi="Calibri"/>
          <w:color w:val="1E293B"/>
        </w:rPr>
        <w:t>Introduce an outbox pattern so committed SQL transactions publish durable events without dual-write loss.</w:t>
      </w:r>
    </w:p>
    <w:p>
      <w:pPr>
        <w:pStyle w:val="ListNumber"/>
      </w:pPr>
      <w:r>
        <w:rPr>
          <w:rFonts w:ascii="Calibri" w:hAnsi="Calibri"/>
          <w:color w:val="1E293B"/>
        </w:rPr>
        <w:t>Move feature generation to a stateful stream processor partitioned by account ID.</w:t>
      </w:r>
    </w:p>
    <w:p>
      <w:pPr>
        <w:pStyle w:val="ListNumber"/>
      </w:pPr>
      <w:r>
        <w:rPr>
          <w:rFonts w:ascii="Calibri" w:hAnsi="Calibri"/>
          <w:color w:val="1E293B"/>
        </w:rPr>
        <w:t>Persist date-partitioned feature events to durable Parquet/object storage.</w:t>
      </w:r>
    </w:p>
    <w:p>
      <w:pPr>
        <w:pStyle w:val="ListNumber"/>
      </w:pPr>
      <w:r>
        <w:rPr>
          <w:rFonts w:ascii="Calibri" w:hAnsi="Calibri"/>
          <w:color w:val="1E293B"/>
        </w:rPr>
        <w:t>Run horizontally scalable prediction consumers using the active-model pointer and versioned artifact cache.</w:t>
      </w:r>
    </w:p>
    <w:p>
      <w:pPr>
        <w:pStyle w:val="ListNumber"/>
      </w:pPr>
      <w:r>
        <w:rPr>
          <w:rFonts w:ascii="Calibri" w:hAnsi="Calibri"/>
          <w:color w:val="1E293B"/>
        </w:rPr>
        <w:t>Publish prediction and lifecycle events; make case creation idempotent by transaction/action identity.</w:t>
      </w:r>
    </w:p>
    <w:p>
      <w:pPr>
        <w:pStyle w:val="ListNumber"/>
      </w:pPr>
      <w:r>
        <w:rPr>
          <w:rFonts w:ascii="Calibri" w:hAnsi="Calibri"/>
          <w:color w:val="1E293B"/>
        </w:rPr>
        <w:t>Add consumer-lag, replay, schema-registry, dead-letter, and disaster-recovery procedures.</w:t>
      </w:r>
    </w:p>
    <w:p>
      <w:pPr>
        <w:pStyle w:val="Heading1"/>
      </w:pPr>
      <w:r>
        <w:t>12. Clustering Evaluation and Visualization Roadmap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F"/>
            <w:tcMar>
              <w:top w:w="90" w:type="dxa"/>
              <w:start w:w="120" w:type="dxa"/>
              <w:bottom w:w="90" w:type="dxa"/>
              <w:end w:w="120" w:type="dxa"/>
            </w:tcMar>
            <w:vAlign w:val="center"/>
          </w:tcPr>
          <w:p>
            <w:pPr>
              <w:spacing w:after="0"/>
            </w:pPr>
            <w:r>
              <w:rPr>
                <w:rFonts w:ascii="Calibri" w:hAnsi="Calibri"/>
                <w:b/>
                <w:color w:val="2563EB"/>
              </w:rPr>
              <w:t xml:space="preserve">Current status: </w:t>
            </w:r>
            <w:r>
              <w:rPr>
                <w:rFonts w:ascii="Calibri" w:hAnsi="Calibri"/>
                <w:color w:val="1E293B"/>
              </w:rPr>
              <w:t>The current implemented UI focuses on anomaly-model comparison. Full clustering models, clustering metrics, and cluster visualizations discussed for the next research stage are not yet complete and should be presented as planned work.</w:t>
            </w:r>
          </w:p>
        </w:tc>
      </w:tr>
    </w:tbl>
    <w:p>
      <w:pPr>
        <w:spacing w:after="0"/>
      </w:pPr>
    </w:p>
    <w:p>
      <w:pPr>
        <w:pStyle w:val="Heading2"/>
      </w:pPr>
      <w:r>
        <w:t>Recommended scalable clustering models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0F2747"/>
            <w:tcMar>
              <w:top w:w="90" w:type="dxa"/>
              <w:start w:w="120" w:type="dxa"/>
              <w:bottom w:w="90" w:type="dxa"/>
              <w:end w:w="120" w:type="dxa"/>
            </w:tcMar>
            <w:vAlign w:val="center"/>
          </w:tcPr>
          <w:p>
            <w:r>
              <w:rPr>
                <w:rFonts w:ascii="Calibri" w:hAnsi="Calibri"/>
                <w:b/>
                <w:color w:val="FFFFFF"/>
                <w:sz w:val="18"/>
              </w:rPr>
              <w:t>Model</w:t>
            </w:r>
          </w:p>
        </w:tc>
        <w:tc>
          <w:tcPr>
            <w:tcW w:type="dxa" w:w="6560"/>
            <w:shd w:fill="0F2747"/>
            <w:tcMar>
              <w:top w:w="90" w:type="dxa"/>
              <w:start w:w="120" w:type="dxa"/>
              <w:bottom w:w="90" w:type="dxa"/>
              <w:end w:w="120" w:type="dxa"/>
            </w:tcMar>
            <w:vAlign w:val="center"/>
          </w:tcPr>
          <w:p>
            <w:r>
              <w:rPr>
                <w:rFonts w:ascii="Calibri" w:hAnsi="Calibri"/>
                <w:b/>
                <w:color w:val="FFFFFF"/>
                <w:sz w:val="18"/>
              </w:rPr>
              <w:t>Use</w:t>
            </w:r>
          </w:p>
        </w:tc>
      </w:tr>
      <w:tr>
        <w:tc>
          <w:tcPr>
            <w:tcW w:type="dxa" w:w="2800"/>
            <w:shd w:fill="F7FAFF"/>
            <w:tcMar>
              <w:top w:w="90" w:type="dxa"/>
              <w:start w:w="120" w:type="dxa"/>
              <w:bottom w:w="90" w:type="dxa"/>
              <w:end w:w="120" w:type="dxa"/>
            </w:tcMar>
            <w:vAlign w:val="center"/>
          </w:tcPr>
          <w:p>
            <w:r>
              <w:rPr>
                <w:rFonts w:ascii="Calibri" w:hAnsi="Calibri"/>
                <w:color w:val="1E293B"/>
                <w:sz w:val="18"/>
              </w:rPr>
              <w:t>MiniBatchKMeans</w:t>
            </w:r>
          </w:p>
        </w:tc>
        <w:tc>
          <w:tcPr>
            <w:tcW w:type="dxa" w:w="6560"/>
            <w:shd w:fill="F7FAFF"/>
            <w:tcMar>
              <w:top w:w="90" w:type="dxa"/>
              <w:start w:w="120" w:type="dxa"/>
              <w:bottom w:w="90" w:type="dxa"/>
              <w:end w:w="120" w:type="dxa"/>
            </w:tcMar>
            <w:vAlign w:val="center"/>
          </w:tcPr>
          <w:p>
            <w:r>
              <w:rPr>
                <w:rFonts w:ascii="Calibri" w:hAnsi="Calibri"/>
                <w:color w:val="1E293B"/>
                <w:sz w:val="18"/>
              </w:rPr>
              <w:t>Primary scalable partitioning baseline with bounded mini-batches and fast assignment.</w:t>
            </w:r>
          </w:p>
        </w:tc>
      </w:tr>
      <w:tr>
        <w:tc>
          <w:tcPr>
            <w:tcW w:type="dxa" w:w="2800"/>
            <w:tcMar>
              <w:top w:w="90" w:type="dxa"/>
              <w:start w:w="120" w:type="dxa"/>
              <w:bottom w:w="90" w:type="dxa"/>
              <w:end w:w="120" w:type="dxa"/>
            </w:tcMar>
            <w:vAlign w:val="center"/>
          </w:tcPr>
          <w:p>
            <w:r>
              <w:rPr>
                <w:rFonts w:ascii="Calibri" w:hAnsi="Calibri"/>
                <w:color w:val="1E293B"/>
                <w:sz w:val="18"/>
              </w:rPr>
              <w:t>BIRCH</w:t>
            </w:r>
          </w:p>
        </w:tc>
        <w:tc>
          <w:tcPr>
            <w:tcW w:type="dxa" w:w="6560"/>
            <w:tcMar>
              <w:top w:w="90" w:type="dxa"/>
              <w:start w:w="120" w:type="dxa"/>
              <w:bottom w:w="90" w:type="dxa"/>
              <w:end w:w="120" w:type="dxa"/>
            </w:tcMar>
            <w:vAlign w:val="center"/>
          </w:tcPr>
          <w:p>
            <w:r>
              <w:rPr>
                <w:rFonts w:ascii="Calibri" w:hAnsi="Calibri"/>
                <w:color w:val="1E293B"/>
                <w:sz w:val="18"/>
              </w:rPr>
              <w:t>Incremental clustering through a compact clustering-feature tree.</w:t>
            </w:r>
          </w:p>
        </w:tc>
      </w:tr>
      <w:tr>
        <w:tc>
          <w:tcPr>
            <w:tcW w:type="dxa" w:w="2800"/>
            <w:shd w:fill="F7FAFF"/>
            <w:tcMar>
              <w:top w:w="90" w:type="dxa"/>
              <w:start w:w="120" w:type="dxa"/>
              <w:bottom w:w="90" w:type="dxa"/>
              <w:end w:w="120" w:type="dxa"/>
            </w:tcMar>
            <w:vAlign w:val="center"/>
          </w:tcPr>
          <w:p>
            <w:r>
              <w:rPr>
                <w:rFonts w:ascii="Calibri" w:hAnsi="Calibri"/>
                <w:color w:val="1E293B"/>
                <w:sz w:val="18"/>
              </w:rPr>
              <w:t>Bisecting KMeans</w:t>
            </w:r>
          </w:p>
        </w:tc>
        <w:tc>
          <w:tcPr>
            <w:tcW w:type="dxa" w:w="6560"/>
            <w:shd w:fill="F7FAFF"/>
            <w:tcMar>
              <w:top w:w="90" w:type="dxa"/>
              <w:start w:w="120" w:type="dxa"/>
              <w:bottom w:w="90" w:type="dxa"/>
              <w:end w:w="120" w:type="dxa"/>
            </w:tcMar>
            <w:vAlign w:val="center"/>
          </w:tcPr>
          <w:p>
            <w:r>
              <w:rPr>
                <w:rFonts w:ascii="Calibri" w:hAnsi="Calibri"/>
                <w:color w:val="1E293B"/>
                <w:sz w:val="18"/>
              </w:rPr>
              <w:t>Optional batch challenger for hierarchical splits on controlled datasets.</w:t>
            </w:r>
          </w:p>
        </w:tc>
      </w:tr>
      <w:tr>
        <w:tc>
          <w:tcPr>
            <w:tcW w:type="dxa" w:w="2800"/>
            <w:tcMar>
              <w:top w:w="90" w:type="dxa"/>
              <w:start w:w="120" w:type="dxa"/>
              <w:bottom w:w="90" w:type="dxa"/>
              <w:end w:w="120" w:type="dxa"/>
            </w:tcMar>
            <w:vAlign w:val="center"/>
          </w:tcPr>
          <w:p>
            <w:r>
              <w:rPr>
                <w:rFonts w:ascii="Calibri" w:hAnsi="Calibri"/>
                <w:color w:val="1E293B"/>
                <w:sz w:val="18"/>
              </w:rPr>
              <w:t>HDBSCAN</w:t>
            </w:r>
          </w:p>
        </w:tc>
        <w:tc>
          <w:tcPr>
            <w:tcW w:type="dxa" w:w="6560"/>
            <w:tcMar>
              <w:top w:w="90" w:type="dxa"/>
              <w:start w:w="120" w:type="dxa"/>
              <w:bottom w:w="90" w:type="dxa"/>
              <w:end w:w="120" w:type="dxa"/>
            </w:tcMar>
            <w:vAlign w:val="center"/>
          </w:tcPr>
          <w:p>
            <w:r>
              <w:rPr>
                <w:rFonts w:ascii="Calibri" w:hAnsi="Calibri"/>
                <w:color w:val="1E293B"/>
                <w:sz w:val="18"/>
              </w:rPr>
              <w:t>Capped-sample exploratory challenger for variable-density clusters and noise; not a full-million-row browser workflow.</w:t>
            </w:r>
          </w:p>
        </w:tc>
      </w:tr>
    </w:tbl>
    <w:p>
      <w:pPr>
        <w:spacing w:after="0"/>
      </w:pPr>
    </w:p>
    <w:p>
      <w:pPr>
        <w:pStyle w:val="Heading2"/>
      </w:pPr>
      <w:r>
        <w:t>Clustering measures</w:t>
      </w:r>
    </w:p>
    <w:tbl>
      <w:tblPr>
        <w:tblStyle w:val="TableGrid"/>
        <w:tblW w:type="dxa" w:w="9360"/>
        <w:jc w:val="left"/>
        <w:tblLayout w:type="fixed"/>
        <w:tblLook w:firstColumn="1" w:firstRow="1" w:lastColumn="0" w:lastRow="0" w:noHBand="0" w:noVBand="1" w:val="04A0"/>
        <w:tblInd w:w="120" w:type="dxa"/>
      </w:tblPr>
      <w:tblGrid>
        <w:gridCol w:w="2600"/>
        <w:gridCol w:w="4900"/>
        <w:gridCol w:w="18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Measure</w:t>
            </w:r>
          </w:p>
        </w:tc>
        <w:tc>
          <w:tcPr>
            <w:tcW w:type="dxa" w:w="4900"/>
            <w:shd w:fill="0F2747"/>
            <w:tcMar>
              <w:top w:w="90" w:type="dxa"/>
              <w:start w:w="120" w:type="dxa"/>
              <w:bottom w:w="90" w:type="dxa"/>
              <w:end w:w="120" w:type="dxa"/>
            </w:tcMar>
            <w:vAlign w:val="center"/>
          </w:tcPr>
          <w:p>
            <w:r>
              <w:rPr>
                <w:rFonts w:ascii="Calibri" w:hAnsi="Calibri"/>
                <w:b/>
                <w:color w:val="FFFFFF"/>
                <w:sz w:val="18"/>
              </w:rPr>
              <w:t>Interpretation</w:t>
            </w:r>
          </w:p>
        </w:tc>
        <w:tc>
          <w:tcPr>
            <w:tcW w:type="dxa" w:w="1860"/>
            <w:shd w:fill="0F2747"/>
            <w:tcMar>
              <w:top w:w="90" w:type="dxa"/>
              <w:start w:w="120" w:type="dxa"/>
              <w:bottom w:w="90" w:type="dxa"/>
              <w:end w:w="120" w:type="dxa"/>
            </w:tcMar>
            <w:vAlign w:val="center"/>
          </w:tcPr>
          <w:p>
            <w:r>
              <w:rPr>
                <w:rFonts w:ascii="Calibri" w:hAnsi="Calibri"/>
                <w:b/>
                <w:color w:val="FFFFFF"/>
                <w:sz w:val="18"/>
              </w:rPr>
              <w:t>Direction</w:t>
            </w:r>
          </w:p>
        </w:tc>
      </w:tr>
      <w:tr>
        <w:tc>
          <w:tcPr>
            <w:tcW w:type="dxa" w:w="2600"/>
            <w:shd w:fill="F7FAFF"/>
            <w:tcMar>
              <w:top w:w="90" w:type="dxa"/>
              <w:start w:w="120" w:type="dxa"/>
              <w:bottom w:w="90" w:type="dxa"/>
              <w:end w:w="120" w:type="dxa"/>
            </w:tcMar>
            <w:vAlign w:val="center"/>
          </w:tcPr>
          <w:p>
            <w:r>
              <w:rPr>
                <w:rFonts w:ascii="Calibri" w:hAnsi="Calibri"/>
                <w:color w:val="1E293B"/>
                <w:sz w:val="18"/>
              </w:rPr>
              <w:t>Silhouette score</w:t>
            </w:r>
          </w:p>
        </w:tc>
        <w:tc>
          <w:tcPr>
            <w:tcW w:type="dxa" w:w="4900"/>
            <w:shd w:fill="F7FAFF"/>
            <w:tcMar>
              <w:top w:w="90" w:type="dxa"/>
              <w:start w:w="120" w:type="dxa"/>
              <w:bottom w:w="90" w:type="dxa"/>
              <w:end w:w="120" w:type="dxa"/>
            </w:tcMar>
            <w:vAlign w:val="center"/>
          </w:tcPr>
          <w:p>
            <w:r>
              <w:rPr>
                <w:rFonts w:ascii="Calibri" w:hAnsi="Calibri"/>
                <w:color w:val="1E293B"/>
                <w:sz w:val="18"/>
              </w:rPr>
              <w:t>Cohesion versus separation for each sampled point.</w:t>
            </w:r>
          </w:p>
        </w:tc>
        <w:tc>
          <w:tcPr>
            <w:tcW w:type="dxa" w:w="1860"/>
            <w:shd w:fill="F7FAFF"/>
            <w:tcMar>
              <w:top w:w="90" w:type="dxa"/>
              <w:start w:w="120" w:type="dxa"/>
              <w:bottom w:w="90" w:type="dxa"/>
              <w:end w:w="120" w:type="dxa"/>
            </w:tcMar>
            <w:vAlign w:val="center"/>
          </w:tcPr>
          <w:p>
            <w:r>
              <w:rPr>
                <w:rFonts w:ascii="Calibri" w:hAnsi="Calibri"/>
                <w:color w:val="1E293B"/>
                <w:sz w:val="18"/>
              </w:rPr>
              <w:t>Higher</w:t>
            </w:r>
          </w:p>
        </w:tc>
      </w:tr>
      <w:tr>
        <w:tc>
          <w:tcPr>
            <w:tcW w:type="dxa" w:w="2600"/>
            <w:tcMar>
              <w:top w:w="90" w:type="dxa"/>
              <w:start w:w="120" w:type="dxa"/>
              <w:bottom w:w="90" w:type="dxa"/>
              <w:end w:w="120" w:type="dxa"/>
            </w:tcMar>
            <w:vAlign w:val="center"/>
          </w:tcPr>
          <w:p>
            <w:r>
              <w:rPr>
                <w:rFonts w:ascii="Calibri" w:hAnsi="Calibri"/>
                <w:color w:val="1E293B"/>
                <w:sz w:val="18"/>
              </w:rPr>
              <w:t>Davies-Bouldin index</w:t>
            </w:r>
          </w:p>
        </w:tc>
        <w:tc>
          <w:tcPr>
            <w:tcW w:type="dxa" w:w="4900"/>
            <w:tcMar>
              <w:top w:w="90" w:type="dxa"/>
              <w:start w:w="120" w:type="dxa"/>
              <w:bottom w:w="90" w:type="dxa"/>
              <w:end w:w="120" w:type="dxa"/>
            </w:tcMar>
            <w:vAlign w:val="center"/>
          </w:tcPr>
          <w:p>
            <w:r>
              <w:rPr>
                <w:rFonts w:ascii="Calibri" w:hAnsi="Calibri"/>
                <w:color w:val="1E293B"/>
                <w:sz w:val="18"/>
              </w:rPr>
              <w:t>Average similarity between each cluster and its most similar neighbor.</w:t>
            </w:r>
          </w:p>
        </w:tc>
        <w:tc>
          <w:tcPr>
            <w:tcW w:type="dxa" w:w="1860"/>
            <w:tcMar>
              <w:top w:w="90" w:type="dxa"/>
              <w:start w:w="120" w:type="dxa"/>
              <w:bottom w:w="90" w:type="dxa"/>
              <w:end w:w="120" w:type="dxa"/>
            </w:tcMar>
            <w:vAlign w:val="center"/>
          </w:tcPr>
          <w:p>
            <w:r>
              <w:rPr>
                <w:rFonts w:ascii="Calibri" w:hAnsi="Calibri"/>
                <w:color w:val="1E293B"/>
                <w:sz w:val="18"/>
              </w:rPr>
              <w:t>Lower</w:t>
            </w:r>
          </w:p>
        </w:tc>
      </w:tr>
      <w:tr>
        <w:tc>
          <w:tcPr>
            <w:tcW w:type="dxa" w:w="2600"/>
            <w:shd w:fill="F7FAFF"/>
            <w:tcMar>
              <w:top w:w="90" w:type="dxa"/>
              <w:start w:w="120" w:type="dxa"/>
              <w:bottom w:w="90" w:type="dxa"/>
              <w:end w:w="120" w:type="dxa"/>
            </w:tcMar>
            <w:vAlign w:val="center"/>
          </w:tcPr>
          <w:p>
            <w:r>
              <w:rPr>
                <w:rFonts w:ascii="Calibri" w:hAnsi="Calibri"/>
                <w:color w:val="1E293B"/>
                <w:sz w:val="18"/>
              </w:rPr>
              <w:t>Calinski-Harabasz index</w:t>
            </w:r>
          </w:p>
        </w:tc>
        <w:tc>
          <w:tcPr>
            <w:tcW w:type="dxa" w:w="4900"/>
            <w:shd w:fill="F7FAFF"/>
            <w:tcMar>
              <w:top w:w="90" w:type="dxa"/>
              <w:start w:w="120" w:type="dxa"/>
              <w:bottom w:w="90" w:type="dxa"/>
              <w:end w:w="120" w:type="dxa"/>
            </w:tcMar>
            <w:vAlign w:val="center"/>
          </w:tcPr>
          <w:p>
            <w:r>
              <w:rPr>
                <w:rFonts w:ascii="Calibri" w:hAnsi="Calibri"/>
                <w:color w:val="1E293B"/>
                <w:sz w:val="18"/>
              </w:rPr>
              <w:t>Between-cluster dispersion relative to within-cluster dispersion.</w:t>
            </w:r>
          </w:p>
        </w:tc>
        <w:tc>
          <w:tcPr>
            <w:tcW w:type="dxa" w:w="1860"/>
            <w:shd w:fill="F7FAFF"/>
            <w:tcMar>
              <w:top w:w="90" w:type="dxa"/>
              <w:start w:w="120" w:type="dxa"/>
              <w:bottom w:w="90" w:type="dxa"/>
              <w:end w:w="120" w:type="dxa"/>
            </w:tcMar>
            <w:vAlign w:val="center"/>
          </w:tcPr>
          <w:p>
            <w:r>
              <w:rPr>
                <w:rFonts w:ascii="Calibri" w:hAnsi="Calibri"/>
                <w:color w:val="1E293B"/>
                <w:sz w:val="18"/>
              </w:rPr>
              <w:t>Higher</w:t>
            </w:r>
          </w:p>
        </w:tc>
      </w:tr>
      <w:tr>
        <w:tc>
          <w:tcPr>
            <w:tcW w:type="dxa" w:w="2600"/>
            <w:tcMar>
              <w:top w:w="90" w:type="dxa"/>
              <w:start w:w="120" w:type="dxa"/>
              <w:bottom w:w="90" w:type="dxa"/>
              <w:end w:w="120" w:type="dxa"/>
            </w:tcMar>
            <w:vAlign w:val="center"/>
          </w:tcPr>
          <w:p>
            <w:r>
              <w:rPr>
                <w:rFonts w:ascii="Calibri" w:hAnsi="Calibri"/>
                <w:color w:val="1E293B"/>
                <w:sz w:val="18"/>
              </w:rPr>
              <w:t>ARI / NMI stability</w:t>
            </w:r>
          </w:p>
        </w:tc>
        <w:tc>
          <w:tcPr>
            <w:tcW w:type="dxa" w:w="4900"/>
            <w:tcMar>
              <w:top w:w="90" w:type="dxa"/>
              <w:start w:w="120" w:type="dxa"/>
              <w:bottom w:w="90" w:type="dxa"/>
              <w:end w:w="120" w:type="dxa"/>
            </w:tcMar>
            <w:vAlign w:val="center"/>
          </w:tcPr>
          <w:p>
            <w:r>
              <w:rPr>
                <w:rFonts w:ascii="Calibri" w:hAnsi="Calibri"/>
                <w:color w:val="1E293B"/>
                <w:sz w:val="18"/>
              </w:rPr>
              <w:t>Agreement between cluster assignments across resamples or time windows.</w:t>
            </w:r>
          </w:p>
        </w:tc>
        <w:tc>
          <w:tcPr>
            <w:tcW w:type="dxa" w:w="1860"/>
            <w:tcMar>
              <w:top w:w="90" w:type="dxa"/>
              <w:start w:w="120" w:type="dxa"/>
              <w:bottom w:w="90" w:type="dxa"/>
              <w:end w:w="120" w:type="dxa"/>
            </w:tcMar>
            <w:vAlign w:val="center"/>
          </w:tcPr>
          <w:p>
            <w:r>
              <w:rPr>
                <w:rFonts w:ascii="Calibri" w:hAnsi="Calibri"/>
                <w:color w:val="1E293B"/>
                <w:sz w:val="18"/>
              </w:rPr>
              <w:t>Higher</w:t>
            </w:r>
          </w:p>
        </w:tc>
      </w:tr>
      <w:tr>
        <w:tc>
          <w:tcPr>
            <w:tcW w:type="dxa" w:w="2600"/>
            <w:shd w:fill="F7FAFF"/>
            <w:tcMar>
              <w:top w:w="90" w:type="dxa"/>
              <w:start w:w="120" w:type="dxa"/>
              <w:bottom w:w="90" w:type="dxa"/>
              <w:end w:w="120" w:type="dxa"/>
            </w:tcMar>
            <w:vAlign w:val="center"/>
          </w:tcPr>
          <w:p>
            <w:r>
              <w:rPr>
                <w:rFonts w:ascii="Calibri" w:hAnsi="Calibri"/>
                <w:color w:val="1E293B"/>
                <w:sz w:val="18"/>
              </w:rPr>
              <w:t>Cluster balance</w:t>
            </w:r>
          </w:p>
        </w:tc>
        <w:tc>
          <w:tcPr>
            <w:tcW w:type="dxa" w:w="4900"/>
            <w:shd w:fill="F7FAFF"/>
            <w:tcMar>
              <w:top w:w="90" w:type="dxa"/>
              <w:start w:w="120" w:type="dxa"/>
              <w:bottom w:w="90" w:type="dxa"/>
              <w:end w:w="120" w:type="dxa"/>
            </w:tcMar>
            <w:vAlign w:val="center"/>
          </w:tcPr>
          <w:p>
            <w:r>
              <w:rPr>
                <w:rFonts w:ascii="Calibri" w:hAnsi="Calibri"/>
                <w:color w:val="1E293B"/>
                <w:sz w:val="18"/>
              </w:rPr>
              <w:t>Whether the solution is dominated by one cluster or excessive tiny clusters.</w:t>
            </w:r>
          </w:p>
        </w:tc>
        <w:tc>
          <w:tcPr>
            <w:tcW w:type="dxa" w:w="1860"/>
            <w:shd w:fill="F7FAFF"/>
            <w:tcMar>
              <w:top w:w="90" w:type="dxa"/>
              <w:start w:w="120" w:type="dxa"/>
              <w:bottom w:w="90" w:type="dxa"/>
              <w:end w:w="120" w:type="dxa"/>
            </w:tcMar>
            <w:vAlign w:val="center"/>
          </w:tcPr>
          <w:p>
            <w:r>
              <w:rPr>
                <w:rFonts w:ascii="Calibri" w:hAnsi="Calibri"/>
                <w:color w:val="1E293B"/>
                <w:sz w:val="18"/>
              </w:rPr>
              <w:t>Context-dependent</w:t>
            </w:r>
          </w:p>
        </w:tc>
      </w:tr>
      <w:tr>
        <w:tc>
          <w:tcPr>
            <w:tcW w:type="dxa" w:w="2600"/>
            <w:tcMar>
              <w:top w:w="90" w:type="dxa"/>
              <w:start w:w="120" w:type="dxa"/>
              <w:bottom w:w="90" w:type="dxa"/>
              <w:end w:w="120" w:type="dxa"/>
            </w:tcMar>
            <w:vAlign w:val="center"/>
          </w:tcPr>
          <w:p>
            <w:r>
              <w:rPr>
                <w:rFonts w:ascii="Calibri" w:hAnsi="Calibri"/>
                <w:color w:val="1E293B"/>
                <w:sz w:val="18"/>
              </w:rPr>
              <w:t>Noise rate</w:t>
            </w:r>
          </w:p>
        </w:tc>
        <w:tc>
          <w:tcPr>
            <w:tcW w:type="dxa" w:w="4900"/>
            <w:tcMar>
              <w:top w:w="90" w:type="dxa"/>
              <w:start w:w="120" w:type="dxa"/>
              <w:bottom w:w="90" w:type="dxa"/>
              <w:end w:w="120" w:type="dxa"/>
            </w:tcMar>
            <w:vAlign w:val="center"/>
          </w:tcPr>
          <w:p>
            <w:r>
              <w:rPr>
                <w:rFonts w:ascii="Calibri" w:hAnsi="Calibri"/>
                <w:color w:val="1E293B"/>
                <w:sz w:val="18"/>
              </w:rPr>
              <w:t>Proportion left unassigned by density-based methods.</w:t>
            </w:r>
          </w:p>
        </w:tc>
        <w:tc>
          <w:tcPr>
            <w:tcW w:type="dxa" w:w="1860"/>
            <w:tcMar>
              <w:top w:w="90" w:type="dxa"/>
              <w:start w:w="120" w:type="dxa"/>
              <w:bottom w:w="90" w:type="dxa"/>
              <w:end w:w="120" w:type="dxa"/>
            </w:tcMar>
            <w:vAlign w:val="center"/>
          </w:tcPr>
          <w:p>
            <w:r>
              <w:rPr>
                <w:rFonts w:ascii="Calibri" w:hAnsi="Calibri"/>
                <w:color w:val="1E293B"/>
                <w:sz w:val="18"/>
              </w:rPr>
              <w:t>Context-dependent</w:t>
            </w:r>
          </w:p>
        </w:tc>
      </w:tr>
      <w:tr>
        <w:tc>
          <w:tcPr>
            <w:tcW w:type="dxa" w:w="2600"/>
            <w:shd w:fill="F7FAFF"/>
            <w:tcMar>
              <w:top w:w="90" w:type="dxa"/>
              <w:start w:w="120" w:type="dxa"/>
              <w:bottom w:w="90" w:type="dxa"/>
              <w:end w:w="120" w:type="dxa"/>
            </w:tcMar>
            <w:vAlign w:val="center"/>
          </w:tcPr>
          <w:p>
            <w:r>
              <w:rPr>
                <w:rFonts w:ascii="Calibri" w:hAnsi="Calibri"/>
                <w:color w:val="1E293B"/>
                <w:sz w:val="18"/>
              </w:rPr>
              <w:t>Runtime metrics</w:t>
            </w:r>
          </w:p>
        </w:tc>
        <w:tc>
          <w:tcPr>
            <w:tcW w:type="dxa" w:w="4900"/>
            <w:shd w:fill="F7FAFF"/>
            <w:tcMar>
              <w:top w:w="90" w:type="dxa"/>
              <w:start w:w="120" w:type="dxa"/>
              <w:bottom w:w="90" w:type="dxa"/>
              <w:end w:w="120" w:type="dxa"/>
            </w:tcMar>
            <w:vAlign w:val="center"/>
          </w:tcPr>
          <w:p>
            <w:r>
              <w:rPr>
                <w:rFonts w:ascii="Calibri" w:hAnsi="Calibri"/>
                <w:color w:val="1E293B"/>
                <w:sz w:val="18"/>
              </w:rPr>
              <w:t>Training time, memory, assignment latency, and throughput.</w:t>
            </w:r>
          </w:p>
        </w:tc>
        <w:tc>
          <w:tcPr>
            <w:tcW w:type="dxa" w:w="1860"/>
            <w:shd w:fill="F7FAFF"/>
            <w:tcMar>
              <w:top w:w="90" w:type="dxa"/>
              <w:start w:w="120" w:type="dxa"/>
              <w:bottom w:w="90" w:type="dxa"/>
              <w:end w:w="120" w:type="dxa"/>
            </w:tcMar>
            <w:vAlign w:val="center"/>
          </w:tcPr>
          <w:p>
            <w:r>
              <w:rPr>
                <w:rFonts w:ascii="Calibri" w:hAnsi="Calibri"/>
                <w:color w:val="1E293B"/>
                <w:sz w:val="18"/>
              </w:rPr>
              <w:t>Lower cost at acceptable quality</w:t>
            </w:r>
          </w:p>
        </w:tc>
      </w:tr>
    </w:tbl>
    <w:p>
      <w:pPr>
        <w:spacing w:after="0"/>
      </w:pPr>
    </w:p>
    <w:p>
      <w:pPr>
        <w:pStyle w:val="Heading2"/>
      </w:pPr>
      <w:r>
        <w:t>Visualization at scale</w:t>
      </w:r>
    </w:p>
    <w:p>
      <w:r>
        <w:rPr>
          <w:rFonts w:ascii="Calibri" w:hAnsi="Calibri"/>
          <w:color w:val="1E293B"/>
        </w:rPr>
        <w:t>PCA can reduce feature dimensions for a two-dimensional explanatory plot, but PCA is not itself a clustering algorithm. UMAP may be used for exploratory display on a fixed sample. The UI should never send millions of points to the browser; it should use a reproducible representative sample, hexbin/density aggregation, cluster centroids, and summarized distributions.</w:t>
      </w:r>
    </w:p>
    <w:p>
      <w:pPr>
        <w:pStyle w:val="Heading1"/>
      </w:pPr>
      <w:r>
        <w:t>13. Validation and Quality Assurance</w:t>
      </w:r>
    </w:p>
    <w:p>
      <w:pPr>
        <w:pStyle w:val="Heading2"/>
      </w:pPr>
      <w:r>
        <w:t>Current automated validation</w:t>
      </w:r>
    </w:p>
    <w:p>
      <w:pPr>
        <w:pStyle w:val="ListBullet"/>
      </w:pPr>
      <w:r>
        <w:rPr>
          <w:rFonts w:ascii="Calibri" w:hAnsi="Calibri"/>
          <w:color w:val="1E293B"/>
        </w:rPr>
        <w:t>Angular production build completes successfully.</w:t>
      </w:r>
    </w:p>
    <w:p>
      <w:pPr>
        <w:pStyle w:val="ListBullet"/>
      </w:pPr>
      <w:r>
        <w:rPr>
          <w:rFonts w:ascii="Calibri" w:hAnsi="Calibri"/>
          <w:color w:val="1E293B"/>
        </w:rPr>
        <w:t>Spring Boot automated suite contains 101 passing tests across feature engineering, behavioural scorers, rules, weighted aggregation, profiles, learning eligibility, training export, HST/Online OCSVM lifecycle, layered validation, canary routing, rollback, comparison, and fraud-review behavior.</w:t>
      </w:r>
    </w:p>
    <w:p>
      <w:pPr>
        <w:pStyle w:val="ListBullet"/>
      </w:pPr>
      <w:r>
        <w:rPr>
          <w:rFonts w:ascii="Calibri" w:hAnsi="Calibri"/>
          <w:color w:val="1E293B"/>
        </w:rPr>
        <w:t>Python suite contains 10 passing tests covering artifact reproducibility, incremental HST and Online OCSVM training, persisted-feature alignment, production/shadow score contracts, deprecated-route metadata, finite-value validation, and offline-model rejection from v2.</w:t>
      </w:r>
    </w:p>
    <w:p>
      <w:pPr>
        <w:pStyle w:val="Heading2"/>
      </w:pPr>
      <w:r>
        <w:t>Manual acceptance scenarios</w:t>
      </w:r>
    </w:p>
    <w:p>
      <w:pPr>
        <w:pStyle w:val="ListBullet"/>
      </w:pPr>
      <w:r>
        <w:rPr>
          <w:rFonts w:ascii="Calibri" w:hAnsi="Calibri"/>
          <w:color w:val="1E293B"/>
        </w:rPr>
        <w:t>Upload valid and invalid batches and verify row counts/error handling.</w:t>
      </w:r>
    </w:p>
    <w:p>
      <w:pPr>
        <w:pStyle w:val="ListBullet"/>
      </w:pPr>
      <w:r>
        <w:rPr>
          <w:rFonts w:ascii="Calibri" w:hAnsi="Calibri"/>
          <w:color w:val="1E293B"/>
        </w:rPr>
        <w:t>Run 10/25/50/100 model comparison and inspect growth trends.</w:t>
      </w:r>
    </w:p>
    <w:p>
      <w:pPr>
        <w:pStyle w:val="ListBullet"/>
      </w:pPr>
      <w:r>
        <w:rPr>
          <w:rFonts w:ascii="Calibri" w:hAnsi="Calibri"/>
          <w:color w:val="1E293B"/>
        </w:rPr>
        <w:t>Create a closed-date HST run, export Parquet, train a candidate, and verify checksums/statuses.</w:t>
      </w:r>
    </w:p>
    <w:p>
      <w:pPr>
        <w:pStyle w:val="ListBullet"/>
      </w:pPr>
      <w:r>
        <w:rPr>
          <w:rFonts w:ascii="Calibri" w:hAnsi="Calibri"/>
          <w:color w:val="1E293B"/>
        </w:rPr>
        <w:t>Accumulate layered shadow predictions, validate exact versions, activate and expand a deterministic canary, and then roll back to Isolation Forest using an audit reason.</w:t>
      </w:r>
    </w:p>
    <w:p>
      <w:pPr>
        <w:pStyle w:val="ListBullet"/>
      </w:pPr>
      <w:r>
        <w:rPr>
          <w:rFonts w:ascii="Calibri" w:hAnsi="Calibri"/>
          <w:color w:val="1E293B"/>
        </w:rPr>
        <w:t>Create anomalous test transactions for account AC00455 and verify evidence/case behavior.</w:t>
      </w:r>
    </w:p>
    <w:p>
      <w:pPr>
        <w:pStyle w:val="ListBullet"/>
      </w:pPr>
      <w:r>
        <w:rPr>
          <w:rFonts w:ascii="Calibri" w:hAnsi="Calibri"/>
          <w:color w:val="1E293B"/>
        </w:rPr>
        <w:t>Mark one case false positive and generate draft STR XML for another; verify incompatible actions are blocked.</w:t>
      </w:r>
    </w:p>
    <w:p>
      <w:pPr>
        <w:pStyle w:val="Heading1"/>
      </w:pPr>
      <w:r>
        <w:t>14. Limitations and Future Work</w:t>
      </w:r>
    </w:p>
    <w:tbl>
      <w:tblPr>
        <w:tblStyle w:val="TableGrid"/>
        <w:tblW w:type="dxa" w:w="9360"/>
        <w:jc w:val="left"/>
        <w:tblLayout w:type="fixed"/>
        <w:tblLook w:firstColumn="1" w:firstRow="1" w:lastColumn="0" w:lastRow="0" w:noHBand="0" w:noVBand="1" w:val="04A0"/>
        <w:tblInd w:w="120" w:type="dxa"/>
      </w:tblPr>
      <w:tblGrid>
        <w:gridCol w:w="1800"/>
        <w:gridCol w:w="3740"/>
        <w:gridCol w:w="382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Area</w:t>
            </w:r>
          </w:p>
        </w:tc>
        <w:tc>
          <w:tcPr>
            <w:tcW w:type="dxa" w:w="3740"/>
            <w:shd w:fill="0F2747"/>
            <w:tcMar>
              <w:top w:w="90" w:type="dxa"/>
              <w:start w:w="120" w:type="dxa"/>
              <w:bottom w:w="90" w:type="dxa"/>
              <w:end w:w="120" w:type="dxa"/>
            </w:tcMar>
            <w:vAlign w:val="center"/>
          </w:tcPr>
          <w:p>
            <w:r>
              <w:rPr>
                <w:rFonts w:ascii="Calibri" w:hAnsi="Calibri"/>
                <w:b/>
                <w:color w:val="FFFFFF"/>
                <w:sz w:val="18"/>
              </w:rPr>
              <w:t>Current limitation</w:t>
            </w:r>
          </w:p>
        </w:tc>
        <w:tc>
          <w:tcPr>
            <w:tcW w:type="dxa" w:w="3820"/>
            <w:shd w:fill="0F2747"/>
            <w:tcMar>
              <w:top w:w="90" w:type="dxa"/>
              <w:start w:w="120" w:type="dxa"/>
              <w:bottom w:w="90" w:type="dxa"/>
              <w:end w:w="120" w:type="dxa"/>
            </w:tcMar>
            <w:vAlign w:val="center"/>
          </w:tcPr>
          <w:p>
            <w:r>
              <w:rPr>
                <w:rFonts w:ascii="Calibri" w:hAnsi="Calibri"/>
                <w:b/>
                <w:color w:val="FFFFFF"/>
                <w:sz w:val="18"/>
              </w:rPr>
              <w:t>Recommended next step</w:t>
            </w:r>
          </w:p>
        </w:tc>
      </w:tr>
      <w:tr>
        <w:tc>
          <w:tcPr>
            <w:tcW w:type="dxa" w:w="1800"/>
            <w:shd w:fill="F7FAFF"/>
            <w:tcMar>
              <w:top w:w="90" w:type="dxa"/>
              <w:start w:w="120" w:type="dxa"/>
              <w:bottom w:w="90" w:type="dxa"/>
              <w:end w:w="120" w:type="dxa"/>
            </w:tcMar>
            <w:vAlign w:val="center"/>
          </w:tcPr>
          <w:p>
            <w:r>
              <w:rPr>
                <w:rFonts w:ascii="Calibri" w:hAnsi="Calibri"/>
                <w:color w:val="1E293B"/>
                <w:sz w:val="18"/>
              </w:rPr>
              <w:t>Labels</w:t>
            </w:r>
          </w:p>
        </w:tc>
        <w:tc>
          <w:tcPr>
            <w:tcW w:type="dxa" w:w="3740"/>
            <w:shd w:fill="F7FAFF"/>
            <w:tcMar>
              <w:top w:w="90" w:type="dxa"/>
              <w:start w:w="120" w:type="dxa"/>
              <w:bottom w:w="90" w:type="dxa"/>
              <w:end w:w="120" w:type="dxa"/>
            </w:tcMar>
            <w:vAlign w:val="center"/>
          </w:tcPr>
          <w:p>
            <w:r>
              <w:rPr>
                <w:rFonts w:ascii="Calibri" w:hAnsi="Calibri"/>
                <w:color w:val="1E293B"/>
                <w:sz w:val="18"/>
              </w:rPr>
              <w:t>No representative complete fraud ground truth.</w:t>
            </w:r>
          </w:p>
        </w:tc>
        <w:tc>
          <w:tcPr>
            <w:tcW w:type="dxa" w:w="3820"/>
            <w:shd w:fill="F7FAFF"/>
            <w:tcMar>
              <w:top w:w="90" w:type="dxa"/>
              <w:start w:w="120" w:type="dxa"/>
              <w:bottom w:w="90" w:type="dxa"/>
              <w:end w:w="120" w:type="dxa"/>
            </w:tcMar>
            <w:vAlign w:val="center"/>
          </w:tcPr>
          <w:p>
            <w:r>
              <w:rPr>
                <w:rFonts w:ascii="Calibri" w:hAnsi="Calibri"/>
                <w:color w:val="1E293B"/>
                <w:sz w:val="18"/>
              </w:rPr>
              <w:t>Use reviewer outcomes, delayed confirmations, and controlled backtesting while measuring selection bias.</w:t>
            </w:r>
          </w:p>
        </w:tc>
      </w:tr>
      <w:tr>
        <w:tc>
          <w:tcPr>
            <w:tcW w:type="dxa" w:w="1800"/>
            <w:tcMar>
              <w:top w:w="90" w:type="dxa"/>
              <w:start w:w="120" w:type="dxa"/>
              <w:bottom w:w="90" w:type="dxa"/>
              <w:end w:w="120" w:type="dxa"/>
            </w:tcMar>
            <w:vAlign w:val="center"/>
          </w:tcPr>
          <w:p>
            <w:r>
              <w:rPr>
                <w:rFonts w:ascii="Calibri" w:hAnsi="Calibri"/>
                <w:color w:val="1E293B"/>
                <w:sz w:val="18"/>
              </w:rPr>
              <w:t>Streaming</w:t>
            </w:r>
          </w:p>
        </w:tc>
        <w:tc>
          <w:tcPr>
            <w:tcW w:type="dxa" w:w="3740"/>
            <w:tcMar>
              <w:top w:w="90" w:type="dxa"/>
              <w:start w:w="120" w:type="dxa"/>
              <w:bottom w:w="90" w:type="dxa"/>
              <w:end w:w="120" w:type="dxa"/>
            </w:tcMar>
            <w:vAlign w:val="center"/>
          </w:tcPr>
          <w:p>
            <w:r>
              <w:rPr>
                <w:rFonts w:ascii="Calibri" w:hAnsi="Calibri"/>
                <w:color w:val="1E293B"/>
                <w:sz w:val="18"/>
              </w:rPr>
              <w:t>Kafka/stateful stream processing not yet implemented.</w:t>
            </w:r>
          </w:p>
        </w:tc>
        <w:tc>
          <w:tcPr>
            <w:tcW w:type="dxa" w:w="3820"/>
            <w:tcMar>
              <w:top w:w="90" w:type="dxa"/>
              <w:start w:w="120" w:type="dxa"/>
              <w:bottom w:w="90" w:type="dxa"/>
              <w:end w:w="120" w:type="dxa"/>
            </w:tcMar>
            <w:vAlign w:val="center"/>
          </w:tcPr>
          <w:p>
            <w:r>
              <w:rPr>
                <w:rFonts w:ascii="Calibri" w:hAnsi="Calibri"/>
                <w:color w:val="1E293B"/>
                <w:sz w:val="18"/>
              </w:rPr>
              <w:t>Adopt outbox + Kafka + account-partitioned feature consumers.</w:t>
            </w:r>
          </w:p>
        </w:tc>
      </w:tr>
      <w:tr>
        <w:tc>
          <w:tcPr>
            <w:tcW w:type="dxa" w:w="1800"/>
            <w:shd w:fill="F7FAFF"/>
            <w:tcMar>
              <w:top w:w="90" w:type="dxa"/>
              <w:start w:w="120" w:type="dxa"/>
              <w:bottom w:w="90" w:type="dxa"/>
              <w:end w:w="120" w:type="dxa"/>
            </w:tcMar>
            <w:vAlign w:val="center"/>
          </w:tcPr>
          <w:p>
            <w:r>
              <w:rPr>
                <w:rFonts w:ascii="Calibri" w:hAnsi="Calibri"/>
                <w:color w:val="1E293B"/>
                <w:sz w:val="18"/>
              </w:rPr>
              <w:t>Storage</w:t>
            </w:r>
          </w:p>
        </w:tc>
        <w:tc>
          <w:tcPr>
            <w:tcW w:type="dxa" w:w="3740"/>
            <w:shd w:fill="F7FAFF"/>
            <w:tcMar>
              <w:top w:w="90" w:type="dxa"/>
              <w:start w:w="120" w:type="dxa"/>
              <w:bottom w:w="90" w:type="dxa"/>
              <w:end w:w="120" w:type="dxa"/>
            </w:tcMar>
            <w:vAlign w:val="center"/>
          </w:tcPr>
          <w:p>
            <w:r>
              <w:rPr>
                <w:rFonts w:ascii="Calibri" w:hAnsi="Calibri"/>
                <w:color w:val="1E293B"/>
                <w:sz w:val="18"/>
              </w:rPr>
              <w:t>Local paths are acceptable for development but not resilient shared storage.</w:t>
            </w:r>
          </w:p>
        </w:tc>
        <w:tc>
          <w:tcPr>
            <w:tcW w:type="dxa" w:w="3820"/>
            <w:shd w:fill="F7FAFF"/>
            <w:tcMar>
              <w:top w:w="90" w:type="dxa"/>
              <w:start w:w="120" w:type="dxa"/>
              <w:bottom w:w="90" w:type="dxa"/>
              <w:end w:w="120" w:type="dxa"/>
            </w:tcMar>
            <w:vAlign w:val="center"/>
          </w:tcPr>
          <w:p>
            <w:r>
              <w:rPr>
                <w:rFonts w:ascii="Calibri" w:hAnsi="Calibri"/>
                <w:color w:val="1E293B"/>
                <w:sz w:val="18"/>
              </w:rPr>
              <w:t>Move Parquet and artifacts to versioned object storage with retention and access controls.</w:t>
            </w:r>
          </w:p>
        </w:tc>
      </w:tr>
      <w:tr>
        <w:tc>
          <w:tcPr>
            <w:tcW w:type="dxa" w:w="1800"/>
            <w:tcMar>
              <w:top w:w="90" w:type="dxa"/>
              <w:start w:w="120" w:type="dxa"/>
              <w:bottom w:w="90" w:type="dxa"/>
              <w:end w:w="120" w:type="dxa"/>
            </w:tcMar>
            <w:vAlign w:val="center"/>
          </w:tcPr>
          <w:p>
            <w:r>
              <w:rPr>
                <w:rFonts w:ascii="Calibri" w:hAnsi="Calibri"/>
                <w:color w:val="1E293B"/>
                <w:sz w:val="18"/>
              </w:rPr>
              <w:t>Job control</w:t>
            </w:r>
          </w:p>
        </w:tc>
        <w:tc>
          <w:tcPr>
            <w:tcW w:type="dxa" w:w="3740"/>
            <w:tcMar>
              <w:top w:w="90" w:type="dxa"/>
              <w:start w:w="120" w:type="dxa"/>
              <w:bottom w:w="90" w:type="dxa"/>
              <w:end w:w="120" w:type="dxa"/>
            </w:tcMar>
            <w:vAlign w:val="center"/>
          </w:tcPr>
          <w:p>
            <w:r>
              <w:rPr>
                <w:rFonts w:ascii="Calibri" w:hAnsi="Calibri"/>
                <w:color w:val="1E293B"/>
                <w:sz w:val="18"/>
              </w:rPr>
              <w:t>Asynchronous jobs expose status but lack full distributed queue, cancellation, and retry orchestration.</w:t>
            </w:r>
          </w:p>
        </w:tc>
        <w:tc>
          <w:tcPr>
            <w:tcW w:type="dxa" w:w="3820"/>
            <w:tcMar>
              <w:top w:w="90" w:type="dxa"/>
              <w:start w:w="120" w:type="dxa"/>
              <w:bottom w:w="90" w:type="dxa"/>
              <w:end w:w="120" w:type="dxa"/>
            </w:tcMar>
            <w:vAlign w:val="center"/>
          </w:tcPr>
          <w:p>
            <w:r>
              <w:rPr>
                <w:rFonts w:ascii="Calibri" w:hAnsi="Calibri"/>
                <w:color w:val="1E293B"/>
                <w:sz w:val="18"/>
              </w:rPr>
              <w:t>Introduce durable job commands, worker leases, retry policy, and resource quotas.</w:t>
            </w:r>
          </w:p>
        </w:tc>
      </w:tr>
      <w:tr>
        <w:tc>
          <w:tcPr>
            <w:tcW w:type="dxa" w:w="1800"/>
            <w:shd w:fill="F7FAFF"/>
            <w:tcMar>
              <w:top w:w="90" w:type="dxa"/>
              <w:start w:w="120" w:type="dxa"/>
              <w:bottom w:w="90" w:type="dxa"/>
              <w:end w:w="120" w:type="dxa"/>
            </w:tcMar>
            <w:vAlign w:val="center"/>
          </w:tcPr>
          <w:p>
            <w:r>
              <w:rPr>
                <w:rFonts w:ascii="Calibri" w:hAnsi="Calibri"/>
                <w:color w:val="1E293B"/>
                <w:sz w:val="18"/>
              </w:rPr>
              <w:t>Clustering</w:t>
            </w:r>
          </w:p>
        </w:tc>
        <w:tc>
          <w:tcPr>
            <w:tcW w:type="dxa" w:w="3740"/>
            <w:shd w:fill="F7FAFF"/>
            <w:tcMar>
              <w:top w:w="90" w:type="dxa"/>
              <w:start w:w="120" w:type="dxa"/>
              <w:bottom w:w="90" w:type="dxa"/>
              <w:end w:w="120" w:type="dxa"/>
            </w:tcMar>
            <w:vAlign w:val="center"/>
          </w:tcPr>
          <w:p>
            <w:r>
              <w:rPr>
                <w:rFonts w:ascii="Calibri" w:hAnsi="Calibri"/>
                <w:color w:val="1E293B"/>
                <w:sz w:val="18"/>
              </w:rPr>
              <w:t>Metrics and visuals are planned but not complete.</w:t>
            </w:r>
          </w:p>
        </w:tc>
        <w:tc>
          <w:tcPr>
            <w:tcW w:type="dxa" w:w="3820"/>
            <w:shd w:fill="F7FAFF"/>
            <w:tcMar>
              <w:top w:w="90" w:type="dxa"/>
              <w:start w:w="120" w:type="dxa"/>
              <w:bottom w:w="90" w:type="dxa"/>
              <w:end w:w="120" w:type="dxa"/>
            </w:tcMar>
            <w:vAlign w:val="center"/>
          </w:tcPr>
          <w:p>
            <w:r>
              <w:rPr>
                <w:rFonts w:ascii="Calibri" w:hAnsi="Calibri"/>
                <w:color w:val="1E293B"/>
                <w:sz w:val="18"/>
              </w:rPr>
              <w:t>Implement MiniBatchKMeans/BIRCH track with fixed-sample metrics and density visualization.</w:t>
            </w:r>
          </w:p>
        </w:tc>
      </w:tr>
      <w:tr>
        <w:tc>
          <w:tcPr>
            <w:tcW w:type="dxa" w:w="1800"/>
            <w:tcMar>
              <w:top w:w="90" w:type="dxa"/>
              <w:start w:w="120" w:type="dxa"/>
              <w:bottom w:w="90" w:type="dxa"/>
              <w:end w:w="120" w:type="dxa"/>
            </w:tcMar>
            <w:vAlign w:val="center"/>
          </w:tcPr>
          <w:p>
            <w:r>
              <w:rPr>
                <w:rFonts w:ascii="Calibri" w:hAnsi="Calibri"/>
                <w:color w:val="1E293B"/>
                <w:sz w:val="18"/>
              </w:rPr>
              <w:t>Security</w:t>
            </w:r>
          </w:p>
        </w:tc>
        <w:tc>
          <w:tcPr>
            <w:tcW w:type="dxa" w:w="3740"/>
            <w:tcMar>
              <w:top w:w="90" w:type="dxa"/>
              <w:start w:w="120" w:type="dxa"/>
              <w:bottom w:w="90" w:type="dxa"/>
              <w:end w:w="120" w:type="dxa"/>
            </w:tcMar>
            <w:vAlign w:val="center"/>
          </w:tcPr>
          <w:p>
            <w:r>
              <w:rPr>
                <w:rFonts w:ascii="Calibri" w:hAnsi="Calibri"/>
                <w:color w:val="1E293B"/>
                <w:sz w:val="18"/>
              </w:rPr>
              <w:t>Development secrets and local transport remain.</w:t>
            </w:r>
          </w:p>
        </w:tc>
        <w:tc>
          <w:tcPr>
            <w:tcW w:type="dxa" w:w="3820"/>
            <w:tcMar>
              <w:top w:w="90" w:type="dxa"/>
              <w:start w:w="120" w:type="dxa"/>
              <w:bottom w:w="90" w:type="dxa"/>
              <w:end w:w="120" w:type="dxa"/>
            </w:tcMar>
            <w:vAlign w:val="center"/>
          </w:tcPr>
          <w:p>
            <w:r>
              <w:rPr>
                <w:rFonts w:ascii="Calibri" w:hAnsi="Calibri"/>
                <w:color w:val="1E293B"/>
                <w:sz w:val="18"/>
              </w:rPr>
              <w:t>Use TLS, secrets manager, enterprise identity, server-side RBAC, and security audit.</w:t>
            </w:r>
          </w:p>
        </w:tc>
      </w:tr>
      <w:tr>
        <w:tc>
          <w:tcPr>
            <w:tcW w:type="dxa" w:w="1800"/>
            <w:shd w:fill="F7FAFF"/>
            <w:tcMar>
              <w:top w:w="90" w:type="dxa"/>
              <w:start w:w="120" w:type="dxa"/>
              <w:bottom w:w="90" w:type="dxa"/>
              <w:end w:w="120" w:type="dxa"/>
            </w:tcMar>
            <w:vAlign w:val="center"/>
          </w:tcPr>
          <w:p>
            <w:r>
              <w:rPr>
                <w:rFonts w:ascii="Calibri" w:hAnsi="Calibri"/>
                <w:color w:val="1E293B"/>
                <w:sz w:val="18"/>
              </w:rPr>
              <w:t>Observability</w:t>
            </w:r>
          </w:p>
        </w:tc>
        <w:tc>
          <w:tcPr>
            <w:tcW w:type="dxa" w:w="3740"/>
            <w:shd w:fill="F7FAFF"/>
            <w:tcMar>
              <w:top w:w="90" w:type="dxa"/>
              <w:start w:w="120" w:type="dxa"/>
              <w:bottom w:w="90" w:type="dxa"/>
              <w:end w:w="120" w:type="dxa"/>
            </w:tcMar>
            <w:vAlign w:val="center"/>
          </w:tcPr>
          <w:p>
            <w:r>
              <w:rPr>
                <w:rFonts w:ascii="Calibri" w:hAnsi="Calibri"/>
                <w:color w:val="1E293B"/>
                <w:sz w:val="18"/>
              </w:rPr>
              <w:t>Basic health and stored audit exist; production telemetry is incomplete.</w:t>
            </w:r>
          </w:p>
        </w:tc>
        <w:tc>
          <w:tcPr>
            <w:tcW w:type="dxa" w:w="3820"/>
            <w:shd w:fill="F7FAFF"/>
            <w:tcMar>
              <w:top w:w="90" w:type="dxa"/>
              <w:start w:w="120" w:type="dxa"/>
              <w:bottom w:w="90" w:type="dxa"/>
              <w:end w:w="120" w:type="dxa"/>
            </w:tcMar>
            <w:vAlign w:val="center"/>
          </w:tcPr>
          <w:p>
            <w:r>
              <w:rPr>
                <w:rFonts w:ascii="Calibri" w:hAnsi="Calibri"/>
                <w:color w:val="1E293B"/>
                <w:sz w:val="18"/>
              </w:rPr>
              <w:t>Add metrics, distributed tracing, structured logs, dashboards, and alerting.</w:t>
            </w:r>
          </w:p>
        </w:tc>
      </w:tr>
      <w:tr>
        <w:tc>
          <w:tcPr>
            <w:tcW w:type="dxa" w:w="1800"/>
            <w:tcMar>
              <w:top w:w="90" w:type="dxa"/>
              <w:start w:w="120" w:type="dxa"/>
              <w:bottom w:w="90" w:type="dxa"/>
              <w:end w:w="120" w:type="dxa"/>
            </w:tcMar>
            <w:vAlign w:val="center"/>
          </w:tcPr>
          <w:p>
            <w:r>
              <w:rPr>
                <w:rFonts w:ascii="Calibri" w:hAnsi="Calibri"/>
                <w:color w:val="1E293B"/>
                <w:sz w:val="18"/>
              </w:rPr>
              <w:t>STR</w:t>
            </w:r>
          </w:p>
        </w:tc>
        <w:tc>
          <w:tcPr>
            <w:tcW w:type="dxa" w:w="3740"/>
            <w:tcMar>
              <w:top w:w="90" w:type="dxa"/>
              <w:start w:w="120" w:type="dxa"/>
              <w:bottom w:w="90" w:type="dxa"/>
              <w:end w:w="120" w:type="dxa"/>
            </w:tcMar>
            <w:vAlign w:val="center"/>
          </w:tcPr>
          <w:p>
            <w:r>
              <w:rPr>
                <w:rFonts w:ascii="Calibri" w:hAnsi="Calibri"/>
                <w:color w:val="1E293B"/>
                <w:sz w:val="18"/>
              </w:rPr>
              <w:t>Generated XML is a draft and not jurisdiction-certified.</w:t>
            </w:r>
          </w:p>
        </w:tc>
        <w:tc>
          <w:tcPr>
            <w:tcW w:type="dxa" w:w="3820"/>
            <w:tcMar>
              <w:top w:w="90" w:type="dxa"/>
              <w:start w:w="120" w:type="dxa"/>
              <w:bottom w:w="90" w:type="dxa"/>
              <w:end w:w="120" w:type="dxa"/>
            </w:tcMar>
            <w:vAlign w:val="center"/>
          </w:tcPr>
          <w:p>
            <w:r>
              <w:rPr>
                <w:rFonts w:ascii="Calibri" w:hAnsi="Calibri"/>
                <w:color w:val="1E293B"/>
                <w:sz w:val="18"/>
              </w:rPr>
              <w:t>Map to the required regulator schema and add approval/submission workflow.</w:t>
            </w:r>
          </w:p>
        </w:tc>
      </w:tr>
    </w:tbl>
    <w:p>
      <w:pPr>
        <w:spacing w:after="0"/>
      </w:pPr>
    </w:p>
    <w:p>
      <w:pPr>
        <w:pStyle w:val="Heading1"/>
      </w:pPr>
      <w:r>
        <w:t>Conclusion</w:t>
      </w:r>
    </w:p>
    <w:p>
      <w:r>
        <w:rPr>
          <w:rFonts w:ascii="Calibri" w:hAnsi="Calibri"/>
          <w:color w:val="1E293B"/>
        </w:rPr>
        <w:t>The project evolved from a small unsupervised fraud prototype into a controlled anomaly-intelligence platform. Its main academic value is retained: stakeholders can observe how multiple offline models change as chronological data grows. Production instead uses persisted features, deterministic controls, customer and peer behaviour, incremental HST and Online OCSVM evidence, weighted policy aggregation, shadow validation, deterministic canaries, and Isolation Forest rollback to create a credible path toward bank-scale operation.</w:t>
      </w:r>
    </w:p>
    <w:p>
      <w:r>
        <w:rPr>
          <w:rFonts w:ascii="Calibri" w:hAnsi="Calibri"/>
          <w:color w:val="1E293B"/>
        </w:rPr>
        <w:t>The result is not a claim of autonomous fraud detection. It is a governed decision-support system that records evidence, limits unsafe learning, supports human investigation, and provides a clear roadmap for Kafka streaming, scalable clustering analysis, distributed workers, stronger security, and regulatory integration.</w:t>
      </w:r>
    </w:p>
    <w:p>
      <w:pPr>
        <w:pStyle w:val="Heading1"/>
      </w:pPr>
      <w:r>
        <w:t>Appendix A - Key API Groups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0F2747"/>
            <w:tcMar>
              <w:top w:w="90" w:type="dxa"/>
              <w:start w:w="120" w:type="dxa"/>
              <w:bottom w:w="90" w:type="dxa"/>
              <w:end w:w="120" w:type="dxa"/>
            </w:tcMar>
            <w:vAlign w:val="center"/>
          </w:tcPr>
          <w:p>
            <w:r>
              <w:rPr>
                <w:rFonts w:ascii="Calibri" w:hAnsi="Calibri"/>
                <w:b/>
                <w:color w:val="FFFFFF"/>
                <w:sz w:val="18"/>
              </w:rPr>
              <w:t>API group</w:t>
            </w:r>
          </w:p>
        </w:tc>
        <w:tc>
          <w:tcPr>
            <w:tcW w:type="dxa" w:w="5760"/>
            <w:shd w:fill="0F2747"/>
            <w:tcMar>
              <w:top w:w="90" w:type="dxa"/>
              <w:start w:w="120" w:type="dxa"/>
              <w:bottom w:w="90" w:type="dxa"/>
              <w:end w:w="120" w:type="dxa"/>
            </w:tcMar>
            <w:vAlign w:val="center"/>
          </w:tcPr>
          <w:p>
            <w:r>
              <w:rPr>
                <w:rFonts w:ascii="Calibri" w:hAnsi="Calibri"/>
                <w:b/>
                <w:color w:val="FFFFFF"/>
                <w:sz w:val="18"/>
              </w:rPr>
              <w:t>Representative purpose</w:t>
            </w:r>
          </w:p>
        </w:tc>
      </w:tr>
      <w:tr>
        <w:tc>
          <w:tcPr>
            <w:tcW w:type="dxa" w:w="3600"/>
            <w:shd w:fill="F7FAFF"/>
            <w:tcMar>
              <w:top w:w="90" w:type="dxa"/>
              <w:start w:w="120" w:type="dxa"/>
              <w:bottom w:w="90" w:type="dxa"/>
              <w:end w:w="120" w:type="dxa"/>
            </w:tcMar>
            <w:vAlign w:val="center"/>
          </w:tcPr>
          <w:p>
            <w:r>
              <w:rPr>
                <w:rFonts w:ascii="Calibri" w:hAnsi="Calibri"/>
                <w:color w:val="1E293B"/>
                <w:sz w:val="18"/>
              </w:rPr>
              <w:t>/api/auth</w:t>
            </w:r>
          </w:p>
        </w:tc>
        <w:tc>
          <w:tcPr>
            <w:tcW w:type="dxa" w:w="5760"/>
            <w:shd w:fill="F7FAFF"/>
            <w:tcMar>
              <w:top w:w="90" w:type="dxa"/>
              <w:start w:w="120" w:type="dxa"/>
              <w:bottom w:w="90" w:type="dxa"/>
              <w:end w:w="120" w:type="dxa"/>
            </w:tcMar>
            <w:vAlign w:val="center"/>
          </w:tcPr>
          <w:p>
            <w:r>
              <w:rPr>
                <w:rFonts w:ascii="Calibri" w:hAnsi="Calibri"/>
                <w:color w:val="1E293B"/>
                <w:sz w:val="18"/>
              </w:rPr>
              <w:t>Register reviewer, login, current user, token validation.</w:t>
            </w:r>
          </w:p>
        </w:tc>
      </w:tr>
      <w:tr>
        <w:tc>
          <w:tcPr>
            <w:tcW w:type="dxa" w:w="3600"/>
            <w:tcMar>
              <w:top w:w="90" w:type="dxa"/>
              <w:start w:w="120" w:type="dxa"/>
              <w:bottom w:w="90" w:type="dxa"/>
              <w:end w:w="120" w:type="dxa"/>
            </w:tcMar>
            <w:vAlign w:val="center"/>
          </w:tcPr>
          <w:p>
            <w:r>
              <w:rPr>
                <w:rFonts w:ascii="Calibri" w:hAnsi="Calibri"/>
                <w:color w:val="1E293B"/>
                <w:sz w:val="18"/>
              </w:rPr>
              <w:t>/api/v1/uploads</w:t>
            </w:r>
          </w:p>
        </w:tc>
        <w:tc>
          <w:tcPr>
            <w:tcW w:type="dxa" w:w="5760"/>
            <w:tcMar>
              <w:top w:w="90" w:type="dxa"/>
              <w:start w:w="120" w:type="dxa"/>
              <w:bottom w:w="90" w:type="dxa"/>
              <w:end w:w="120" w:type="dxa"/>
            </w:tcMar>
            <w:vAlign w:val="center"/>
          </w:tcPr>
          <w:p>
            <w:r>
              <w:rPr>
                <w:rFonts w:ascii="Calibri" w:hAnsi="Calibri"/>
                <w:color w:val="1E293B"/>
                <w:sz w:val="18"/>
              </w:rPr>
              <w:t>Bulk transaction upload and batch review.</w:t>
            </w:r>
          </w:p>
        </w:tc>
      </w:tr>
      <w:tr>
        <w:tc>
          <w:tcPr>
            <w:tcW w:type="dxa" w:w="3600"/>
            <w:shd w:fill="F7FAFF"/>
            <w:tcMar>
              <w:top w:w="90" w:type="dxa"/>
              <w:start w:w="120" w:type="dxa"/>
              <w:bottom w:w="90" w:type="dxa"/>
              <w:end w:w="120" w:type="dxa"/>
            </w:tcMar>
            <w:vAlign w:val="center"/>
          </w:tcPr>
          <w:p>
            <w:r>
              <w:rPr>
                <w:rFonts w:ascii="Calibri" w:hAnsi="Calibri"/>
                <w:color w:val="1E293B"/>
                <w:sz w:val="18"/>
              </w:rPr>
              <w:t>/api/v1/transactions</w:t>
            </w:r>
          </w:p>
        </w:tc>
        <w:tc>
          <w:tcPr>
            <w:tcW w:type="dxa" w:w="5760"/>
            <w:shd w:fill="F7FAFF"/>
            <w:tcMar>
              <w:top w:w="90" w:type="dxa"/>
              <w:start w:w="120" w:type="dxa"/>
              <w:bottom w:w="90" w:type="dxa"/>
              <w:end w:w="120" w:type="dxa"/>
            </w:tcMar>
            <w:vAlign w:val="center"/>
          </w:tcPr>
          <w:p>
            <w:r>
              <w:rPr>
                <w:rFonts w:ascii="Calibri" w:hAnsi="Calibri"/>
                <w:color w:val="1E293B"/>
                <w:sz w:val="18"/>
              </w:rPr>
              <w:t>Create/search/retrieve transactions.</w:t>
            </w:r>
          </w:p>
        </w:tc>
      </w:tr>
      <w:tr>
        <w:tc>
          <w:tcPr>
            <w:tcW w:type="dxa" w:w="3600"/>
            <w:tcMar>
              <w:top w:w="90" w:type="dxa"/>
              <w:start w:w="120" w:type="dxa"/>
              <w:bottom w:w="90" w:type="dxa"/>
              <w:end w:w="120" w:type="dxa"/>
            </w:tcMar>
            <w:vAlign w:val="center"/>
          </w:tcPr>
          <w:p>
            <w:r>
              <w:rPr>
                <w:rFonts w:ascii="Calibri" w:hAnsi="Calibri"/>
                <w:color w:val="1E293B"/>
                <w:sz w:val="18"/>
              </w:rPr>
              <w:t>/api/v1/anomaly-model-comparisons</w:t>
            </w:r>
          </w:p>
        </w:tc>
        <w:tc>
          <w:tcPr>
            <w:tcW w:type="dxa" w:w="5760"/>
            <w:tcMar>
              <w:top w:w="90" w:type="dxa"/>
              <w:start w:w="120" w:type="dxa"/>
              <w:bottom w:w="90" w:type="dxa"/>
              <w:end w:w="120" w:type="dxa"/>
            </w:tcMar>
            <w:vAlign w:val="center"/>
          </w:tcPr>
          <w:p>
            <w:r>
              <w:rPr>
                <w:rFonts w:ascii="Calibri" w:hAnsi="Calibri"/>
                <w:color w:val="1E293B"/>
                <w:sz w:val="18"/>
              </w:rPr>
              <w:t>Database snapshots, partitions, offline training, comparison configuration.</w:t>
            </w:r>
          </w:p>
        </w:tc>
      </w:tr>
      <w:tr>
        <w:tc>
          <w:tcPr>
            <w:tcW w:type="dxa" w:w="3600"/>
            <w:shd w:fill="F7FAFF"/>
            <w:tcMar>
              <w:top w:w="90" w:type="dxa"/>
              <w:start w:w="120" w:type="dxa"/>
              <w:bottom w:w="90" w:type="dxa"/>
              <w:end w:w="120" w:type="dxa"/>
            </w:tcMar>
            <w:vAlign w:val="center"/>
          </w:tcPr>
          <w:p>
            <w:r>
              <w:rPr>
                <w:rFonts w:ascii="Calibri" w:hAnsi="Calibri"/>
                <w:color w:val="1E293B"/>
                <w:sz w:val="18"/>
              </w:rPr>
              <w:t>/api/v1/aml/training-runs</w:t>
            </w:r>
          </w:p>
        </w:tc>
        <w:tc>
          <w:tcPr>
            <w:tcW w:type="dxa" w:w="5760"/>
            <w:shd w:fill="F7FAFF"/>
            <w:tcMar>
              <w:top w:w="90" w:type="dxa"/>
              <w:start w:w="120" w:type="dxa"/>
              <w:bottom w:w="90" w:type="dxa"/>
              <w:end w:w="120" w:type="dxa"/>
            </w:tcMar>
            <w:vAlign w:val="center"/>
          </w:tcPr>
          <w:p>
            <w:r>
              <w:rPr>
                <w:rFonts w:ascii="Calibri" w:hAnsi="Calibri"/>
                <w:color w:val="1E293B"/>
                <w:sz w:val="18"/>
              </w:rPr>
              <w:t>Create/list/status/export/train AML runs.</w:t>
            </w:r>
          </w:p>
        </w:tc>
      </w:tr>
      <w:tr>
        <w:tc>
          <w:tcPr>
            <w:tcW w:type="dxa" w:w="3600"/>
            <w:tcMar>
              <w:top w:w="90" w:type="dxa"/>
              <w:start w:w="120" w:type="dxa"/>
              <w:bottom w:w="90" w:type="dxa"/>
              <w:end w:w="120" w:type="dxa"/>
            </w:tcMar>
            <w:vAlign w:val="center"/>
          </w:tcPr>
          <w:p>
            <w:r>
              <w:rPr>
                <w:rFonts w:ascii="Calibri" w:hAnsi="Calibri"/>
                <w:color w:val="1E293B"/>
                <w:sz w:val="18"/>
              </w:rPr>
              <w:t>/api/v1/aml/models</w:t>
            </w:r>
          </w:p>
        </w:tc>
        <w:tc>
          <w:tcPr>
            <w:tcW w:type="dxa" w:w="5760"/>
            <w:tcMar>
              <w:top w:w="90" w:type="dxa"/>
              <w:start w:w="120" w:type="dxa"/>
              <w:bottom w:w="90" w:type="dxa"/>
              <w:end w:w="120" w:type="dxa"/>
            </w:tcMar>
            <w:vAlign w:val="center"/>
          </w:tcPr>
          <w:p>
            <w:r>
              <w:rPr>
                <w:rFonts w:ascii="Calibri" w:hAnsi="Calibri"/>
                <w:color w:val="1E293B"/>
                <w:sz w:val="18"/>
              </w:rPr>
              <w:t>Registry, validation, active pointers, promotion, rollback, deployment history.</w:t>
            </w:r>
          </w:p>
        </w:tc>
      </w:tr>
      <w:tr>
        <w:tc>
          <w:tcPr>
            <w:tcW w:type="dxa" w:w="3600"/>
            <w:shd w:fill="F7FAFF"/>
            <w:tcMar>
              <w:top w:w="90" w:type="dxa"/>
              <w:start w:w="120" w:type="dxa"/>
              <w:bottom w:w="90" w:type="dxa"/>
              <w:end w:w="120" w:type="dxa"/>
            </w:tcMar>
            <w:vAlign w:val="center"/>
          </w:tcPr>
          <w:p>
            <w:r>
              <w:rPr>
                <w:rFonts w:ascii="Calibri" w:hAnsi="Calibri"/>
                <w:color w:val="1E293B"/>
                <w:sz w:val="18"/>
              </w:rPr>
              <w:t>/api/v1/aml/layered-shadow</w:t>
            </w:r>
          </w:p>
        </w:tc>
        <w:tc>
          <w:tcPr>
            <w:tcW w:type="dxa" w:w="5760"/>
            <w:shd w:fill="F7FAFF"/>
            <w:tcMar>
              <w:top w:w="90" w:type="dxa"/>
              <w:start w:w="120" w:type="dxa"/>
              <w:bottom w:w="90" w:type="dxa"/>
              <w:end w:w="120" w:type="dxa"/>
            </w:tcMar>
            <w:vAlign w:val="center"/>
          </w:tcPr>
          <w:p>
            <w:r>
              <w:rPr>
                <w:rFonts w:ascii="Calibri" w:hAnsi="Calibri"/>
                <w:color w:val="1E293B"/>
                <w:sz w:val="18"/>
              </w:rPr>
              <w:t>Layered prediction evidence, scenario labels, and architecture validation.</w:t>
            </w:r>
          </w:p>
        </w:tc>
      </w:tr>
      <w:tr>
        <w:tc>
          <w:tcPr>
            <w:tcW w:type="dxa" w:w="3600"/>
            <w:tcMar>
              <w:top w:w="90" w:type="dxa"/>
              <w:start w:w="120" w:type="dxa"/>
              <w:bottom w:w="90" w:type="dxa"/>
              <w:end w:w="120" w:type="dxa"/>
            </w:tcMar>
            <w:vAlign w:val="center"/>
          </w:tcPr>
          <w:p>
            <w:r>
              <w:rPr>
                <w:rFonts w:ascii="Calibri" w:hAnsi="Calibri"/>
                <w:color w:val="1E293B"/>
                <w:sz w:val="18"/>
              </w:rPr>
              <w:t>/api/v1/aml/layered-deployments</w:t>
            </w:r>
          </w:p>
        </w:tc>
        <w:tc>
          <w:tcPr>
            <w:tcW w:type="dxa" w:w="5760"/>
            <w:tcMar>
              <w:top w:w="90" w:type="dxa"/>
              <w:start w:w="120" w:type="dxa"/>
              <w:bottom w:w="90" w:type="dxa"/>
              <w:end w:w="120" w:type="dxa"/>
            </w:tcMar>
            <w:vAlign w:val="center"/>
          </w:tcPr>
          <w:p>
            <w:r>
              <w:rPr>
                <w:rFonts w:ascii="Calibri" w:hAnsi="Calibri"/>
                <w:color w:val="1E293B"/>
                <w:sz w:val="18"/>
              </w:rPr>
              <w:t>Segment canary activation, expansion, active pointers, history, and rollback.</w:t>
            </w:r>
          </w:p>
        </w:tc>
      </w:tr>
      <w:tr>
        <w:tc>
          <w:tcPr>
            <w:tcW w:type="dxa" w:w="3600"/>
            <w:shd w:fill="F7FAFF"/>
            <w:tcMar>
              <w:top w:w="90" w:type="dxa"/>
              <w:start w:w="120" w:type="dxa"/>
              <w:bottom w:w="90" w:type="dxa"/>
              <w:end w:w="120" w:type="dxa"/>
            </w:tcMar>
            <w:vAlign w:val="center"/>
          </w:tcPr>
          <w:p>
            <w:r>
              <w:rPr>
                <w:rFonts w:ascii="Calibri" w:hAnsi="Calibri"/>
                <w:color w:val="1E293B"/>
                <w:sz w:val="18"/>
              </w:rPr>
              <w:t>/api/cases</w:t>
            </w:r>
          </w:p>
        </w:tc>
        <w:tc>
          <w:tcPr>
            <w:tcW w:type="dxa" w:w="5760"/>
            <w:shd w:fill="F7FAFF"/>
            <w:tcMar>
              <w:top w:w="90" w:type="dxa"/>
              <w:start w:w="120" w:type="dxa"/>
              <w:bottom w:w="90" w:type="dxa"/>
              <w:end w:w="120" w:type="dxa"/>
            </w:tcMar>
            <w:vAlign w:val="center"/>
          </w:tcPr>
          <w:p>
            <w:r>
              <w:rPr>
                <w:rFonts w:ascii="Calibri" w:hAnsi="Calibri"/>
                <w:color w:val="1E293B"/>
                <w:sz w:val="18"/>
              </w:rPr>
              <w:t>Case list/detail, notes, false positive, STR XML.</w:t>
            </w:r>
          </w:p>
        </w:tc>
      </w:tr>
      <w:tr>
        <w:tc>
          <w:tcPr>
            <w:tcW w:type="dxa" w:w="3600"/>
            <w:tcMar>
              <w:top w:w="90" w:type="dxa"/>
              <w:start w:w="120" w:type="dxa"/>
              <w:bottom w:w="90" w:type="dxa"/>
              <w:end w:w="120" w:type="dxa"/>
            </w:tcMar>
            <w:vAlign w:val="center"/>
          </w:tcPr>
          <w:p>
            <w:r>
              <w:rPr>
                <w:rFonts w:ascii="Calibri" w:hAnsi="Calibri"/>
                <w:color w:val="1E293B"/>
                <w:sz w:val="18"/>
              </w:rPr>
              <w:t>FastAPI /api/v2/fraud/predict</w:t>
            </w:r>
          </w:p>
        </w:tc>
        <w:tc>
          <w:tcPr>
            <w:tcW w:type="dxa" w:w="5760"/>
            <w:tcMar>
              <w:top w:w="90" w:type="dxa"/>
              <w:start w:w="120" w:type="dxa"/>
              <w:bottom w:w="90" w:type="dxa"/>
              <w:end w:w="120" w:type="dxa"/>
            </w:tcMar>
            <w:vAlign w:val="center"/>
          </w:tcPr>
          <w:p>
            <w:r>
              <w:rPr>
                <w:rFonts w:ascii="Calibri" w:hAnsi="Calibri"/>
                <w:color w:val="1E293B"/>
                <w:sz w:val="18"/>
              </w:rPr>
              <w:t>Production prediction from persisted versioned features.</w:t>
            </w:r>
          </w:p>
        </w:tc>
      </w:tr>
      <w:tr>
        <w:tc>
          <w:tcPr>
            <w:tcW w:type="dxa" w:w="3600"/>
            <w:shd w:fill="F7FAFF"/>
            <w:tcMar>
              <w:top w:w="90" w:type="dxa"/>
              <w:start w:w="120" w:type="dxa"/>
              <w:bottom w:w="90" w:type="dxa"/>
              <w:end w:w="120" w:type="dxa"/>
            </w:tcMar>
            <w:vAlign w:val="center"/>
          </w:tcPr>
          <w:p>
            <w:r>
              <w:rPr>
                <w:rFonts w:ascii="Calibri" w:hAnsi="Calibri"/>
                <w:color w:val="1E293B"/>
                <w:sz w:val="18"/>
              </w:rPr>
              <w:t>FastAPI /api/v1/aml/training/incremental</w:t>
            </w:r>
          </w:p>
        </w:tc>
        <w:tc>
          <w:tcPr>
            <w:tcW w:type="dxa" w:w="5760"/>
            <w:shd w:fill="F7FAFF"/>
            <w:tcMar>
              <w:top w:w="90" w:type="dxa"/>
              <w:start w:w="120" w:type="dxa"/>
              <w:bottom w:w="90" w:type="dxa"/>
              <w:end w:w="120" w:type="dxa"/>
            </w:tcMar>
            <w:vAlign w:val="center"/>
          </w:tcPr>
          <w:p>
            <w:r>
              <w:rPr>
                <w:rFonts w:ascii="Calibri" w:hAnsi="Calibri"/>
                <w:color w:val="1E293B"/>
                <w:sz w:val="18"/>
              </w:rPr>
              <w:t>Incremental HST training from verified Parquet.</w:t>
            </w:r>
          </w:p>
        </w:tc>
      </w:tr>
    </w:tbl>
    <w:p>
      <w:pPr>
        <w:spacing w:after="0"/>
      </w:pPr>
    </w:p>
    <w:p>
      <w:pPr>
        <w:pStyle w:val="Heading1"/>
      </w:pPr>
      <w:r>
        <w:t>Appendix B - Model Lifecycle States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CANDIDATE</w:t>
            </w:r>
          </w:p>
          <w:p>
            <w:pPr>
              <w:jc w:val="center"/>
            </w:pPr>
            <w:r>
              <w:rPr>
                <w:rFonts w:ascii="Calibri" w:hAnsi="Calibri"/>
                <w:color w:val="1E293B"/>
                <w:sz w:val="16"/>
              </w:rPr>
              <w:t>Trained and registered</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VALIDATED</w:t>
            </w:r>
          </w:p>
          <w:p>
            <w:pPr>
              <w:jc w:val="center"/>
            </w:pPr>
            <w:r>
              <w:rPr>
                <w:rFonts w:ascii="Calibri" w:hAnsi="Calibri"/>
                <w:color w:val="1E293B"/>
                <w:sz w:val="16"/>
              </w:rPr>
              <w:t>Passed silent gates</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CHAMPION</w:t>
            </w:r>
          </w:p>
          <w:p>
            <w:pPr>
              <w:jc w:val="center"/>
            </w:pPr>
            <w:r>
              <w:rPr>
                <w:rFonts w:ascii="Calibri" w:hAnsi="Calibri"/>
                <w:color w:val="1E293B"/>
                <w:sz w:val="16"/>
              </w:rPr>
              <w:t>Active approved version</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CHALLENGER</w:t>
            </w:r>
          </w:p>
          <w:p>
            <w:pPr>
              <w:jc w:val="center"/>
            </w:pPr>
            <w:r>
              <w:rPr>
                <w:rFonts w:ascii="Calibri" w:hAnsi="Calibri"/>
                <w:color w:val="1E293B"/>
                <w:sz w:val="16"/>
              </w:rPr>
              <w:t>Previous or comparative version</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RETIRED</w:t>
            </w:r>
          </w:p>
          <w:p>
            <w:pPr>
              <w:jc w:val="center"/>
            </w:pPr>
            <w:r>
              <w:rPr>
                <w:rFonts w:ascii="Calibri" w:hAnsi="Calibri"/>
                <w:color w:val="1E293B"/>
                <w:sz w:val="16"/>
              </w:rPr>
              <w:t>No longer eligible</w:t>
            </w:r>
          </w:p>
        </w:tc>
      </w:tr>
    </w:tbl>
    <w:p>
      <w:pPr>
        <w:spacing w:after="0"/>
      </w:pPr>
    </w:p>
    <w:p>
      <w:r>
        <w:rPr>
          <w:rFonts w:ascii="Calibri" w:hAnsi="Calibri"/>
          <w:color w:val="1E293B"/>
        </w:rPr>
        <w:t>A failed validation does not automatically delete a candidate. It remains available for investigation, retuning, or explicit later lifecycle action. Validation alone never changes the active production pointer.</w:t>
      </w:r>
    </w:p>
    <w:sectPr w:rsidR="00FC693F" w:rsidRPr="0006063C" w:rsidSect="00034616">
      <w:headerReference w:type="default" r:id="rId9"/>
      <w:footerReference w:type="default" r:id="rId10"/>
      <w:pgSz w:w="12240" w:h="15840"/>
      <w:pgMar w:top="1181" w:right="1238" w:bottom="1080"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Fraud Transaction Detector | System Design and Scalability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27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547" w:hanging="274"/>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