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90" w:right="9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2">
      <w:pPr>
        <w:spacing w:line="240" w:lineRule="auto"/>
        <w:ind w:right="9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Quiz 1, Fall 2023</w:t>
      </w:r>
    </w:p>
    <w:p w:rsidR="00000000" w:rsidDel="00000000" w:rsidP="00000000" w:rsidRDefault="00000000" w:rsidRPr="00000000" w14:paraId="00000003">
      <w:pPr>
        <w:spacing w:line="240" w:lineRule="auto"/>
        <w:ind w:right="9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CSE471: System Analysis and Design </w:t>
      </w:r>
    </w:p>
    <w:p w:rsidR="00000000" w:rsidDel="00000000" w:rsidP="00000000" w:rsidRDefault="00000000" w:rsidRPr="00000000" w14:paraId="00000004">
      <w:pPr>
        <w:spacing w:line="240" w:lineRule="auto"/>
        <w:ind w:right="74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10                           Time Allowed: 30 minutes</w:t>
      </w:r>
    </w:p>
    <w:p w:rsidR="00000000" w:rsidDel="00000000" w:rsidP="00000000" w:rsidRDefault="00000000" w:rsidRPr="00000000" w14:paraId="00000005">
      <w:pPr>
        <w:spacing w:line="240" w:lineRule="auto"/>
        <w:ind w:right="747"/>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5"/>
        <w:tblGridChange w:id="0">
          <w:tblGrid>
            <w:gridCol w:w="8905"/>
          </w:tblGrid>
        </w:tblGridChange>
      </w:tblGrid>
      <w:tr>
        <w:trPr>
          <w:cantSplit w:val="0"/>
          <w:trHeight w:val="404" w:hRule="atLeast"/>
          <w:tblHeader w:val="0"/>
        </w:trPr>
        <w:tc>
          <w:tcPr/>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w:t>
              <w:tab/>
              <w:tab/>
              <w:tab/>
              <w:tab/>
              <w:tab/>
              <w:tab/>
              <w:tab/>
              <w:t xml:space="preserve">ID:</w:t>
            </w:r>
          </w:p>
        </w:tc>
      </w:tr>
    </w:tbl>
    <w:p w:rsidR="00000000" w:rsidDel="00000000" w:rsidP="00000000" w:rsidRDefault="00000000" w:rsidRPr="00000000" w14:paraId="00000007">
      <w:pPr>
        <w:spacing w:line="240" w:lineRule="auto"/>
        <w:ind w:right="74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160" w:line="259"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w:t>
      </w:r>
      <w:r w:rsidDel="00000000" w:rsidR="00000000" w:rsidRPr="00000000">
        <w:rPr>
          <w:rFonts w:ascii="Times New Roman" w:cs="Times New Roman" w:eastAsia="Times New Roman" w:hAnsi="Times New Roman"/>
          <w:b w:val="1"/>
          <w:rtl w:val="0"/>
        </w:rPr>
        <w:t xml:space="preserve">  Calculate </w:t>
      </w:r>
      <w:r w:rsidDel="00000000" w:rsidR="00000000" w:rsidRPr="00000000">
        <w:rPr>
          <w:rFonts w:ascii="Times New Roman" w:cs="Times New Roman" w:eastAsia="Times New Roman" w:hAnsi="Times New Roman"/>
          <w:rtl w:val="0"/>
        </w:rPr>
        <w:t xml:space="preserve">the ROI and Break-Even Point using the following information. [5 Marks]</w:t>
      </w:r>
    </w:p>
    <w:tbl>
      <w:tblPr>
        <w:tblStyle w:val="Table2"/>
        <w:tblW w:w="6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1110"/>
        <w:gridCol w:w="1155"/>
        <w:gridCol w:w="1080"/>
        <w:gridCol w:w="1140"/>
        <w:tblGridChange w:id="0">
          <w:tblGrid>
            <w:gridCol w:w="1965"/>
            <w:gridCol w:w="1110"/>
            <w:gridCol w:w="1155"/>
            <w:gridCol w:w="1080"/>
            <w:gridCol w:w="11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3</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45,000</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r>
    </w:tbl>
    <w:p w:rsidR="00000000" w:rsidDel="00000000" w:rsidP="00000000" w:rsidRDefault="00000000" w:rsidRPr="00000000" w14:paraId="00000018">
      <w:pPr>
        <w:widowControl w:val="0"/>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numPr>
          <w:ilvl w:val="0"/>
          <w:numId w:val="1"/>
        </w:numPr>
        <w:spacing w:line="276" w:lineRule="auto"/>
        <w:ind w:left="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[CO1] BRTC wants to launch a fleet of autonomous buses. RoadX company has been awarded the contract to build these buses. The buses will have to comply with Bangladesh traffic laws and regulations. Each bus will operate on specific routes, each bus will have specific stops. Initially the buses will operate in the Gulshan area and later the operation area will be increased in other parts of Dhaka and you will have to update the navigation software to support new routes. RoadX have selected Waterfall Development methodology to develop the system. </w:t>
      </w:r>
      <w:r w:rsidDel="00000000" w:rsidR="00000000" w:rsidRPr="00000000">
        <w:rPr>
          <w:rFonts w:ascii="Times New Roman" w:cs="Times New Roman" w:eastAsia="Times New Roman" w:hAnsi="Times New Roman"/>
          <w:b w:val="1"/>
          <w:rtl w:val="0"/>
        </w:rPr>
        <w:t xml:space="preserve">Explain </w:t>
      </w:r>
      <w:r w:rsidDel="00000000" w:rsidR="00000000" w:rsidRPr="00000000">
        <w:rPr>
          <w:rFonts w:ascii="Times New Roman" w:cs="Times New Roman" w:eastAsia="Times New Roman" w:hAnsi="Times New Roman"/>
          <w:rtl w:val="0"/>
        </w:rPr>
        <w:t xml:space="preserve">whether the choice of development methodology is appropriate or not. [3]</w:t>
      </w:r>
    </w:p>
    <w:p w:rsidR="00000000" w:rsidDel="00000000" w:rsidP="00000000" w:rsidRDefault="00000000" w:rsidRPr="00000000" w14:paraId="0000001A">
      <w:pPr>
        <w:widowControl w:val="0"/>
        <w:numPr>
          <w:ilvl w:val="0"/>
          <w:numId w:val="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Describe </w:t>
      </w:r>
      <w:r w:rsidDel="00000000" w:rsidR="00000000" w:rsidRPr="00000000">
        <w:rPr>
          <w:rFonts w:ascii="Times New Roman" w:cs="Times New Roman" w:eastAsia="Times New Roman" w:hAnsi="Times New Roman"/>
          <w:rtl w:val="0"/>
        </w:rPr>
        <w:t xml:space="preserve">the difference between an Infrastructure analyst and a System analyst. [2]</w:t>
      </w:r>
    </w:p>
    <w:p w:rsidR="00000000" w:rsidDel="00000000" w:rsidP="00000000" w:rsidRDefault="00000000" w:rsidRPr="00000000" w14:paraId="0000001B">
      <w:pPr>
        <w:spacing w:after="160" w:line="259"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