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2294F"/>
          <w:sz w:val="40"/>
          <w:szCs w:val="40"/>
        </w:rPr>
        <w:t xml:space="preserve">Phase 1 — Requirements &amp; Architecture</w:t>
      </w:r>
    </w:p>
    <w:p>
      <w:pPr>
        <w:spacing w:after="40"/>
        <w:jc w:val="center"/>
      </w:pPr>
      <w:r>
        <w:rPr>
          <w:b/>
          <w:bCs/>
          <w:color w:val="2E5AAC"/>
          <w:sz w:val="24"/>
          <w:szCs w:val="24"/>
        </w:rPr>
        <w:t xml:space="preserve">Air-Gapped Predictive Copilot for Secure MPLS Operations</w:t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Deliverables 1–5 · Week 1–2</w:t>
      </w:r>
    </w:p>
    <w:p>
      <w:pPr>
        <w:pStyle w:val="Heading1"/>
        <w:spacing w:after="160" w:before="360"/>
      </w:pPr>
      <w:r>
        <w:rPr>
          <w:b/>
          <w:bCs/>
          <w:color w:val="12294F"/>
        </w:rPr>
        <w:t xml:space="preserve">1. Device &amp; Protocol Inventory</w:t>
      </w:r>
    </w:p>
    <w:p>
      <w:pPr>
        <w:spacing w:after="140" w:line="300"/>
      </w:pPr>
      <w:r>
        <w:rPr>
          <w:i w:val="false"/>
          <w:iCs w:val="false"/>
          <w:sz w:val="21"/>
          <w:szCs w:val="21"/>
        </w:rPr>
        <w:t xml:space="preserve">The system is designed to be vendor-agnostic, but the initial deployment targets the following MPLS device families and telemetry protocols. This list should be adjusted to match the actual hardware inventory of the target network before Phase 2 begins.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600"/>
        <w:gridCol w:w="2600"/>
      </w:tblGrid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AA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Device / Vendor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AA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 in MPLS Network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AA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Telemetry Protocol(s)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AA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Collected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Cisco IOS-XE routers (PE / P routers)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MPLS core / edge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SNMP v3, Syslog, NetFlow/IPFIX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CPU, memory, interface errors, LSP status, traffic counters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Cisco IOS-XR routers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MPLS core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SNMP v3, Syslog, gNMI (telemetry streaming)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BGP/LDP session state, queue drops, latency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Juniper MX Series (PE routers)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MPLS edge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SNMP v3, Syslog, JTI/gNMI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Interface stats, LSP/RSVP state, packet loss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Juniper ACX / QFX (P routers, aggregation)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MPLS core / aggregation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SNMP v3, Syslog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Bandwidth utilization, error rate, uptime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Generic SNMP-capable switches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Access / aggregation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SNMP v2c/v3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Port stats, error counters, uptime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Network Management System (existing, if any)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Aggregation point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Syslog forwarding, SNMP trap forwarding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Consolidated alerts and traps</w:t>
            </w:r>
          </w:p>
        </w:tc>
      </w:tr>
    </w:tbl>
    <w:p>
      <w:pPr>
        <w:spacing w:after="140" w:line="300"/>
      </w:pPr>
      <w:r>
        <w:rPr>
          <w:i/>
          <w:iCs/>
          <w:sz w:val="21"/>
          <w:szCs w:val="21"/>
        </w:rPr>
        <w:t xml:space="preserve">Collector notes: SNMP polling covers standard MIBs (interfaces, CPU, memory); Syslog captures event-driven data (link flaps, protocol state changes); NetFlow/IPFIX and gNMI/JTI provide higher-resolution traffic and streaming telemetry where supported. Where a device supports both polling (SNMP) and streaming (gNMI), streaming should be preferred for lower latency.</w:t>
      </w:r>
    </w:p>
    <w:p>
      <w:pPr>
        <w:pStyle w:val="Heading1"/>
        <w:spacing w:after="160" w:before="360"/>
      </w:pPr>
      <w:r>
        <w:rPr>
          <w:b/>
          <w:bCs/>
          <w:color w:val="12294F"/>
        </w:rPr>
        <w:t xml:space="preserve">2. User Roles &amp; Permissions</w:t>
      </w:r>
    </w:p>
    <w:p>
      <w:pPr>
        <w:spacing w:after="140" w:line="300"/>
      </w:pPr>
      <w:r>
        <w:rPr>
          <w:i w:val="false"/>
          <w:iCs w:val="false"/>
          <w:sz w:val="21"/>
          <w:szCs w:val="21"/>
        </w:rPr>
        <w:t xml:space="preserve">Three roles are defined for the initial release. Permissions are enforced at both the API layer (backend RBAC middleware) and the UI layer (dashboard view restrictions).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3800"/>
        <w:gridCol w:w="1800"/>
      </w:tblGrid>
      <w:tr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AA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AA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AA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Permissions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AA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Restrictions</w:t>
            </w:r>
          </w:p>
        </w:tc>
      </w:tr>
      <w:tr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System owner / configuration authority</w:t>
            </w:r>
          </w:p>
        </w:tc>
        <w:tc>
          <w:tcPr>
            <w:tcW w:type="dxa" w:w="3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Manage users, roles, and devices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Configure AI model thresholds and risk tiers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View full audit trail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None within the system (highest privilege)</w:t>
            </w:r>
          </w:p>
        </w:tc>
      </w:tr>
      <w:tr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Network Engineer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Day-to-day operator responding to alerts</w:t>
            </w:r>
          </w:p>
        </w:tc>
        <w:tc>
          <w:tcPr>
            <w:tcW w:type="dxa" w:w="3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View devices, alerts, predictions, recommendations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Log actions taken and outcomes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Acknowledge / close alerts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Cannot manage users or change model configuration</w:t>
            </w:r>
          </w:p>
        </w:tc>
      </w:tr>
      <w:tr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Viewer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Read-only stakeholder (manager, auditor)</w:t>
            </w:r>
          </w:p>
        </w:tc>
        <w:tc>
          <w:tcPr>
            <w:tcW w:type="dxa" w:w="3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View dashboard, historical trends, reports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write access of any kind; no action logging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2294F"/>
        </w:rPr>
        <w:t xml:space="preserve">3. Data Flow Diagram</w:t>
      </w:r>
    </w:p>
    <w:p>
      <w:pPr>
        <w:spacing w:after="140" w:line="300"/>
      </w:pPr>
      <w:r>
        <w:rPr>
          <w:i w:val="false"/>
          <w:iCs w:val="false"/>
          <w:sz w:val="21"/>
          <w:szCs w:val="21"/>
        </w:rPr>
        <w:t xml:space="preserve">The diagram below shows the end-to-end flow from device telemetry collection through AI-driven prediction to engineer action and feedback, all contained within the air-gapped boundary.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3305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60" w:before="360"/>
      </w:pPr>
      <w:r>
        <w:rPr>
          <w:b/>
          <w:bCs/>
          <w:color w:val="12294F"/>
        </w:rPr>
        <w:t xml:space="preserve">4. Air-Gap Boundary Definition</w:t>
      </w:r>
    </w:p>
    <w:p>
      <w:pPr>
        <w:spacing w:after="140" w:line="300"/>
      </w:pPr>
      <w:r>
        <w:rPr>
          <w:i w:val="false"/>
          <w:iCs w:val="false"/>
          <w:sz w:val="21"/>
          <w:szCs w:val="21"/>
        </w:rPr>
        <w:t xml:space="preserve">The project uses two clearly separated zones: a production zone with zero internet access, and a development/build zone used only to write and train software before it is transferred into production.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3200"/>
        <w:gridCol w:w="2400"/>
      </w:tblGrid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AA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AA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Internet Access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AA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Contains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AA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Production / Deployed Environment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None (fully air-gapped)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Devices, collectors, MySQL DB, backend/API, local AI inference, dashboard, audit DB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component in this zone may reach the public internet at any time, including for OS/package updates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Development / Build Environment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Allowed (isolated from production)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Source code, model training, CI, package/dependency downloads, documentation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Used only to build and train artifacts; nothing here touches live network data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Transfer Point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N/A — one-way, manual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Signed/verified build artifacts, model files, patches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Moved into production via approved offline media (e.g., verified USB) with checksum validation; no live data path back out</w:t>
            </w:r>
          </w:p>
        </w:tc>
      </w:tr>
    </w:tbl>
    <w:p>
      <w:pPr>
        <w:spacing w:after="140" w:line="300"/>
      </w:pPr>
      <w:r>
        <w:rPr>
          <w:i/>
          <w:iCs/>
          <w:sz w:val="21"/>
          <w:szCs w:val="21"/>
        </w:rPr>
        <w:t xml:space="preserve">Transfer procedure (summary): build and test in the development zone → freeze and checksum the release artifact (backend build, AI model file, frontend build) → transfer via approved offline media → verify checksum in the production zone before deployment → no automated or scheduled channel exists between the two zones.</w:t>
      </w:r>
    </w:p>
    <w:p>
      <w:pPr>
        <w:pStyle w:val="Heading1"/>
        <w:spacing w:after="160" w:before="360"/>
      </w:pPr>
      <w:r>
        <w:rPr>
          <w:b/>
          <w:bCs/>
          <w:color w:val="12294F"/>
        </w:rPr>
        <w:t xml:space="preserve">5. One-Page Requirements Document</w:t>
      </w:r>
    </w:p>
    <w:p>
      <w:pPr>
        <w:pStyle w:val="Heading2"/>
        <w:spacing w:after="100" w:before="220"/>
      </w:pPr>
      <w:r>
        <w:rPr>
          <w:b/>
          <w:bCs/>
          <w:color w:val="2E5AAC"/>
        </w:rPr>
        <w:t xml:space="preserve">5.1 Functional Requirements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800"/>
      </w:tblGrid>
      <w:tr>
        <w:tc>
          <w:tcPr>
            <w:tcW w:type="dxa" w:w="1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AA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AA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FR-1</w:t>
            </w:r>
          </w:p>
        </w:tc>
        <w:tc>
          <w:tcPr>
            <w:tcW w:type="dxa" w:w="8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System shall continuously collect telemetry from configured MPLS devices via SNMP/Syslog/NetFlow.</w:t>
            </w:r>
          </w:p>
        </w:tc>
      </w:tr>
      <w:tr>
        <w:tc>
          <w:tcPr>
            <w:tcW w:type="dxa" w:w="1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FR-2</w:t>
            </w:r>
          </w:p>
        </w:tc>
        <w:tc>
          <w:tcPr>
            <w:tcW w:type="dxa" w:w="8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System shall store telemetry, alerts, incidents, predictions, recommendations, actions, and outcomes in MySQL.</w:t>
            </w:r>
          </w:p>
        </w:tc>
      </w:tr>
      <w:tr>
        <w:tc>
          <w:tcPr>
            <w:tcW w:type="dxa" w:w="1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FR-3</w:t>
            </w:r>
          </w:p>
        </w:tc>
        <w:tc>
          <w:tcPr>
            <w:tcW w:type="dxa" w:w="8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System shall detect anomalous device/network behaviour using a local AI model.</w:t>
            </w:r>
          </w:p>
        </w:tc>
      </w:tr>
      <w:tr>
        <w:tc>
          <w:tcPr>
            <w:tcW w:type="dxa" w:w="1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FR-4</w:t>
            </w:r>
          </w:p>
        </w:tc>
        <w:tc>
          <w:tcPr>
            <w:tcW w:type="dxa" w:w="8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System shall predict potential failures and assign a risk level (Low/Medium/High/Critical).</w:t>
            </w:r>
          </w:p>
        </w:tc>
      </w:tr>
      <w:tr>
        <w:tc>
          <w:tcPr>
            <w:tcW w:type="dxa" w:w="1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FR-5</w:t>
            </w:r>
          </w:p>
        </w:tc>
        <w:tc>
          <w:tcPr>
            <w:tcW w:type="dxa" w:w="8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System shall generate a human-readable explanation of contributing factors for each prediction.</w:t>
            </w:r>
          </w:p>
        </w:tc>
      </w:tr>
      <w:tr>
        <w:tc>
          <w:tcPr>
            <w:tcW w:type="dxa" w:w="1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FR-6</w:t>
            </w:r>
          </w:p>
        </w:tc>
        <w:tc>
          <w:tcPr>
            <w:tcW w:type="dxa" w:w="8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System shall generate preventive recommendations linked to each prediction.</w:t>
            </w:r>
          </w:p>
        </w:tc>
      </w:tr>
      <w:tr>
        <w:tc>
          <w:tcPr>
            <w:tcW w:type="dxa" w:w="1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FR-7</w:t>
            </w:r>
          </w:p>
        </w:tc>
        <w:tc>
          <w:tcPr>
            <w:tcW w:type="dxa" w:w="8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System shall allow engineers to log actions taken and record actual outcomes.</w:t>
            </w:r>
          </w:p>
        </w:tc>
      </w:tr>
      <w:tr>
        <w:tc>
          <w:tcPr>
            <w:tcW w:type="dxa" w:w="1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FR-8</w:t>
            </w:r>
          </w:p>
        </w:tc>
        <w:tc>
          <w:tcPr>
            <w:tcW w:type="dxa" w:w="8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System shall maintain a tamper-evident audit trail of predictions, actions, and outcomes.</w:t>
            </w:r>
          </w:p>
        </w:tc>
      </w:tr>
      <w:tr>
        <w:tc>
          <w:tcPr>
            <w:tcW w:type="dxa" w:w="1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FR-9</w:t>
            </w:r>
          </w:p>
        </w:tc>
        <w:tc>
          <w:tcPr>
            <w:tcW w:type="dxa" w:w="8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System shall provide a centralized dashboard with RBAC-based views.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2E5AAC"/>
        </w:rPr>
        <w:t xml:space="preserve">5.2 Security Requirements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800"/>
      </w:tblGrid>
      <w:tr>
        <w:tc>
          <w:tcPr>
            <w:tcW w:type="dxa" w:w="1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AA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AA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SR-1</w:t>
            </w:r>
          </w:p>
        </w:tc>
        <w:tc>
          <w:tcPr>
            <w:tcW w:type="dxa" w:w="8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All AI inference and data storage shall occur within the air-gapped boundary; no telemetry or derived data leaves the environment.</w:t>
            </w:r>
          </w:p>
        </w:tc>
      </w:tr>
      <w:tr>
        <w:tc>
          <w:tcPr>
            <w:tcW w:type="dxa" w:w="1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SR-2</w:t>
            </w:r>
          </w:p>
        </w:tc>
        <w:tc>
          <w:tcPr>
            <w:tcW w:type="dxa" w:w="8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All users shall authenticate before accessing the system; sessions shall expire after a defined idle period.</w:t>
            </w:r>
          </w:p>
        </w:tc>
      </w:tr>
      <w:tr>
        <w:tc>
          <w:tcPr>
            <w:tcW w:type="dxa" w:w="1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SR-3</w:t>
            </w:r>
          </w:p>
        </w:tc>
        <w:tc>
          <w:tcPr>
            <w:tcW w:type="dxa" w:w="8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Access shall be enforced via RBAC (Admin / Network Engineer / Viewer) at both API and UI layers.</w:t>
            </w:r>
          </w:p>
        </w:tc>
      </w:tr>
      <w:tr>
        <w:tc>
          <w:tcPr>
            <w:tcW w:type="dxa" w:w="1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SR-4</w:t>
            </w:r>
          </w:p>
        </w:tc>
        <w:tc>
          <w:tcPr>
            <w:tcW w:type="dxa" w:w="8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All administrative and data-altering actions shall be recorded in an append-only audit log.</w:t>
            </w:r>
          </w:p>
        </w:tc>
      </w:tr>
      <w:tr>
        <w:tc>
          <w:tcPr>
            <w:tcW w:type="dxa" w:w="1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SR-5</w:t>
            </w:r>
          </w:p>
        </w:tc>
        <w:tc>
          <w:tcPr>
            <w:tcW w:type="dxa" w:w="8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 in the MySQL database shall be protected via least-privilege DB accounts and encrypted at rest where feasible.</w:t>
            </w:r>
          </w:p>
        </w:tc>
      </w:tr>
      <w:tr>
        <w:tc>
          <w:tcPr>
            <w:tcW w:type="dxa" w:w="1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SR-6</w:t>
            </w:r>
          </w:p>
        </w:tc>
        <w:tc>
          <w:tcPr>
            <w:tcW w:type="dxa" w:w="8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Any code, models, or dependencies brought in from the development environment shall be checksum-verified before use in production.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2E5AAC"/>
        </w:rPr>
        <w:t xml:space="preserve">5.3 Non-Functional Requirements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300"/>
        <w:gridCol w:w="3300"/>
      </w:tblGrid>
      <w:tr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AA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AA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AA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NFR-1</w:t>
            </w:r>
          </w:p>
        </w:tc>
        <w:tc>
          <w:tcPr>
            <w:tcW w:type="dxa" w:w="5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Dashboard alert latency (event to display)</w:t>
            </w:r>
          </w:p>
        </w:tc>
        <w:tc>
          <w:tcPr>
            <w:tcW w:type="dxa" w:w="3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≤ 60 seconds</w:t>
            </w:r>
          </w:p>
        </w:tc>
      </w:tr>
      <w:tr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NFR-2</w:t>
            </w:r>
          </w:p>
        </w:tc>
        <w:tc>
          <w:tcPr>
            <w:tcW w:type="dxa" w:w="5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System uptime (production)</w:t>
            </w:r>
          </w:p>
        </w:tc>
        <w:tc>
          <w:tcPr>
            <w:tcW w:type="dxa" w:w="3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≥ 99.5% monthly</w:t>
            </w:r>
          </w:p>
        </w:tc>
      </w:tr>
      <w:tr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NFR-3</w:t>
            </w:r>
          </w:p>
        </w:tc>
        <w:tc>
          <w:tcPr>
            <w:tcW w:type="dxa" w:w="5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Prediction inference time per device</w:t>
            </w:r>
          </w:p>
        </w:tc>
        <w:tc>
          <w:tcPr>
            <w:tcW w:type="dxa" w:w="3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≤ 5 seconds</w:t>
            </w:r>
          </w:p>
        </w:tc>
      </w:tr>
      <w:tr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NFR-4</w:t>
            </w:r>
          </w:p>
        </w:tc>
        <w:tc>
          <w:tcPr>
            <w:tcW w:type="dxa" w:w="5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False-positive rate for High/Critical alerts</w:t>
            </w:r>
          </w:p>
        </w:tc>
        <w:tc>
          <w:tcPr>
            <w:tcW w:type="dxa" w:w="3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≤ 10% (target, to be validated in Phase 5–6)</w:t>
            </w:r>
          </w:p>
        </w:tc>
      </w:tr>
      <w:tr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NFR-5</w:t>
            </w:r>
          </w:p>
        </w:tc>
        <w:tc>
          <w:tcPr>
            <w:tcW w:type="dxa" w:w="5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Audit log retention</w:t>
            </w:r>
          </w:p>
        </w:tc>
        <w:tc>
          <w:tcPr>
            <w:tcW w:type="dxa" w:w="3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≥ 12 months, tamper-evident</w:t>
            </w:r>
          </w:p>
        </w:tc>
      </w:tr>
      <w:tr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NFR-6</w:t>
            </w:r>
          </w:p>
        </w:tc>
        <w:tc>
          <w:tcPr>
            <w:tcW w:type="dxa" w:w="5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Concurrent engineer sessions supported</w:t>
            </w:r>
          </w:p>
        </w:tc>
        <w:tc>
          <w:tcPr>
            <w:tcW w:type="dxa" w:w="3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≥ 10</w:t>
            </w:r>
          </w:p>
        </w:tc>
      </w:tr>
    </w:tbl>
    <w:p>
      <w:pPr>
        <w:pBdr>
          <w:top w:val="single" w:color="BFBFBF" w:sz="6" w:space="8"/>
        </w:pBdr>
        <w:spacing w:before="300"/>
      </w:pPr>
      <w:r>
        <w:rPr>
          <w:i/>
          <w:iCs/>
          <w:color w:val="555555"/>
          <w:sz w:val="18"/>
          <w:szCs w:val="18"/>
        </w:rPr>
        <w:t xml:space="preserve">Note: Device inventory, role definitions, and target metrics above are working assumptions for planning purposes. Confirm against the actual target network and organizational policy before Phase 2 (Database &amp; Data Layer) begins.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fdfed7323dd40c131926d414af11ab25d6428f2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2026-08-22T07:27:22.014Z</dcterms:created>
  <dcterms:modified xsi:type="dcterms:W3CDTF">2026-08-22T07:27:22.027Z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