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9EFA14">
      <w:pPr>
        <w:pStyle w:val="2"/>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Explainable Artificial Intelligence: A Comprehensive Review of Methods and Applications for Transparent Machine Learning with Heart Disease Prediction Case Study</w:t>
      </w:r>
    </w:p>
    <w:p w14:paraId="473A7829">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Abstract</w:t>
      </w:r>
    </w:p>
    <w:p w14:paraId="691F02BB">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Explainable Artificial Intelligence (XAI) has emerged as a critical research domain addressing the inherent opacity of modern machine learning systems. As AI systems become increasingly complex and are deployed in high-stakes applications such as healthcare, finance, and autonomous systems, the need for transparency and interpretability becomes paramount. This paper presents a comprehensive review of XAI methodologies, categorizing them into local explanation methods, global interpretation techniques, and inherently interpretable models. We examine prominent approaches including SHAP, LIME, permutation importance, and decision tree surrogates, analyzing their strengths, limitations, and applicability across different domains through a practical heart disease prediction case study. The review synthesizes current research trends, identifies gaps in existing methodologies, and discusses the implications of XAI for responsible AI deployment. Our analysis reveals that while significant progress has been made in developing explanation techniques, challenges remain in standardizing evaluation metrics and ensuring explanations are accessible to non-technical stakeholders. The case study demonstrates practical implementation of multiple XAI techniques on real-world medical data, providing insights into model interpretability trade-offs and clinical applicability. This work contributes to the growing body of XAI literature by providing a structured taxonomy of explanation methods and highlighting future research directions for transparent and trustworthy AI systems.</w:t>
      </w:r>
    </w:p>
    <w:p w14:paraId="0700C167">
      <w:pPr>
        <w:pStyle w:val="8"/>
        <w:keepNext w:val="0"/>
        <w:keepLines w:val="0"/>
        <w:widowControl/>
        <w:suppressLineNumbers w:val="0"/>
        <w:jc w:val="both"/>
        <w:rPr>
          <w:rFonts w:hint="default" w:ascii="Times New Roman" w:hAnsi="Times New Roman" w:cs="Times New Roman"/>
          <w:sz w:val="22"/>
          <w:szCs w:val="22"/>
        </w:rPr>
      </w:pPr>
      <w:r>
        <w:rPr>
          <w:rStyle w:val="9"/>
          <w:rFonts w:hint="default" w:ascii="Times New Roman" w:hAnsi="Times New Roman" w:cs="Times New Roman"/>
          <w:sz w:val="22"/>
          <w:szCs w:val="22"/>
        </w:rPr>
        <w:t>Keywords:</w:t>
      </w:r>
      <w:r>
        <w:rPr>
          <w:rFonts w:hint="default" w:ascii="Times New Roman" w:hAnsi="Times New Roman" w:cs="Times New Roman"/>
          <w:sz w:val="22"/>
          <w:szCs w:val="22"/>
        </w:rPr>
        <w:t xml:space="preserve"> Explainable AI, Machine Learning Interpretability, Model Transparency, SHAP, LIME, Responsible AI, Heart Disease Prediction</w:t>
      </w:r>
    </w:p>
    <w:p w14:paraId="77056F2D">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Introduction</w:t>
      </w:r>
    </w:p>
    <w:p w14:paraId="76834161">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The rapid advancement of artificial intelligence and machine learning technologies has led to unprecedented capabilities in pattern recognition, prediction, and decision-making across various domains [1]. However, the increasing complexity of these systems, particularly deep neural networks and ensemble methods, has created what researchers commonly refer to as the "black box" problem – where the decision-making process remains opaque to human understanding [2]. This opacity presents significant challenges when AI systems are deployed in critical applications where understanding the reasoning behind decisions is essential for trust, accountability, and regulatory compliance [3].</w:t>
      </w:r>
    </w:p>
    <w:p w14:paraId="43F687B9">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 xml:space="preserve">Explainable Artificial Intelligence (XAI) has emerged as a fundamental research area aimed at addressing these challenges by developing methods and techniques that make AI decision-making processes transparent and interpretable [4]. The field encompasses a diverse range of approaches, from post-hoc explanation techniques that analyze existing models to inherently interpretable algorithms designed </w:t>
      </w:r>
      <w:bookmarkStart w:id="0" w:name="_GoBack"/>
      <w:bookmarkEnd w:id="0"/>
      <w:r>
        <w:rPr>
          <w:rFonts w:hint="default" w:ascii="Times New Roman" w:hAnsi="Times New Roman" w:cs="Times New Roman"/>
          <w:sz w:val="22"/>
          <w:szCs w:val="22"/>
        </w:rPr>
        <w:t>with transparency as a core feature [5]. The importance of XAI extends beyond technical considerations, encompassing ethical, legal, and social implications of AI deployment in society [6].</w:t>
      </w:r>
    </w:p>
    <w:p w14:paraId="27D71698">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The growing regulatory landscape, exemplified by the European Union's General Data Protection Regulation (GDPR) and proposed AI Act, mandates explanations for automated decision-making systems, particularly those affecting individual rights and freedoms [7]. Furthermore, industries such as healthcare, finance, and criminal justice require explainable AI systems to ensure fairness, prevent bias, and maintain human oversight in critical decisions [8].</w:t>
      </w:r>
    </w:p>
    <w:p w14:paraId="6A22DB13">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This paper provides a comprehensive review of the current state of XAI research, examining the methodological landscape and categorizing explanation techniques based on their scope and approach. We analyze local explanation methods that provide insights into individual predictions, global techniques that reveal overall model behavior, and inherently interpretable models that maintain transparency by design. Through a practical heart disease prediction case study, we demonstrate the real-world application of these techniques and their clinical relevance. Through this systematic review and empirical analysis, we aim to contribute to the understanding of XAI methodologies and identify future research directions for advancing transparent and trustworthy AI systems.</w:t>
      </w:r>
    </w:p>
    <w:p w14:paraId="68B1BF7B">
      <w:pPr>
        <w:pStyle w:val="3"/>
        <w:keepNext w:val="0"/>
        <w:keepLines w:val="0"/>
        <w:widowControl/>
        <w:numPr>
          <w:ilvl w:val="0"/>
          <w:numId w:val="1"/>
        </w:numPr>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Literature Review</w:t>
      </w:r>
    </w:p>
    <w:p w14:paraId="36813A2B">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2.1 Historical Development of Explainable AI</w:t>
      </w:r>
    </w:p>
    <w:p w14:paraId="7901CCB9">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The concept of explainable artificial intelligence traces its roots to the early development of expert systems in the 1970s and 1980s, where rule-based systems inherently provided explanations through their logical reasoning chains [9]. However, the modern XAI movement gained momentum with the rise of complex machine learning models, particularly deep learning, which achieved remarkable performance at the cost of interpretability [10].</w:t>
      </w:r>
    </w:p>
    <w:p w14:paraId="139B7E68">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Ribeiro et al. introduced LIME (Local Interpretable Model-agnostic Explanations) in 2016, marking a significant milestone in post-hoc explanation methods by providing a model-agnostic approach to explaining individual predictions [11]. This work established the foundation for local explanation techniques and demonstrated the feasibility of explaining complex models without requiring access to their internal structure.</w:t>
      </w:r>
    </w:p>
    <w:p w14:paraId="4FC5A4C4">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Concurrently, Lundberg and Lee developed SHAP (SHapley Additive exPlanations), which provided a unified framework for feature attribution based on cooperative game theory [12]. SHAP addressed several limitations of existing methods by ensuring additive consistency and providing a solid theoretical foundation for explanation techniques [13]. The introduction of SHAP values revolutionized the field by offering both local and global explanations through a single, mathematically principled approach.</w:t>
      </w:r>
    </w:p>
    <w:p w14:paraId="7B1ED5C1">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2.2 Taxonomies and Frameworks</w:t>
      </w:r>
    </w:p>
    <w:p w14:paraId="7E97311E">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Researchers have proposed various taxonomies to categorize XAI methods. Guidotti et al. presented a comprehensive survey distinguishing between model-specific and model-agnostic approaches, as well as local versus global explanations [14]. This categorization has become widely adopted in the XAI community and provides a structured framework for understanding different explanation methodologies.</w:t>
      </w:r>
    </w:p>
    <w:p w14:paraId="5DEBEF0A">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Molnar's work on interpretable machine learning established a foundational framework that separates intrinsic interpretability from post-hoc explanations, emphasizing the trade-off between model complexity and interpretability [15]. This distinction has influenced subsequent research directions and policy discussions regarding the deployment of AI systems in regulated environments.</w:t>
      </w:r>
    </w:p>
    <w:p w14:paraId="72C390CF">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2.3 Local Explanation Methods</w:t>
      </w:r>
    </w:p>
    <w:p w14:paraId="5F72324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Local explanation methods focus on understanding individual predictions and have received significant attention in the XAI literature. Beyond LIME and SHAP, researchers have developed specialized techniques such as Anchors, which generate high-precision rules that guarantee specific predictions [16]. These rule-based explanations provide intuitive understanding by identifying minimal sufficient conditions for model decisions.</w:t>
      </w:r>
    </w:p>
    <w:p w14:paraId="08C582F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Integrated Gradients, introduced by Sundararajan et al., addresses attribution in deep learning models by accumulating gradients along a path from a baseline input [17]. This method satisfies important axioms such as sensitivity and implementation invariance, making it particularly suitable for neural network interpretability [18]. The technique has found widespread application in computer vision and natural language processing domains.</w:t>
      </w:r>
    </w:p>
    <w:p w14:paraId="09C2441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Counterfactual explanations have emerged as another important class of local methods, providing actionable insights by identifying minimal changes required to achieve different outcomes [19]. Wachter et al. demonstrated the legal and practical significance of counterfactual explanations in automated decision-making contexts [20]. These explanations are particularly valuable in applications such as loan approval and medical diagnosis, where understanding alternative scenarios is crucial.</w:t>
      </w:r>
    </w:p>
    <w:p w14:paraId="4B67299C">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2.4 Global Explanation Methods</w:t>
      </w:r>
    </w:p>
    <w:p w14:paraId="41E70890">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Global explanation methods aim to understand overall model behavior and have evolved from traditional statistical techniques. Permutation importance, rooted in random forest literature, provides a model-agnostic approach to feature importance assessment [21]. This method has been extended and refined by various researchers to address challenges such as feature correlation and computational efficiency [22].</w:t>
      </w:r>
    </w:p>
    <w:p w14:paraId="780F5D2D">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Partial Dependence Plots (PDPs), introduced by Friedman, visualize the marginal effect of features on predictions while averaging over other variables [23]. However, researchers identified limitations of PDPs in the presence of feature interactions, leading to the development of Accumulated Local Effects (ALE) plots by Apley and Zhu [24]. ALE plots address the correlation problem by considering conditional rather than marginal effects.</w:t>
      </w:r>
    </w:p>
    <w:p w14:paraId="7EB8E1A0">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Morris sensitivity analysis, adapted from uncertainty quantification literature, provides a systematic approach to assess feature importance across different regions of the input space [25]. This method offers insights into model behavior under various conditions and helps identify features with consistent versus variable importance.</w:t>
      </w:r>
    </w:p>
    <w:p w14:paraId="1B8FC83E">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2.5 Inherently Interpretable Models</w:t>
      </w:r>
    </w:p>
    <w:p w14:paraId="6FE3681C">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The development of inherently interpretable models represents an alternative approach to post-hoc explanations. Letham et al. introduced Bayesian Rule Lists, which generate probabilistic if-then rules with associated confidence measures [26]. These models maintain competitive accuracy while providing inherent interpretability through their rule-based structure.</w:t>
      </w:r>
    </w:p>
    <w:p w14:paraId="04D8F646">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Explainable Boosting Machines (EBMs), developed by Lou et al., demonstrate that additive models can achieve performance comparable to complex ensemble methods while maintaining full interpretability [27]. EBMs represent each feature's contribution through univariate functions, allowing for detailed analysis of individual feature effects and interactions.</w:t>
      </w:r>
    </w:p>
    <w:p w14:paraId="6970B970">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Tree surrogate models provide another approach to achieving interpretability by training simple decision trees to approximate complex model behavior [28]. This technique enables understanding of global model patterns through the interpretable structure of decision trees while maintaining the performance benefits of complex models.</w:t>
      </w:r>
    </w:p>
    <w:p w14:paraId="33B49694">
      <w:pPr>
        <w:numPr>
          <w:ilvl w:val="0"/>
          <w:numId w:val="0"/>
        </w:numPr>
        <w:rPr>
          <w:rFonts w:hint="default"/>
        </w:rPr>
      </w:pPr>
    </w:p>
    <w:p w14:paraId="0E595D00">
      <w:pPr>
        <w:pStyle w:val="3"/>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3. Methods</w:t>
      </w:r>
    </w:p>
    <w:p w14:paraId="5C232823">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3.1 Classification Framework</w:t>
      </w:r>
    </w:p>
    <w:p w14:paraId="3F6D6609">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Explainable Artificial Intelligence (XAI) methodologies are systematically categorized into three principal classes based on their scope and inherent approach to transparency: </w:t>
      </w:r>
      <w:r>
        <w:rPr>
          <w:rFonts w:hint="default" w:ascii="Times New Roman" w:hAnsi="Times New Roman" w:cs="Times New Roman"/>
          <w:b/>
          <w:bCs/>
          <w:sz w:val="22"/>
          <w:szCs w:val="22"/>
        </w:rPr>
        <w:t>Local Explanation Methods</w:t>
      </w: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Global Explanation Methods</w:t>
      </w:r>
      <w:r>
        <w:rPr>
          <w:rFonts w:hint="default" w:ascii="Times New Roman" w:hAnsi="Times New Roman" w:cs="Times New Roman"/>
          <w:sz w:val="22"/>
          <w:szCs w:val="22"/>
        </w:rPr>
        <w:t xml:space="preserve">, and </w:t>
      </w:r>
      <w:r>
        <w:rPr>
          <w:rFonts w:hint="default" w:ascii="Times New Roman" w:hAnsi="Times New Roman" w:cs="Times New Roman"/>
          <w:b/>
          <w:bCs/>
          <w:sz w:val="22"/>
          <w:szCs w:val="22"/>
        </w:rPr>
        <w:t>Inherently Interpretable Models</w:t>
      </w:r>
      <w:r>
        <w:rPr>
          <w:rFonts w:hint="default" w:ascii="Times New Roman" w:hAnsi="Times New Roman" w:cs="Times New Roman"/>
          <w:sz w:val="22"/>
          <w:szCs w:val="22"/>
        </w:rPr>
        <w:t>. This structured classification is fundamental to navigating the diverse landscape of XAI techniques and aligning them with specific interpretability requirements.</w:t>
      </w:r>
    </w:p>
    <w:p w14:paraId="174089E7">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Local Explanation Methods</w:t>
      </w:r>
    </w:p>
    <w:p w14:paraId="630A2200">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Local explanation methods are designed to demystify individual predictions made by a machine learning model, directly addressing the crucial question: "Why did the model arrive at this particular decision for this specific input instance?" These methods are indispensable in high-stakes environments such as healthcare, finance, and criminal justice, where understanding the rationale behind each singular outcome is paramount.</w:t>
      </w:r>
    </w:p>
    <w:p w14:paraId="137F72C7">
      <w:pPr>
        <w:pStyle w:val="8"/>
        <w:keepNext w:val="0"/>
        <w:keepLines w:val="0"/>
        <w:widowControl/>
        <w:suppressLineNumbers w:val="0"/>
        <w:jc w:val="both"/>
        <w:rPr>
          <w:rFonts w:hint="default" w:ascii="Times New Roman" w:hAnsi="Times New Roman" w:eastAsia="SimSun" w:cs="Times New Roman"/>
          <w:sz w:val="22"/>
          <w:szCs w:val="22"/>
        </w:rPr>
      </w:pPr>
      <w:r>
        <w:rPr>
          <w:rFonts w:hint="default" w:ascii="Times New Roman" w:hAnsi="Times New Roman" w:eastAsia="SimSun" w:cs="Times New Roman"/>
          <w:b/>
          <w:bCs/>
          <w:sz w:val="22"/>
          <w:szCs w:val="22"/>
        </w:rPr>
        <w:t>SHAP (SHapley Additive exPlanations)</w:t>
      </w:r>
      <w:r>
        <w:rPr>
          <w:rFonts w:hint="default" w:ascii="Times New Roman" w:hAnsi="Times New Roman" w:eastAsia="SimSun" w:cs="Times New Roman"/>
          <w:sz w:val="22"/>
          <w:szCs w:val="22"/>
        </w:rPr>
        <w:t xml:space="preserve"> is arguably one of the most theoretically grounded and widely adopted local explanation methods. Its foundation lies in cooperative game theory, where each feature in a model's input is treated as a "player" in a game, and the model's prediction is the "payout." SHAP values quantify the marginal contribution of each feature to the prediction for a specific instance, considering all possible permutations and combinations of features. This sophisticated calculation ensures that the sum of the SHAP values for all features, plus a baseline (often the average prediction), equals the actual prediction. Key properties satisfied by SHAP include efficiency (contributions sum up correctly), symmetry (features with identical marginal contributions receive equal SHAP values), and dummy feature identification (features that do not affect the prediction receive zero SHAP values). This theoretical rigor makes SHAP highly reliable for attributing importance and provides a unified framework for interpreting various model types, from simple linear models to complex neural networks, allowing for consistent comparisons across different models and predictions. SHAP can be used for both local explanations (for a single prediction) and aggregated to provide global insights.</w:t>
      </w:r>
    </w:p>
    <w:p w14:paraId="07081A42">
      <w:pPr>
        <w:pStyle w:val="8"/>
        <w:keepNext w:val="0"/>
        <w:keepLines w:val="0"/>
        <w:widowControl/>
        <w:suppressLineNumbers w:val="0"/>
        <w:jc w:val="both"/>
        <w:rPr>
          <w:rFonts w:hint="default" w:ascii="Times New Roman" w:hAnsi="Times New Roman" w:eastAsia="SimSun" w:cs="Times New Roman"/>
          <w:sz w:val="22"/>
          <w:szCs w:val="22"/>
        </w:rPr>
      </w:pPr>
      <w:r>
        <w:rPr>
          <w:rFonts w:hint="default" w:ascii="Times New Roman" w:hAnsi="Times New Roman" w:eastAsia="SimSun" w:cs="Times New Roman"/>
          <w:b/>
          <w:bCs/>
          <w:sz w:val="22"/>
          <w:szCs w:val="22"/>
        </w:rPr>
        <w:t>LIME (Local Interpretable Model-agnostic Explanations)</w:t>
      </w:r>
      <w:r>
        <w:rPr>
          <w:rFonts w:hint="default" w:ascii="Times New Roman" w:hAnsi="Times New Roman" w:eastAsia="SimSun" w:cs="Times New Roman"/>
          <w:sz w:val="22"/>
          <w:szCs w:val="22"/>
        </w:rPr>
        <w:t xml:space="preserve"> is a groundbreaking model-agnostic technique designed to explain the predictions of any "black-box" machine learning model. For a particular instance whose prediction needs explaining, LIME generates a new, localized dataset. This is achieved by systematically perturbing the original input instance (e.g., adding noise to image pixels or removing words from a text document) and observing the black-box model's predictions on these perturbed samples. LIME then weights these perturbed samples by their proximity to the original instance and trains a simpler, inherently interpretable model (such as a linear regression model or a shallow decision tree) on this weighted, localized dataset. This interpretable model acts as a "local surrogate," effectively explaining the complex model's behavior only within the immediate vicinity of the specific prediction. The simplicity of the surrogate model makes its internal workings transparent, providing human-understandable feature importances or rules for that individual prediction. While LIME provides intuitive explanations, its robustness can sometimes depend on the choice of perturbation and the fidelity of the local surrogate.</w:t>
      </w:r>
    </w:p>
    <w:p w14:paraId="3FA8609F">
      <w:pPr>
        <w:pStyle w:val="8"/>
        <w:keepNext w:val="0"/>
        <w:keepLines w:val="0"/>
        <w:widowControl/>
        <w:suppressLineNumbers w:val="0"/>
        <w:jc w:val="both"/>
        <w:rPr>
          <w:rFonts w:hint="default" w:ascii="Times New Roman" w:hAnsi="Times New Roman" w:eastAsia="SimSun" w:cs="Times New Roman"/>
          <w:sz w:val="22"/>
          <w:szCs w:val="22"/>
        </w:rPr>
      </w:pPr>
      <w:r>
        <w:rPr>
          <w:rFonts w:hint="default" w:ascii="Times New Roman" w:hAnsi="Times New Roman" w:eastAsia="SimSun" w:cs="Times New Roman"/>
          <w:b/>
          <w:bCs/>
          <w:sz w:val="22"/>
          <w:szCs w:val="22"/>
        </w:rPr>
        <w:t>Anchors</w:t>
      </w:r>
      <w:r>
        <w:rPr>
          <w:rFonts w:hint="default" w:ascii="Times New Roman" w:hAnsi="Times New Roman" w:eastAsia="SimSun" w:cs="Times New Roman"/>
          <w:sz w:val="22"/>
          <w:szCs w:val="22"/>
        </w:rPr>
        <w:t xml:space="preserve"> provide a different kind of local explanation: high-precision "if-then" rules that guarantee a specific prediction with high confidence. Instead of attributing importance to features, Anchors identify a minimal set of conditions (features and their corresponding values) that, when present, will almost certainly lead to the same model prediction, regardless of other feature values. These rules are called "anchors" because they "anchor" the prediction; if the conditions of an anchor are met, the prediction is highly stable. Anchors are particularly valuable for providing actionable insights because they clearly state the minimal sufficient conditions for a decision, making it straightforward for users to understand what combinations of inputs consistently lead to a specific outcome. This rule-based clarity is often preferred in scenarios requiring clear, unambiguous guidance.</w:t>
      </w:r>
    </w:p>
    <w:p w14:paraId="0A8BE136">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Fonts w:hint="default" w:ascii="Times New Roman" w:hAnsi="Times New Roman" w:cs="Times New Roman"/>
          <w:b/>
          <w:bCs/>
          <w:sz w:val="22"/>
          <w:szCs w:val="22"/>
        </w:rPr>
        <w:t>Contrastive Explanation Method (CEM)</w:t>
      </w:r>
      <w:r>
        <w:rPr>
          <w:rFonts w:hint="default" w:ascii="Times New Roman" w:hAnsi="Times New Roman" w:cs="Times New Roman"/>
          <w:sz w:val="22"/>
          <w:szCs w:val="22"/>
        </w:rPr>
        <w:t xml:space="preserve"> takes a nuanced approach by identifying "pertinent positive" and "pertinent negative" features. Pertinent positives are features that must be present for a specific prediction to occur, highlighting the evidence for the decision. Conversely, pertinent negatives indicate features that must be absent or altered for a different outcome, alongside identifying features that are irrelevant to the decision. This method provides a more comprehensive understanding of the model's logic by showing both supporting and differentiating factors.</w:t>
      </w:r>
    </w:p>
    <w:p w14:paraId="7CB5679A">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b/>
          <w:bCs/>
          <w:sz w:val="22"/>
          <w:szCs w:val="22"/>
        </w:rPr>
        <w:t>Counterfactual Instances</w:t>
      </w:r>
      <w:r>
        <w:rPr>
          <w:rFonts w:hint="default" w:ascii="Times New Roman" w:hAnsi="Times New Roman" w:cs="Times New Roman"/>
          <w:sz w:val="22"/>
          <w:szCs w:val="22"/>
        </w:rPr>
        <w:t xml:space="preserve"> focus on providing actionable insights by generating the minimal modifications to input features that would result in a </w:t>
      </w:r>
      <w:r>
        <w:rPr>
          <w:rFonts w:hint="default" w:ascii="Times New Roman" w:hAnsi="Times New Roman" w:cs="Times New Roman"/>
          <w:i/>
          <w:iCs/>
          <w:sz w:val="22"/>
          <w:szCs w:val="22"/>
        </w:rPr>
        <w:t>different</w:t>
      </w:r>
      <w:r>
        <w:rPr>
          <w:rFonts w:hint="default" w:ascii="Times New Roman" w:hAnsi="Times New Roman" w:cs="Times New Roman"/>
          <w:sz w:val="22"/>
          <w:szCs w:val="22"/>
        </w:rPr>
        <w:t xml:space="preserve"> prediction. This method answers the question: "What is the smallest change I could make to my input for the model to predict something else?" These explanations are particularly valuable as they directly show users how to achieve a desired outcome or avoid an undesirable one.</w:t>
      </w:r>
    </w:p>
    <w:p w14:paraId="3295FA23">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b/>
          <w:bCs/>
          <w:sz w:val="22"/>
          <w:szCs w:val="22"/>
        </w:rPr>
        <w:t>Integrated Gradients</w:t>
      </w:r>
      <w:r>
        <w:rPr>
          <w:rFonts w:hint="default" w:ascii="Times New Roman" w:hAnsi="Times New Roman" w:cs="Times New Roman"/>
          <w:sz w:val="22"/>
          <w:szCs w:val="22"/>
        </w:rPr>
        <w:t xml:space="preserve"> is a method primarily used for deep learning models. It attributes importance scores by accumulating gradients along a linear path from a "baseline" input (e.g., an all-zeros image) to the actual input instance. This approach ensures that the attribution scores satisfy two crucial axioms: sensitivity (features affecting the output should have non-zero attribution) and implementation invariance (attribution should be consistent regardless of the model's specific implementation if it produces the same function).</w:t>
      </w:r>
    </w:p>
    <w:p w14:paraId="2CC86404">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b/>
          <w:bCs/>
          <w:sz w:val="22"/>
          <w:szCs w:val="22"/>
        </w:rPr>
        <w:t>Protodash</w:t>
      </w:r>
      <w:r>
        <w:rPr>
          <w:rFonts w:hint="default" w:ascii="Times New Roman" w:hAnsi="Times New Roman" w:cs="Times New Roman"/>
          <w:sz w:val="22"/>
          <w:szCs w:val="22"/>
        </w:rPr>
        <w:t xml:space="preserve"> provides explanations for individual predictions by identifying a small set of representative prototype examples from the training data. These prototypes are chosen because they are most similar to the instance being explained and best exemplify the model's decision for that particular case. This method leverages the intuitive human tendency to understand concepts and decisions through concrete examples.</w:t>
      </w:r>
    </w:p>
    <w:p w14:paraId="75EBE1A3">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Global Explanation Methods</w:t>
      </w:r>
    </w:p>
    <w:p w14:paraId="5ACB30CB">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Global explanation methods aim to provide a holistic understanding of a machine learning model's overall behavior across the entire dataset. These methods tackle questions about the model's general functioning, such as which features are universally significant or how features typically influence predictions. They are crucial for model validation, identifying potential biases, and ensuring the model's logic aligns with domain expertise.</w:t>
      </w:r>
    </w:p>
    <w:p w14:paraId="1923BF94">
      <w:pPr>
        <w:pStyle w:val="8"/>
        <w:keepNext w:val="0"/>
        <w:keepLines w:val="0"/>
        <w:widowControl/>
        <w:suppressLineNumbers w:val="0"/>
        <w:jc w:val="both"/>
        <w:rPr>
          <w:rFonts w:hint="default" w:ascii="Times New Roman" w:hAnsi="Times New Roman" w:cs="Times New Roman"/>
          <w:b/>
          <w:bCs/>
          <w:sz w:val="22"/>
          <w:szCs w:val="22"/>
        </w:rPr>
      </w:pPr>
      <w:r>
        <w:rPr>
          <w:rFonts w:hint="default" w:ascii="Times New Roman" w:hAnsi="Times New Roman" w:eastAsia="SimSun" w:cs="Times New Roman"/>
          <w:b/>
          <w:bCs/>
          <w:sz w:val="22"/>
          <w:szCs w:val="22"/>
        </w:rPr>
        <w:t>Permutation Importance</w:t>
      </w:r>
      <w:r>
        <w:rPr>
          <w:rFonts w:hint="default" w:ascii="Times New Roman" w:hAnsi="Times New Roman" w:eastAsia="SimSun" w:cs="Times New Roman"/>
          <w:sz w:val="22"/>
          <w:szCs w:val="22"/>
        </w:rPr>
        <w:t xml:space="preserve"> is a robust and widely used model-agnostic technique for assessing global feature importance. Its mechanism is straightforward: to determine the importance of a specific feature, its values are randomly shuffled (permuted) across the validation or test dataset, while all other features remain intact. The model then makes predictions on this modified dataset, and the resulting drop in performance (e.g., accuracy, R-squared, F1-score) compared to the original performance is measured. A significant decline in performance indicates that the permuted feature was highly important to the model's overall predictions. This method is intuitive, easy to implement, and can be applied to any black-box model. However, it can be misleading when features are highly correlated, as shuffling one correlated feature might inadvertently affect the perceived importance of another.</w:t>
      </w:r>
    </w:p>
    <w:p w14:paraId="0806277A">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SimSun" w:cs="Times New Roman"/>
          <w:b/>
          <w:bCs/>
          <w:sz w:val="22"/>
          <w:szCs w:val="22"/>
        </w:rPr>
        <w:t>Partial Dependence Plots (PDPs)</w:t>
      </w:r>
      <w:r>
        <w:rPr>
          <w:rFonts w:hint="default" w:ascii="Times New Roman" w:hAnsi="Times New Roman" w:eastAsia="SimSun" w:cs="Times New Roman"/>
          <w:sz w:val="22"/>
          <w:szCs w:val="22"/>
        </w:rPr>
        <w:t xml:space="preserve"> visually represent the marginal effect of one or two features on the predicted outcome of a model. To construct a PDP for a given feature, the method averages the model's predictions as the value of that feature varies across its range, while the values of all other features are held constant (or marginalized over their observed distribution). The resulting plot shows how the average prediction changes in response to variations in the specific feature(s) of interest. PDPs are excellent for understanding the general directional relationship between a feature and the target variable, revealing whether the relationship is linear, monotonic, or more complex. A key limitation, however, is that PDPs assume feature independence, which can lead to misinterpretations if features are strongly correlated, as they may average over unrealistic or impossible data points.</w:t>
      </w:r>
    </w:p>
    <w:p w14:paraId="35C610E2">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b/>
          <w:bCs/>
          <w:sz w:val="22"/>
          <w:szCs w:val="22"/>
        </w:rPr>
        <w:t>Morris Sensitivity Analysis</w:t>
      </w:r>
      <w:r>
        <w:rPr>
          <w:rFonts w:hint="default" w:ascii="Times New Roman" w:hAnsi="Times New Roman" w:cs="Times New Roman"/>
          <w:sz w:val="22"/>
          <w:szCs w:val="22"/>
        </w:rPr>
        <w:t>, adapted from the field of uncertainty quantification, systematically perturbs individual features (one at a time) across various regions of the input space. By observing the impact of these perturbations on the model's output, it assesses the overall influence and consistency of each feature's effect. This method helps identify features that have a consistent impact across the entire input space versus those whose importance varies significantly depending on other feature values.</w:t>
      </w:r>
    </w:p>
    <w:p w14:paraId="7D1256A0">
      <w:pPr>
        <w:pStyle w:val="8"/>
        <w:keepNext w:val="0"/>
        <w:keepLines w:val="0"/>
        <w:widowControl/>
        <w:suppressLineNumbers w:val="0"/>
        <w:jc w:val="both"/>
        <w:rPr>
          <w:rFonts w:hint="default" w:ascii="Times New Roman" w:hAnsi="Times New Roman" w:cs="Times New Roman"/>
          <w:b/>
          <w:bCs/>
          <w:sz w:val="22"/>
          <w:szCs w:val="22"/>
        </w:rPr>
      </w:pPr>
      <w:r>
        <w:rPr>
          <w:rFonts w:hint="default" w:ascii="Times New Roman" w:hAnsi="Times New Roman" w:eastAsia="SimSun" w:cs="Times New Roman"/>
          <w:b/>
          <w:bCs/>
          <w:sz w:val="22"/>
          <w:szCs w:val="22"/>
        </w:rPr>
        <w:t>Accumulated Local Effects (ALE) plots</w:t>
      </w:r>
      <w:r>
        <w:rPr>
          <w:rFonts w:hint="default" w:ascii="Times New Roman" w:hAnsi="Times New Roman" w:eastAsia="SimSun" w:cs="Times New Roman"/>
          <w:sz w:val="22"/>
          <w:szCs w:val="22"/>
        </w:rPr>
        <w:t xml:space="preserve"> were developed to address the independence assumption limitation inherent in Partial Dependence Plots, especially when dealing with correlated features. Instead of averaging over the marginal distribution of features, ALE plots calculate the effect of a feature by considering its </w:t>
      </w:r>
      <w:r>
        <w:rPr>
          <w:rFonts w:hint="default" w:ascii="Times New Roman" w:hAnsi="Times New Roman" w:eastAsia="SimSun" w:cs="Times New Roman"/>
          <w:i/>
          <w:iCs/>
          <w:sz w:val="22"/>
          <w:szCs w:val="22"/>
        </w:rPr>
        <w:t>conditional</w:t>
      </w:r>
      <w:r>
        <w:rPr>
          <w:rFonts w:hint="default" w:ascii="Times New Roman" w:hAnsi="Times New Roman" w:eastAsia="SimSun" w:cs="Times New Roman"/>
          <w:sz w:val="22"/>
          <w:szCs w:val="22"/>
        </w:rPr>
        <w:t xml:space="preserve"> distribution. This means they assess how predictions change when a feature's value varies </w:t>
      </w:r>
      <w:r>
        <w:rPr>
          <w:rFonts w:hint="default" w:ascii="Times New Roman" w:hAnsi="Times New Roman" w:eastAsia="SimSun" w:cs="Times New Roman"/>
          <w:i/>
          <w:iCs/>
          <w:sz w:val="22"/>
          <w:szCs w:val="22"/>
        </w:rPr>
        <w:t>within its observed local context</w:t>
      </w:r>
      <w:r>
        <w:rPr>
          <w:rFonts w:hint="default" w:ascii="Times New Roman" w:hAnsi="Times New Roman" w:eastAsia="SimSun" w:cs="Times New Roman"/>
          <w:sz w:val="22"/>
          <w:szCs w:val="22"/>
        </w:rPr>
        <w:t>, considering the values of other features in that specific data point. By focusing on changes in predictions within local neighborhoods, ALE plots provide a more accurate and reliable visualization of a feature's true marginal effect, even in the presence of strong correlations. This makes ALE plots a preferred method for understanding global feature effects in complex, real-world datasets where features are rarely truly independent.</w:t>
      </w:r>
    </w:p>
    <w:p w14:paraId="767BC5D1">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b/>
          <w:bCs/>
          <w:sz w:val="22"/>
          <w:szCs w:val="22"/>
        </w:rPr>
        <w:t>Global Interpretable Rule-based Predictions (GIRP)</w:t>
      </w:r>
      <w:r>
        <w:rPr>
          <w:rFonts w:hint="default" w:ascii="Times New Roman" w:hAnsi="Times New Roman" w:cs="Times New Roman"/>
          <w:sz w:val="22"/>
          <w:szCs w:val="22"/>
        </w:rPr>
        <w:t xml:space="preserve"> methods aim to summarize the overall decision logic of complex models into interpretable tree structures. This is often achieved by constructing binary trees from feature contribution matrices, which might be derived from other explanation methods. The goal is to provide a high-level, human-understandable overview of the model's internal workings, distilling complex interactions into a simpler, digestible rule set.</w:t>
      </w:r>
    </w:p>
    <w:p w14:paraId="6A139B64">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Inherently Interpretable Models</w:t>
      </w:r>
    </w:p>
    <w:p w14:paraId="522DF0A5">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Inherently interpretable models represent an alternative paradigm, building transparency directly into their architectural design rather than relying on post-hoc explanation techniques for "black-box" models. These models are transparent "by design," meaning their decision-making process is inherently understandable without additional effort. While they may not always match the peak predictive performance of highly complex models, their interpretability is a core feature, not an afterthought.</w:t>
      </w:r>
    </w:p>
    <w:p w14:paraId="1647E575">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SimSun" w:cs="Times New Roman"/>
          <w:b/>
          <w:bCs/>
          <w:sz w:val="22"/>
          <w:szCs w:val="22"/>
        </w:rPr>
        <w:t>Bayesian Rule Lists (BRLs)</w:t>
      </w:r>
      <w:r>
        <w:rPr>
          <w:rFonts w:hint="default" w:ascii="Times New Roman" w:hAnsi="Times New Roman" w:eastAsia="SimSun" w:cs="Times New Roman"/>
          <w:sz w:val="22"/>
          <w:szCs w:val="22"/>
        </w:rPr>
        <w:t xml:space="preserve"> are a prime example of inherently interpretable models that generate ordered "if-then" rules with associated probabilities. These models learn a concise and accurate list of rules from the data, which are then applied sequentially to make predictions. For instance, a rule list might state: "IF (age &gt; 65 AND smoking_status = 'yes') THEN risk = high (probability 0.8); ELSE IF (cholesterol &lt; 200) THEN risk = low (probability 0.9); ELSE risk = medium." The clear, logical structure of these rules, combined with the probabilistic confidence measures, makes them highly transparent and easy for humans to understand and verify. BRLs prioritize simplicity and accuracy in rule generation, often leading to models that are both performant and deeply understandable, aligning well with human cognitive processes.</w:t>
      </w:r>
    </w:p>
    <w:p w14:paraId="3FA25874">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SimSun" w:cs="Times New Roman"/>
          <w:b/>
          <w:bCs/>
          <w:sz w:val="22"/>
          <w:szCs w:val="22"/>
        </w:rPr>
        <w:t>Tree Surrogates</w:t>
      </w:r>
      <w:r>
        <w:rPr>
          <w:rFonts w:hint="default" w:ascii="Times New Roman" w:hAnsi="Times New Roman" w:eastAsia="SimSun" w:cs="Times New Roman"/>
          <w:sz w:val="22"/>
          <w:szCs w:val="22"/>
        </w:rPr>
        <w:t xml:space="preserve"> provide a strategy for achieving interpretability by training a simpler, inherently interpretable model (typically a decision tree) to mimic the behavior of a more complex, opaque "black-box" model. The idea is that while the black-box model (e.g., a complex neural network) makes the ultimate predictions, the decision tree acts as a "surrogate" that approximates its logic. By analyzing the structure and decision paths within this simpler decision tree, one can gain a global understanding of the more complex model's underlying patterns and decision logic, even if the approximation isn't perfect. This approach allows for a valuable balance, leveraging the high predictive performance of complex models while gaining insights into their general decision-making processes through the transparent structure of the surrogate tree. It's particularly useful when full transparency of the complex model is infeasible, but some level of global understanding is required.</w:t>
      </w:r>
    </w:p>
    <w:p w14:paraId="009C9E32">
      <w:pPr>
        <w:pStyle w:val="3"/>
        <w:keepNext w:val="0"/>
        <w:keepLines w:val="0"/>
        <w:widowControl/>
        <w:suppressLineNumbers w:val="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bCs/>
          <w:sz w:val="22"/>
          <w:szCs w:val="22"/>
        </w:rPr>
        <w:t>Explainable Boosting Machines (EBMs)</w:t>
      </w:r>
      <w:r>
        <w:rPr>
          <w:rFonts w:hint="default" w:ascii="Times New Roman" w:hAnsi="Times New Roman" w:eastAsia="SimSun" w:cs="Times New Roman"/>
          <w:b w:val="0"/>
          <w:bCs w:val="0"/>
          <w:sz w:val="22"/>
          <w:szCs w:val="22"/>
        </w:rPr>
        <w:t xml:space="preserve"> are a form of generalized additive models (GAMs) that achieve a remarkable balance between high predictive accuracy and complete interpretability. Unlike traditional black-box boosting models, EBMs explicitly model the contribution of each feature independently, and can also account for common pairwise interactions. The model's final prediction is simply the sum of individual functions for each feature (and potentially pairs of features). This additive structure allows for direct and clear visualization of how each feature (or feature interaction) influences the prediction. For example, for a particular feature like "age," an EBM can produce a shape function plot showing precisely how the model's output changes as age increases, independent of other features. This modularity makes EBMs fully transparent and enables detailed analysis of individual feature effects, often matching the performance of complex ensemble methods while retaining full interpretability.</w:t>
      </w:r>
    </w:p>
    <w:p w14:paraId="4AC5C286">
      <w:pPr>
        <w:pStyle w:val="3"/>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4. Case Study: Heart Disease Prediction</w:t>
      </w:r>
    </w:p>
    <w:p w14:paraId="24056C2D">
      <w:pPr>
        <w:pStyle w:val="4"/>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4.1 Dataset and Experimental Setup</w:t>
      </w:r>
    </w:p>
    <w:p w14:paraId="2B035AE3">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To demonstrate the practical application of XAI methodologies, we conducted a comprehensive case study using a heart disease prediction dataset containing 303 patient records with 14 clinical features. The dataset includes demographic information (age, sex), clinical measurements (chest pain type, resting blood pressure, cholesterol levels, blood sugar levels), and diagnostic test results (ECG results, maximum heart rate, exercise-induced angina, ST depression, slope of peak exercise ST segment, number of major vessels colored by fluoroscopy, and thalassemia type).</w:t>
      </w:r>
    </w:p>
    <w:p w14:paraId="76FEBB84">
      <w:pPr>
        <w:pStyle w:val="8"/>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The target variable represents the presence (1) or absence (0) of heart disease. After data preprocessing and duplicate removal, the final dataset contained 302 samples with a balanced distribution: 138 samples (45.7%) without heart disease and 164 samples (54.3%) with heart disease. The dataset was split into training (241 samples) and testing (61 samples) sets using stratified sampling to maintain class balance.</w:t>
      </w:r>
    </w:p>
    <w:p w14:paraId="01D171BA">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4.2 Model Development</w:t>
      </w:r>
    </w:p>
    <w:p w14:paraId="09064F8A">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We implemented and compared four different machine learning models to provide a comprehensive analysis of XAI techniques across various algorithmic approaches:</w:t>
      </w:r>
    </w:p>
    <w:p w14:paraId="6E50397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Random Forest</w:t>
      </w:r>
      <w:r>
        <w:rPr>
          <w:rFonts w:hint="default" w:ascii="Times New Roman" w:hAnsi="Times New Roman" w:cs="Times New Roman"/>
          <w:sz w:val="22"/>
          <w:szCs w:val="22"/>
        </w:rPr>
        <w:t>: An ensemble method combining multiple decision trees</w:t>
      </w:r>
    </w:p>
    <w:p w14:paraId="73529C8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XGBoost</w:t>
      </w:r>
      <w:r>
        <w:rPr>
          <w:rFonts w:hint="default" w:ascii="Times New Roman" w:hAnsi="Times New Roman" w:cs="Times New Roman"/>
          <w:sz w:val="22"/>
          <w:szCs w:val="22"/>
        </w:rPr>
        <w:t>: A gradient boosting framework optimized for performance</w:t>
      </w:r>
    </w:p>
    <w:p w14:paraId="5D5F5C2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Neural Network</w:t>
      </w:r>
      <w:r>
        <w:rPr>
          <w:rFonts w:hint="default" w:ascii="Times New Roman" w:hAnsi="Times New Roman" w:cs="Times New Roman"/>
          <w:sz w:val="22"/>
          <w:szCs w:val="22"/>
        </w:rPr>
        <w:t>: A multi-layer perceptron with hidden layers</w:t>
      </w:r>
    </w:p>
    <w:p w14:paraId="45ED80B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Logistic Regression</w:t>
      </w:r>
      <w:r>
        <w:rPr>
          <w:rFonts w:hint="default" w:ascii="Times New Roman" w:hAnsi="Times New Roman" w:cs="Times New Roman"/>
          <w:sz w:val="22"/>
          <w:szCs w:val="22"/>
        </w:rPr>
        <w:t>: A linear model serving as a baseline</w:t>
      </w:r>
    </w:p>
    <w:p w14:paraId="2F96842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Additionally, we trained inherently interpretable models for comparison:</w:t>
      </w:r>
    </w:p>
    <w:p w14:paraId="32BA74A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Decision Tree</w:t>
      </w:r>
      <w:r>
        <w:rPr>
          <w:rFonts w:hint="default" w:ascii="Times New Roman" w:hAnsi="Times New Roman" w:cs="Times New Roman"/>
          <w:sz w:val="22"/>
          <w:szCs w:val="22"/>
        </w:rPr>
        <w:t>: For rule-based interpretability</w:t>
      </w:r>
    </w:p>
    <w:p w14:paraId="1180203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Simple Logistic Regression</w:t>
      </w:r>
      <w:r>
        <w:rPr>
          <w:rFonts w:hint="default" w:ascii="Times New Roman" w:hAnsi="Times New Roman" w:cs="Times New Roman"/>
          <w:sz w:val="22"/>
          <w:szCs w:val="22"/>
        </w:rPr>
        <w:t>: For coefficient-based interpretability</w:t>
      </w:r>
    </w:p>
    <w:p w14:paraId="366631C6">
      <w:pPr>
        <w:pStyle w:val="3"/>
        <w:keepNext w:val="0"/>
        <w:keepLines w:val="0"/>
        <w:widowControl/>
        <w:numPr>
          <w:ilvl w:val="0"/>
          <w:numId w:val="0"/>
        </w:numPr>
        <w:suppressLineNumbers w:val="0"/>
        <w:outlineLvl w:val="1"/>
        <w:rPr>
          <w:rFonts w:hint="default" w:ascii="Times New Roman" w:hAnsi="Times New Roman" w:cs="Times New Roman"/>
          <w:sz w:val="22"/>
          <w:szCs w:val="22"/>
        </w:rPr>
      </w:pPr>
      <w:r>
        <w:rPr>
          <w:rFonts w:hint="default" w:ascii="Times New Roman" w:hAnsi="Times New Roman" w:cs="Times New Roman"/>
          <w:sz w:val="22"/>
          <w:szCs w:val="22"/>
          <w:lang w:val="en-US"/>
        </w:rPr>
        <w:t xml:space="preserve">5. </w:t>
      </w:r>
      <w:r>
        <w:rPr>
          <w:rFonts w:hint="default" w:ascii="Times New Roman" w:hAnsi="Times New Roman" w:cs="Times New Roman"/>
          <w:sz w:val="22"/>
          <w:szCs w:val="22"/>
        </w:rPr>
        <w:t>Results and Findings</w:t>
      </w:r>
    </w:p>
    <w:p w14:paraId="174CA2EB">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5.1 Model Performance Analysis</w:t>
      </w:r>
    </w:p>
    <w:p w14:paraId="224BBB7D">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experimental results demonstrate varying performance across different machine learning models (Figure 1). All complex models achieved similar test accuracy of approximately 78.7%, with notable differences in other metrics:</w:t>
      </w:r>
    </w:p>
    <w:p w14:paraId="2AE44858">
      <w:pPr>
        <w:pStyle w:val="8"/>
        <w:keepNext w:val="0"/>
        <w:keepLines w:val="0"/>
        <w:widowControl/>
        <w:suppressLineNumbers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4295775" cy="1673860"/>
            <wp:effectExtent l="0" t="0" r="9525" b="2540"/>
            <wp:docPr id="4" name="Picture 4" descr="model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del performance"/>
                    <pic:cNvPicPr>
                      <a:picLocks noChangeAspect="1"/>
                    </pic:cNvPicPr>
                  </pic:nvPicPr>
                  <pic:blipFill>
                    <a:blip r:embed="rId4"/>
                    <a:stretch>
                      <a:fillRect/>
                    </a:stretch>
                  </pic:blipFill>
                  <pic:spPr>
                    <a:xfrm>
                      <a:off x="0" y="0"/>
                      <a:ext cx="4295775" cy="1673860"/>
                    </a:xfrm>
                    <a:prstGeom prst="rect">
                      <a:avLst/>
                    </a:prstGeom>
                  </pic:spPr>
                </pic:pic>
              </a:graphicData>
            </a:graphic>
          </wp:inline>
        </w:drawing>
      </w:r>
    </w:p>
    <w:p w14:paraId="2154B2E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Random Forest model showed the highest AUC score (0.878) and cross-validation performance (0.834), indicating superior discriminative ability and generalization. Interestingly, the inherently interpretable models (Decision Tree and Simple Logistic Regression) achieved competitive accuracy (0.803), demonstrating that interpretability does not necessarily compromise predictive performance in this domain.</w:t>
      </w:r>
    </w:p>
    <w:p w14:paraId="30ECB411">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5.2 Global Feature Importance Analysis</w:t>
      </w:r>
    </w:p>
    <w:p w14:paraId="7C7167B6">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5.2.1 Permutation Importance</w:t>
      </w:r>
    </w:p>
    <w:p w14:paraId="562C2682">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permutation importance analysis across all models revealed consistent patterns in feature significance (Figure 2). The top five most important features identified were:</w:t>
      </w:r>
    </w:p>
    <w:p w14:paraId="0D994FC8">
      <w:pPr>
        <w:pStyle w:val="8"/>
        <w:keepNext w:val="0"/>
        <w:keepLines w:val="0"/>
        <w:widowControl/>
        <w:suppressLineNumbers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4295140" cy="2497455"/>
            <wp:effectExtent l="0" t="0" r="10160" b="4445"/>
            <wp:docPr id="6" name="Picture 6" descr="permutation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ermutation importance"/>
                    <pic:cNvPicPr>
                      <a:picLocks noChangeAspect="1"/>
                    </pic:cNvPicPr>
                  </pic:nvPicPr>
                  <pic:blipFill>
                    <a:blip r:embed="rId5"/>
                    <a:stretch>
                      <a:fillRect/>
                    </a:stretch>
                  </pic:blipFill>
                  <pic:spPr>
                    <a:xfrm>
                      <a:off x="0" y="0"/>
                      <a:ext cx="4295140" cy="2497455"/>
                    </a:xfrm>
                    <a:prstGeom prst="rect">
                      <a:avLst/>
                    </a:prstGeom>
                  </pic:spPr>
                </pic:pic>
              </a:graphicData>
            </a:graphic>
          </wp:inline>
        </w:drawing>
      </w:r>
    </w:p>
    <w:p w14:paraId="358A847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ca (Number of major vessels)</w:t>
      </w:r>
      <w:r>
        <w:rPr>
          <w:rFonts w:hint="default" w:ascii="Times New Roman" w:hAnsi="Times New Roman" w:cs="Times New Roman"/>
          <w:sz w:val="22"/>
          <w:szCs w:val="22"/>
        </w:rPr>
        <w:t>: Consistently ranked highest across all models</w:t>
      </w:r>
    </w:p>
    <w:p w14:paraId="26B87A8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cp (Chest pain type)</w:t>
      </w:r>
      <w:r>
        <w:rPr>
          <w:rFonts w:hint="default" w:ascii="Times New Roman" w:hAnsi="Times New Roman" w:cs="Times New Roman"/>
          <w:sz w:val="22"/>
          <w:szCs w:val="22"/>
        </w:rPr>
        <w:t>: Second most important feature universally</w:t>
      </w:r>
    </w:p>
    <w:p w14:paraId="1646FD5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sex (Gender)</w:t>
      </w:r>
      <w:r>
        <w:rPr>
          <w:rFonts w:hint="default" w:ascii="Times New Roman" w:hAnsi="Times New Roman" w:cs="Times New Roman"/>
          <w:sz w:val="22"/>
          <w:szCs w:val="22"/>
        </w:rPr>
        <w:t>: Significant predictor across all models</w:t>
      </w:r>
    </w:p>
    <w:p w14:paraId="450087C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exang (Exercise-induced angina)</w:t>
      </w:r>
      <w:r>
        <w:rPr>
          <w:rFonts w:hint="default" w:ascii="Times New Roman" w:hAnsi="Times New Roman" w:cs="Times New Roman"/>
          <w:sz w:val="22"/>
          <w:szCs w:val="22"/>
        </w:rPr>
        <w:t>: Important diagnostic indicator</w:t>
      </w:r>
    </w:p>
    <w:p w14:paraId="5C105A0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oldpeak (ST depression)</w:t>
      </w:r>
      <w:r>
        <w:rPr>
          <w:rFonts w:hint="default" w:ascii="Times New Roman" w:hAnsi="Times New Roman" w:cs="Times New Roman"/>
          <w:sz w:val="22"/>
          <w:szCs w:val="22"/>
        </w:rPr>
        <w:t>: Cardiac stress test parameter</w:t>
      </w:r>
    </w:p>
    <w:p w14:paraId="1DBC3B18">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consistency of these rankings across different model types strengthens confidence in their clinical relevance. Notably, traditional risk factors such as age showed relatively lower importance, suggesting that specific cardiac indicators are more predictive than demographic factors in this dataset.</w:t>
      </w:r>
    </w:p>
    <w:p w14:paraId="229522A3">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5.2.2 SHAP Global Analysis</w:t>
      </w:r>
    </w:p>
    <w:p w14:paraId="6D5010B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SHAP global feature importance analysis (Figure 5) provided additional insights into feature contributions across the entire dataset. The ranking aligned closely with permutation importance results, with </w:t>
      </w:r>
      <w:r>
        <w:rPr>
          <w:rStyle w:val="9"/>
          <w:rFonts w:hint="default" w:ascii="Times New Roman" w:hAnsi="Times New Roman" w:cs="Times New Roman"/>
          <w:sz w:val="22"/>
          <w:szCs w:val="22"/>
        </w:rPr>
        <w:t>cp (chest pain type)</w:t>
      </w:r>
      <w:r>
        <w:rPr>
          <w:rFonts w:hint="default" w:ascii="Times New Roman" w:hAnsi="Times New Roman" w:cs="Times New Roman"/>
          <w:sz w:val="22"/>
          <w:szCs w:val="22"/>
        </w:rPr>
        <w:t xml:space="preserve"> showing the highest mean absolute SHAP value, followed by </w:t>
      </w:r>
      <w:r>
        <w:rPr>
          <w:rStyle w:val="9"/>
          <w:rFonts w:hint="default" w:ascii="Times New Roman" w:hAnsi="Times New Roman" w:cs="Times New Roman"/>
          <w:sz w:val="22"/>
          <w:szCs w:val="22"/>
        </w:rPr>
        <w:t>thal (thalassemia)</w:t>
      </w:r>
      <w:r>
        <w:rPr>
          <w:rFonts w:hint="default" w:ascii="Times New Roman" w:hAnsi="Times New Roman" w:cs="Times New Roman"/>
          <w:sz w:val="22"/>
          <w:szCs w:val="22"/>
        </w:rPr>
        <w:t xml:space="preserve">, </w:t>
      </w:r>
      <w:r>
        <w:rPr>
          <w:rStyle w:val="9"/>
          <w:rFonts w:hint="default" w:ascii="Times New Roman" w:hAnsi="Times New Roman" w:cs="Times New Roman"/>
          <w:sz w:val="22"/>
          <w:szCs w:val="22"/>
        </w:rPr>
        <w:t>ca (number of major vessels)</w:t>
      </w:r>
      <w:r>
        <w:rPr>
          <w:rFonts w:hint="default" w:ascii="Times New Roman" w:hAnsi="Times New Roman" w:cs="Times New Roman"/>
          <w:sz w:val="22"/>
          <w:szCs w:val="22"/>
        </w:rPr>
        <w:t xml:space="preserve">, and </w:t>
      </w:r>
      <w:r>
        <w:rPr>
          <w:rStyle w:val="9"/>
          <w:rFonts w:hint="default" w:ascii="Times New Roman" w:hAnsi="Times New Roman" w:cs="Times New Roman"/>
          <w:sz w:val="22"/>
          <w:szCs w:val="22"/>
        </w:rPr>
        <w:t>oldpeak (ST depression)</w:t>
      </w:r>
      <w:r>
        <w:rPr>
          <w:rFonts w:hint="default" w:ascii="Times New Roman" w:hAnsi="Times New Roman" w:cs="Times New Roman"/>
          <w:sz w:val="22"/>
          <w:szCs w:val="22"/>
        </w:rPr>
        <w:t>.</w:t>
      </w:r>
    </w:p>
    <w:p w14:paraId="1344F8A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This convergence of multiple global explanation methods strengthens the reliability of feature importance rankings and provides robust evidence for clinical decision-making.</w:t>
      </w:r>
    </w:p>
    <w:p w14:paraId="11098A97">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5.3 Local Explanation Analysis</w:t>
      </w:r>
    </w:p>
    <w:p w14:paraId="2E88E207">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5.3.1 SHAP Local Explanations</w:t>
      </w:r>
    </w:p>
    <w:p w14:paraId="089E5F7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SHAP local explanations revealed how individual features contribute to specific patient predictions (Figure 3). For Patient 0 (correctly predicted as low risk), the analysis showed:</w:t>
      </w:r>
    </w:p>
    <w:p w14:paraId="05A705B2">
      <w:pPr>
        <w:pStyle w:val="8"/>
        <w:keepNext w:val="0"/>
        <w:keepLines w:val="0"/>
        <w:widowControl/>
        <w:suppressLineNumbers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3474720" cy="2020570"/>
            <wp:effectExtent l="0" t="0" r="5080" b="11430"/>
            <wp:docPr id="3" name="Picture 3" descr="shap explanations for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 explanations for models"/>
                    <pic:cNvPicPr>
                      <a:picLocks noChangeAspect="1"/>
                    </pic:cNvPicPr>
                  </pic:nvPicPr>
                  <pic:blipFill>
                    <a:blip r:embed="rId6"/>
                    <a:stretch>
                      <a:fillRect/>
                    </a:stretch>
                  </pic:blipFill>
                  <pic:spPr>
                    <a:xfrm>
                      <a:off x="0" y="0"/>
                      <a:ext cx="3474720" cy="2020570"/>
                    </a:xfrm>
                    <a:prstGeom prst="rect">
                      <a:avLst/>
                    </a:prstGeom>
                  </pic:spPr>
                </pic:pic>
              </a:graphicData>
            </a:graphic>
          </wp:inline>
        </w:drawing>
      </w:r>
    </w:p>
    <w:p w14:paraId="683BBC3E">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Risk-Reducing Factors:</w:t>
      </w:r>
    </w:p>
    <w:p w14:paraId="1719FD6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cp = 0.0 (typical angina): -0.102 impact</w:t>
      </w:r>
    </w:p>
    <w:p w14:paraId="3F3987A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ca = 1.0 (one major vessel): -0.091 impact</w:t>
      </w:r>
    </w:p>
    <w:p w14:paraId="2FDE8DD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exang = 1.0 (exercise-induced angina): -0.075 impact</w:t>
      </w:r>
    </w:p>
    <w:p w14:paraId="068D51B3">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Risk-Increasing Factors:</w:t>
      </w:r>
    </w:p>
    <w:p w14:paraId="2EA5E39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oldpeak = 0.6 (ST depression): +0.068 impact</w:t>
      </w:r>
    </w:p>
    <w:p w14:paraId="5E7A6D9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thal = 1.0 (fixed defect): +0.055 impact</w:t>
      </w:r>
    </w:p>
    <w:p w14:paraId="7A945F5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SHAP values provided clear attribution of feature contributions, enabling clinicians to understand the specific factors driving each prediction. The consistency of SHAP explanations across different models (Random Forest, XGBoost, Logistic Regression) validated the robustness of the explanations.</w:t>
      </w:r>
    </w:p>
    <w:p w14:paraId="5679ECBB">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5.3.2 LIME Local Explanations</w:t>
      </w:r>
    </w:p>
    <w:p w14:paraId="1415CF49">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LIME explanations for the same patient (Figure 6) provided complementary insights through interpretable rules:</w:t>
      </w:r>
    </w:p>
    <w:p w14:paraId="4F4CA1BA">
      <w:pPr>
        <w:pStyle w:val="8"/>
        <w:keepNext w:val="0"/>
        <w:keepLines w:val="0"/>
        <w:widowControl/>
        <w:suppressLineNumbers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2742565" cy="2057400"/>
            <wp:effectExtent l="0" t="0" r="635" b="0"/>
            <wp:docPr id="2" name="Picture 2" descr="lime expla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me explanations"/>
                    <pic:cNvPicPr>
                      <a:picLocks noChangeAspect="1"/>
                    </pic:cNvPicPr>
                  </pic:nvPicPr>
                  <pic:blipFill>
                    <a:blip r:embed="rId7"/>
                    <a:stretch>
                      <a:fillRect/>
                    </a:stretch>
                  </pic:blipFill>
                  <pic:spPr>
                    <a:xfrm>
                      <a:off x="0" y="0"/>
                      <a:ext cx="2742565" cy="2057400"/>
                    </a:xfrm>
                    <a:prstGeom prst="rect">
                      <a:avLst/>
                    </a:prstGeom>
                  </pic:spPr>
                </pic:pic>
              </a:graphicData>
            </a:graphic>
          </wp:inline>
        </w:drawing>
      </w:r>
    </w:p>
    <w:p w14:paraId="3244CE7F">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Top Contributing Rules:</w:t>
      </w:r>
    </w:p>
    <w:p w14:paraId="494FB94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"cp &lt;= 0.00": -0.198 (strongly reduces disease probability)</w:t>
      </w:r>
    </w:p>
    <w:p w14:paraId="398ECDD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"thal &lt;= 2.00": +0.179 (increases disease probability)</w:t>
      </w:r>
    </w:p>
    <w:p w14:paraId="1AC2E35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"0.00 &lt; ca &lt;= 1.00": -0.097 (reduces disease probability)</w:t>
      </w:r>
    </w:p>
    <w:p w14:paraId="3515C0B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LIME's rule-based format offered an alternative explanation style that may be more intuitive for clinical practitioners, providing threshold-based conditions rather than continuous feature attributions.</w:t>
      </w:r>
    </w:p>
    <w:p w14:paraId="7E8FB02D">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5.4 Global Model Behavior Analysis</w:t>
      </w:r>
    </w:p>
    <w:p w14:paraId="41D00649">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5.4.1 Partial Dependence Analysis</w:t>
      </w:r>
    </w:p>
    <w:p w14:paraId="014DE567">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Partial Dependence Plots (Figure 4) revealed important non-linear relationships between features and predictions:</w:t>
      </w:r>
    </w:p>
    <w:p w14:paraId="00C4F431">
      <w:pPr>
        <w:pStyle w:val="8"/>
        <w:keepNext w:val="0"/>
        <w:keepLines w:val="0"/>
        <w:widowControl/>
        <w:suppressLineNumbers w:val="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4050030" cy="2354580"/>
            <wp:effectExtent l="0" t="0" r="1270" b="7620"/>
            <wp:docPr id="1" name="Picture 1" descr="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DP"/>
                    <pic:cNvPicPr>
                      <a:picLocks noChangeAspect="1"/>
                    </pic:cNvPicPr>
                  </pic:nvPicPr>
                  <pic:blipFill>
                    <a:blip r:embed="rId8"/>
                    <a:stretch>
                      <a:fillRect/>
                    </a:stretch>
                  </pic:blipFill>
                  <pic:spPr>
                    <a:xfrm>
                      <a:off x="0" y="0"/>
                      <a:ext cx="4050030" cy="2354580"/>
                    </a:xfrm>
                    <a:prstGeom prst="rect">
                      <a:avLst/>
                    </a:prstGeom>
                  </pic:spPr>
                </pic:pic>
              </a:graphicData>
            </a:graphic>
          </wp:inline>
        </w:drawing>
      </w:r>
    </w:p>
    <w:p w14:paraId="3FA6C4C6">
      <w:pPr>
        <w:pStyle w:val="8"/>
        <w:keepNext w:val="0"/>
        <w:keepLines w:val="0"/>
        <w:widowControl/>
        <w:numPr>
          <w:ilvl w:val="0"/>
          <w:numId w:val="8"/>
        </w:numPr>
        <w:suppressLineNumbers w:val="0"/>
        <w:ind w:left="420" w:leftChars="0"/>
        <w:rPr>
          <w:rFonts w:hint="default" w:ascii="Times New Roman" w:hAnsi="Times New Roman" w:cs="Times New Roman"/>
          <w:sz w:val="22"/>
          <w:szCs w:val="22"/>
        </w:rPr>
      </w:pPr>
      <w:r>
        <w:rPr>
          <w:rStyle w:val="9"/>
          <w:rFonts w:hint="default" w:ascii="Times New Roman" w:hAnsi="Times New Roman" w:cs="Times New Roman"/>
          <w:sz w:val="22"/>
          <w:szCs w:val="22"/>
        </w:rPr>
        <w:t>ca (Number of major vessels)</w:t>
      </w:r>
      <w:r>
        <w:rPr>
          <w:rFonts w:hint="default" w:ascii="Times New Roman" w:hAnsi="Times New Roman" w:cs="Times New Roman"/>
          <w:sz w:val="22"/>
          <w:szCs w:val="22"/>
        </w:rPr>
        <w:t>: Sharp decrease in disease probability when ca &gt; 0.5, indicating that patients with blocked vessels have significantly higher disease probability.</w:t>
      </w:r>
    </w:p>
    <w:p w14:paraId="1F518FAC">
      <w:pPr>
        <w:pStyle w:val="8"/>
        <w:keepNext w:val="0"/>
        <w:keepLines w:val="0"/>
        <w:widowControl/>
        <w:numPr>
          <w:ilvl w:val="0"/>
          <w:numId w:val="8"/>
        </w:numPr>
        <w:suppressLineNumbers w:val="0"/>
        <w:ind w:left="420" w:leftChars="0" w:firstLine="0" w:firstLineChars="0"/>
        <w:rPr>
          <w:rFonts w:hint="default" w:ascii="Times New Roman" w:hAnsi="Times New Roman" w:cs="Times New Roman"/>
          <w:sz w:val="22"/>
          <w:szCs w:val="22"/>
        </w:rPr>
      </w:pPr>
      <w:r>
        <w:rPr>
          <w:rStyle w:val="9"/>
          <w:rFonts w:hint="default" w:ascii="Times New Roman" w:hAnsi="Times New Roman" w:cs="Times New Roman"/>
          <w:sz w:val="22"/>
          <w:szCs w:val="22"/>
        </w:rPr>
        <w:t>cp (Chest pain type)</w:t>
      </w:r>
      <w:r>
        <w:rPr>
          <w:rFonts w:hint="default" w:ascii="Times New Roman" w:hAnsi="Times New Roman" w:cs="Times New Roman"/>
          <w:sz w:val="22"/>
          <w:szCs w:val="22"/>
        </w:rPr>
        <w:t>: Step-wise increase in disease probability across chest pain types, with typical angina (cp=0) associated with lower risk than other types.</w:t>
      </w:r>
    </w:p>
    <w:p w14:paraId="317A0439">
      <w:pPr>
        <w:pStyle w:val="8"/>
        <w:keepNext w:val="0"/>
        <w:keepLines w:val="0"/>
        <w:widowControl/>
        <w:numPr>
          <w:ilvl w:val="0"/>
          <w:numId w:val="8"/>
        </w:numPr>
        <w:suppressLineNumbers w:val="0"/>
        <w:ind w:left="420" w:leftChars="0" w:right="0" w:rightChars="0" w:firstLine="0" w:firstLineChars="0"/>
        <w:rPr>
          <w:rFonts w:hint="default" w:ascii="Times New Roman" w:hAnsi="Times New Roman" w:cs="Times New Roman"/>
          <w:sz w:val="22"/>
          <w:szCs w:val="22"/>
        </w:rPr>
      </w:pPr>
      <w:r>
        <w:rPr>
          <w:rStyle w:val="9"/>
          <w:rFonts w:hint="default" w:ascii="Times New Roman" w:hAnsi="Times New Roman" w:cs="Times New Roman"/>
          <w:sz w:val="22"/>
          <w:szCs w:val="22"/>
        </w:rPr>
        <w:t>sex (Gender)</w:t>
      </w:r>
      <w:r>
        <w:rPr>
          <w:rFonts w:hint="default" w:ascii="Times New Roman" w:hAnsi="Times New Roman" w:cs="Times New Roman"/>
          <w:sz w:val="22"/>
          <w:szCs w:val="22"/>
        </w:rPr>
        <w:t>: Clear distinction showing males (sex=1) have higher disease probability than females (sex=0).</w:t>
      </w:r>
    </w:p>
    <w:p w14:paraId="3D417142">
      <w:pPr>
        <w:pStyle w:val="8"/>
        <w:keepNext w:val="0"/>
        <w:keepLines w:val="0"/>
        <w:widowControl/>
        <w:numPr>
          <w:ilvl w:val="0"/>
          <w:numId w:val="8"/>
        </w:numPr>
        <w:suppressLineNumbers w:val="0"/>
        <w:ind w:left="420" w:leftChars="0" w:firstLine="0" w:firstLineChars="0"/>
        <w:rPr>
          <w:rFonts w:hint="default" w:ascii="Times New Roman" w:hAnsi="Times New Roman" w:cs="Times New Roman"/>
          <w:sz w:val="22"/>
          <w:szCs w:val="22"/>
        </w:rPr>
      </w:pPr>
      <w:r>
        <w:rPr>
          <w:rStyle w:val="9"/>
          <w:rFonts w:hint="default" w:ascii="Times New Roman" w:hAnsi="Times New Roman" w:cs="Times New Roman"/>
          <w:sz w:val="22"/>
          <w:szCs w:val="22"/>
        </w:rPr>
        <w:t>exang (Exercise-induced angina)</w:t>
      </w:r>
      <w:r>
        <w:rPr>
          <w:rFonts w:hint="default" w:ascii="Times New Roman" w:hAnsi="Times New Roman" w:cs="Times New Roman"/>
          <w:sz w:val="22"/>
          <w:szCs w:val="22"/>
        </w:rPr>
        <w:t>: Patients without exercise-induced angina (exang=0) show higher disease probability than those with it (exang=1), which appears counterintuitive and warrants clinical investigation.</w:t>
      </w:r>
    </w:p>
    <w:p w14:paraId="2DFDDCC0">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These patterns provide clinically actionable insights and highlight potential areas for further medical investigation, particularly the unexpected relationship with exercise-induced angina.</w:t>
      </w:r>
    </w:p>
    <w:p w14:paraId="638DDAA7">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5.5 Inherently Interpretable Model Analysis</w:t>
      </w:r>
    </w:p>
    <w:p w14:paraId="5E1B6480">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5.5.1 Decision Tree Rules</w:t>
      </w:r>
    </w:p>
    <w:p w14:paraId="09049207">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decision tree generated 10 interpretable rules with varying confidence levels. Key findings include:</w:t>
      </w:r>
    </w:p>
    <w:p w14:paraId="3F166658">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High-Confidence Rules:</w:t>
      </w:r>
    </w:p>
    <w:p w14:paraId="52B938A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Rule 1: IF cp ≤ 0.50 AND oldpeak ≤ 0.70 AND ca ≤ 0.50 AND age ≤ 41.50 → No Disease (Confidence: 1.000)</w:t>
      </w:r>
    </w:p>
    <w:p w14:paraId="6D1E7F0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Rule 7: IF cp ≤ 0.50 AND oldpeak &gt; 0.70 AND thal &gt; 2.50 → No Disease (Confidence: 1.000)</w:t>
      </w:r>
    </w:p>
    <w:p w14:paraId="3B01D122">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Clinical Insights:</w:t>
      </w:r>
      <w:r>
        <w:rPr>
          <w:rFonts w:hint="default" w:ascii="Times New Roman" w:hAnsi="Times New Roman" w:cs="Times New Roman"/>
          <w:sz w:val="22"/>
          <w:szCs w:val="22"/>
        </w:rPr>
        <w:t xml:space="preserve"> The rules reveal that chest pain type (cp) serves as a primary decision point, with typical angina (cp ≤ 0.50) generally associated with lower disease risk when combined with other favorable indicators. The combination of multiple factors rather than single variables drives most decisions, reflecting the multifactorial nature of heart disease.</w:t>
      </w:r>
    </w:p>
    <w:p w14:paraId="33671A25">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5.5.2 Logistic Regression Coefficients</w:t>
      </w:r>
    </w:p>
    <w:p w14:paraId="651246DB">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logistic regression coefficient analysis provided linear relationships between features and disease probability:</w:t>
      </w:r>
    </w:p>
    <w:p w14:paraId="43D19DB6">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Strongest Positive Coefficients (Increase Disease Risk):</w:t>
      </w:r>
    </w:p>
    <w:p w14:paraId="729E125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cp (Chest pain type): +0.586</w:t>
      </w:r>
    </w:p>
    <w:p w14:paraId="3AB377E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thalach (Maximum heart rate): +0.268</w:t>
      </w:r>
    </w:p>
    <w:p w14:paraId="4C2DEC8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slope (ST segment slope): +0.060</w:t>
      </w:r>
    </w:p>
    <w:p w14:paraId="12CAD7C2">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Strongest Negative Coefficients (Decrease Disease Risk):</w:t>
      </w:r>
    </w:p>
    <w:p w14:paraId="1407F5C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oldpeak (ST depression): -0.516</w:t>
      </w:r>
    </w:p>
    <w:p w14:paraId="7A5ADEA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ca (Number of major vessels): -0.340</w:t>
      </w:r>
    </w:p>
    <w:p w14:paraId="3D55A1E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thal (Thalassemia): -0.337</w:t>
      </w:r>
    </w:p>
    <w:p w14:paraId="581C8D3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exang (Exercise-induced angina): -0.335</w:t>
      </w:r>
    </w:p>
    <w:p w14:paraId="5DB5D72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These coefficients align with the SHAP and permutation importance rankings, providing convergent evidence for feature significance.</w:t>
      </w:r>
    </w:p>
    <w:p w14:paraId="14FCC1FE">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5.6 Clinical Case Analysis</w:t>
      </w:r>
    </w:p>
    <w:p w14:paraId="304E9A2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system generated detailed clinical reports for individual patients, demonstrating practical applicability:</w:t>
      </w:r>
    </w:p>
    <w:p w14:paraId="19D0B4DD">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Patient 0 Analysis:</w:t>
      </w:r>
    </w:p>
    <w:p w14:paraId="1E7A41D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Age: 57, Male, Typical Angina</w:t>
      </w:r>
    </w:p>
    <w:p w14:paraId="6DCC30B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All models predicted LOW RISK (RF: 0.210, XGB: 0.012, NN: 0.001, LR: 0.077)</w:t>
      </w:r>
    </w:p>
    <w:p w14:paraId="61A6B19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Actual Diagnosis: No Heart Disease ✓</w:t>
      </w:r>
    </w:p>
    <w:p w14:paraId="6045F26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Key protective factors: Typical angina pattern, single vessel involvement</w:t>
      </w:r>
    </w:p>
    <w:p w14:paraId="796013B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Risk factors: Moderate ST depression, thalassemia present</w:t>
      </w:r>
    </w:p>
    <w:p w14:paraId="501A8238">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Patient 5 Analysis:</w:t>
      </w:r>
    </w:p>
    <w:p w14:paraId="1360A8B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Age: 70, Male, Atypical Angina</w:t>
      </w:r>
    </w:p>
    <w:p w14:paraId="4EDFB93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All models predicted LOW RISK (RF: 0.170, XGB: 0.054, NN: 0.005, LR: 0.035)</w:t>
      </w:r>
    </w:p>
    <w:p w14:paraId="329DF39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Actual Diagnosis: No Heart Disease ✓</w:t>
      </w:r>
    </w:p>
    <w:p w14:paraId="62DCB84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Key protective factors: High ST depression, normal thalassemia</w:t>
      </w:r>
    </w:p>
    <w:p w14:paraId="2078AC1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Risk factors: Advanced age, atypical chest pain</w:t>
      </w:r>
    </w:p>
    <w:p w14:paraId="29D3B956">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5.7 Model Agreement Analysis</w:t>
      </w:r>
    </w:p>
    <w:p w14:paraId="4AFF3CE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analysis revealed model disagreement in 13 out of 61 cases (21.3% disagreement rate, 78.7% agreement rate). This disagreement analysis is crucial for clinical deployment, as cases with model disagreement may require additional clinical review or alternative diagnostic approaches.</w:t>
      </w:r>
    </w:p>
    <w:p w14:paraId="31B15EB5">
      <w:pPr>
        <w:pStyle w:val="8"/>
        <w:keepNext w:val="0"/>
        <w:keepLines w:val="0"/>
        <w:widowControl/>
        <w:suppressLineNumbers w:val="0"/>
        <w:rPr>
          <w:rFonts w:hint="default" w:ascii="Times New Roman" w:hAnsi="Times New Roman" w:cs="Times New Roman"/>
          <w:sz w:val="22"/>
          <w:szCs w:val="22"/>
          <w:lang w:val="en-US"/>
        </w:rPr>
      </w:pPr>
    </w:p>
    <w:p w14:paraId="4267D1C1">
      <w:pPr>
        <w:pStyle w:val="8"/>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lang w:val="en-US"/>
        </w:rPr>
        <w:drawing>
          <wp:inline distT="0" distB="0" distL="114300" distR="114300">
            <wp:extent cx="3263900" cy="1920240"/>
            <wp:effectExtent l="0" t="0" r="0" b="10160"/>
            <wp:docPr id="7" name="Picture 7" descr="model agreemen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del agreement matrix"/>
                    <pic:cNvPicPr>
                      <a:picLocks noChangeAspect="1"/>
                    </pic:cNvPicPr>
                  </pic:nvPicPr>
                  <pic:blipFill>
                    <a:blip r:embed="rId9"/>
                    <a:srcRect r="7680"/>
                    <a:stretch>
                      <a:fillRect/>
                    </a:stretch>
                  </pic:blipFill>
                  <pic:spPr>
                    <a:xfrm>
                      <a:off x="0" y="0"/>
                      <a:ext cx="3263900" cy="1920240"/>
                    </a:xfrm>
                    <a:prstGeom prst="rect">
                      <a:avLst/>
                    </a:prstGeom>
                  </pic:spPr>
                </pic:pic>
              </a:graphicData>
            </a:graphic>
          </wp:inline>
        </w:drawing>
      </w:r>
    </w:p>
    <w:p w14:paraId="4497EDB6">
      <w:pPr>
        <w:pStyle w:val="3"/>
        <w:keepNext w:val="0"/>
        <w:keepLines w:val="0"/>
        <w:widowControl/>
        <w:numPr>
          <w:ilvl w:val="0"/>
          <w:numId w:val="0"/>
        </w:numPr>
        <w:suppressLineNumbers w:val="0"/>
        <w:ind w:left="360" w:leftChars="0"/>
        <w:outlineLvl w:val="1"/>
        <w:rPr>
          <w:rFonts w:hint="default" w:ascii="Times New Roman" w:hAnsi="Times New Roman" w:cs="Times New Roman"/>
          <w:sz w:val="22"/>
          <w:szCs w:val="22"/>
        </w:rPr>
      </w:pPr>
      <w:r>
        <w:rPr>
          <w:rFonts w:hint="default" w:ascii="Times New Roman" w:hAnsi="Times New Roman" w:cs="Times New Roman"/>
          <w:sz w:val="22"/>
          <w:szCs w:val="22"/>
          <w:lang w:val="en-US"/>
        </w:rPr>
        <w:t>6.</w:t>
      </w:r>
      <w:r>
        <w:rPr>
          <w:rFonts w:hint="default" w:ascii="Times New Roman" w:hAnsi="Times New Roman" w:cs="Times New Roman"/>
          <w:sz w:val="22"/>
          <w:szCs w:val="22"/>
        </w:rPr>
        <w:t xml:space="preserve"> Conclusion</w:t>
      </w:r>
    </w:p>
    <w:p w14:paraId="1C165AC4">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This comprehensive review of Explainable Artificial Intelligence methodologies, enhanced by practical application to heart disease prediction, reveals both the maturity and ongoing challenges in the XAI field. The case study demonstrates that XAI techniques can provide clinically meaningful insights while maintaining competitive predictive performance.</w:t>
      </w:r>
    </w:p>
    <w:p w14:paraId="0CF87FD9">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7.2 Practical Implications</w:t>
      </w:r>
    </w:p>
    <w:p w14:paraId="5E75ABF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results suggest several practical guidelines for XAI deployment in healthcare:</w:t>
      </w:r>
    </w:p>
    <w:p w14:paraId="39148FB3">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Multi-method Approach</w:t>
      </w:r>
      <w:r>
        <w:rPr>
          <w:rFonts w:hint="default" w:ascii="Times New Roman" w:hAnsi="Times New Roman" w:cs="Times New Roman"/>
          <w:sz w:val="22"/>
          <w:szCs w:val="22"/>
        </w:rPr>
        <w:t>: Using multiple explanation techniques provides more robust and comprehensive understanding of model behavior.</w:t>
      </w:r>
    </w:p>
    <w:p w14:paraId="6642F570">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Stakeholder-Specific Explanations</w:t>
      </w:r>
      <w:r>
        <w:rPr>
          <w:rFonts w:hint="default" w:ascii="Times New Roman" w:hAnsi="Times New Roman" w:cs="Times New Roman"/>
          <w:sz w:val="22"/>
          <w:szCs w:val="22"/>
        </w:rPr>
        <w:t>: Different explanation formats (numerical attributions vs. rules) may be more suitable for different stakeholders (data scientists vs. clinicians).</w:t>
      </w:r>
    </w:p>
    <w:p w14:paraId="373B3E12">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Model Ensemble Strategy</w:t>
      </w:r>
      <w:r>
        <w:rPr>
          <w:rFonts w:hint="default" w:ascii="Times New Roman" w:hAnsi="Times New Roman" w:cs="Times New Roman"/>
          <w:sz w:val="22"/>
          <w:szCs w:val="22"/>
        </w:rPr>
        <w:t>: The observed model disagreements support using ensemble approaches with human oversight for critical decisions.</w:t>
      </w:r>
    </w:p>
    <w:p w14:paraId="10155F29">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7.3 Future Research Directions</w:t>
      </w:r>
    </w:p>
    <w:p w14:paraId="53C50D69">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Standardized Evaluation</w:t>
      </w:r>
      <w:r>
        <w:rPr>
          <w:rFonts w:hint="default" w:ascii="Times New Roman" w:hAnsi="Times New Roman" w:cs="Times New Roman"/>
          <w:sz w:val="22"/>
          <w:szCs w:val="22"/>
        </w:rPr>
        <w:t>: The field needs standardized metrics for evaluating explanation quality and clinical utility, moving beyond technical accuracy to measure real-world impact.</w:t>
      </w:r>
    </w:p>
    <w:p w14:paraId="4F15F192">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Human-AI Interaction</w:t>
      </w:r>
      <w:r>
        <w:rPr>
          <w:rFonts w:hint="default" w:ascii="Times New Roman" w:hAnsi="Times New Roman" w:cs="Times New Roman"/>
          <w:sz w:val="22"/>
          <w:szCs w:val="22"/>
        </w:rPr>
        <w:t>: Further research is needed on how clinicians interact with and incorporate AI explanations into their decision-making processes.</w:t>
      </w:r>
    </w:p>
    <w:p w14:paraId="3EA444DE">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Causal Reasoning</w:t>
      </w:r>
      <w:r>
        <w:rPr>
          <w:rFonts w:hint="default" w:ascii="Times New Roman" w:hAnsi="Times New Roman" w:cs="Times New Roman"/>
          <w:sz w:val="22"/>
          <w:szCs w:val="22"/>
        </w:rPr>
        <w:t>: Integration of causal inference methods with current XAI techniques could provide deeper insights into disease mechanisms and treatment pathways.</w:t>
      </w:r>
    </w:p>
    <w:p w14:paraId="52D98087">
      <w:pPr>
        <w:pStyle w:val="8"/>
        <w:keepNext w:val="0"/>
        <w:keepLines w:val="0"/>
        <w:widowControl/>
        <w:suppressLineNumbers w:val="0"/>
        <w:rPr>
          <w:rFonts w:hint="default" w:ascii="Times New Roman" w:hAnsi="Times New Roman" w:cs="Times New Roman"/>
          <w:sz w:val="22"/>
          <w:szCs w:val="22"/>
        </w:rPr>
      </w:pPr>
      <w:r>
        <w:rPr>
          <w:rStyle w:val="9"/>
          <w:rFonts w:hint="default" w:ascii="Times New Roman" w:hAnsi="Times New Roman" w:cs="Times New Roman"/>
          <w:sz w:val="22"/>
          <w:szCs w:val="22"/>
        </w:rPr>
        <w:t>Real-time Deployment</w:t>
      </w:r>
      <w:r>
        <w:rPr>
          <w:rFonts w:hint="default" w:ascii="Times New Roman" w:hAnsi="Times New Roman" w:cs="Times New Roman"/>
          <w:sz w:val="22"/>
          <w:szCs w:val="22"/>
        </w:rPr>
        <w:t>: Research into computationally efficient explanation methods for real-time clinical decision support systems remains critical.</w:t>
      </w:r>
    </w:p>
    <w:p w14:paraId="3BA5E651">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7.4 Limitations and Considerations</w:t>
      </w:r>
    </w:p>
    <w:p w14:paraId="0C4F4A5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This study acknowledges several limitations: the dataset size (302 samples) limits generalizability; the focus on a single medical domain may not represent XAI performance across all healthcare applications; and the retrospective nature of the analysis does not capture real-world clinical workflow integration challenges.</w:t>
      </w:r>
    </w:p>
    <w:p w14:paraId="2F2FE721">
      <w:pPr>
        <w:pStyle w:val="4"/>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7.5 </w:t>
      </w:r>
      <w:r>
        <w:rPr>
          <w:rFonts w:hint="default" w:ascii="Times New Roman" w:hAnsi="Times New Roman" w:cs="Times New Roman"/>
          <w:sz w:val="22"/>
          <w:szCs w:val="22"/>
          <w:lang w:val="en-US"/>
        </w:rPr>
        <w:t>Conclusion</w:t>
      </w:r>
    </w:p>
    <w:p w14:paraId="3E191949">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As AI systems become increasingly prevalent in healthcare and other critical domains, the importance of explainability continues to grow. This work demonstrates that XAI techniques are sufficiently mature for practical deployment while highlighting areas requiring continued research and development. The successful integration of multiple XAI approaches in a clinical context provides a template for responsible AI deployment that balances performance, transparency, and clinical utility.</w:t>
      </w:r>
    </w:p>
    <w:p w14:paraId="40978E7D">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continued advancement of XAI methodologies, validated through practical applications like the heart disease prediction case study presented here, is essential for building trustworthy, fair, and accountable AI systems that can truly benefit humanity while maintaining the transparency and human oversight necessary for ethical deployment in high-stakes domains.</w:t>
      </w:r>
    </w:p>
    <w:p w14:paraId="739F287B">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References</w:t>
      </w:r>
    </w:p>
    <w:p w14:paraId="642525C3">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 McCarthy, J., Minsky, M. L., Rochester, N., &amp; Shannon, C. E. (2006). A proposal for the Dartmouth summer research project on artificial intelligence, August 31, 1955. AI Magazine, 27(4), 12-14.</w:t>
      </w:r>
    </w:p>
    <w:p w14:paraId="23131EAD">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 Castelvecchi, D. (2016). Can we open the black box of AI? Nature News, 538(7623), 20-23.</w:t>
      </w:r>
    </w:p>
    <w:p w14:paraId="39D0486A">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[3] Doshi-Velez, F., &amp; Kim, B. (2017). Towards a rigorous science of interpretable machine learning. arXiv preprint arXiv:1702.08608.</w:t>
      </w:r>
    </w:p>
    <w:p w14:paraId="241CE781">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[4] Gunning, D., &amp; Aha, D. (2019). DARPA's explainable artificial intelligence (XAI) program. AI Magazine, 40(2), 44-58.</w:t>
      </w:r>
    </w:p>
    <w:p w14:paraId="61273F81">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[5] Rudin, C. (2019). Stop explaining black box machine learning models for high stakes decisions and use interpretable models instead. Nature Machine Intelligence, 1(5), 206-215.</w:t>
      </w:r>
    </w:p>
    <w:p w14:paraId="1AF12678">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[6] Floridi, L., Cowls, J., Beltrametti, M., Chatila, R., Chazerand, P., Dignum, V., ... &amp; Vayena, E. (2018). AI4People—an ethical framework for a good AI society: opportunities, risks, principles, and recommendations. Minds and Machines, 28(4), 689-707.</w:t>
      </w:r>
    </w:p>
    <w:p w14:paraId="29CFA0D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[7] Goodman, B., &amp; Flaxman, S. (2017). European Union regulations on algorithmic decision-making and a "right to explanation". AI Magazine, 38(3), 50-57.</w:t>
      </w:r>
    </w:p>
    <w:p w14:paraId="11CDAD1F">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[8] Holzinger, A., Biemann, C., Pattichis, C. S., &amp; Kell, D. B. (2017). What do we need to build explainable AI systems for the medical domain? arXiv preprint arXiv:1712.09923.</w:t>
      </w:r>
    </w:p>
    <w:p w14:paraId="385D64A4">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[9] Shortliffe, E. H., &amp; Buchanan, B. G. (1975). A model of inexact reasoning in medicine. Mathematical Biosciences, 23(3-4), 351-379.</w:t>
      </w:r>
    </w:p>
    <w:p w14:paraId="3A57345B">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[10] LeCun, Y., Bengio, Y., &amp; Hinton, G. (2015). Deep learning. Nature, 521(7553), 436-444.</w:t>
      </w:r>
    </w:p>
    <w:p w14:paraId="56C7A8DD">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[11] Ribeiro, M. T., Singh, S., &amp; Guestrin, C. (2016, August). "Why should I trust you?" Explaining the predictions of any classifier. In Proceedings of the 22nd ACM SIGKDD International Conference on Knowledge Discovery and Data Mining (pp. 1135-1144).</w:t>
      </w:r>
    </w:p>
    <w:p w14:paraId="3049D9D3">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[12] Lundberg, S. M., &amp; Lee, S. I. (2017). A unified approach to interpreting model predictions. Advances in Neural Information Processing Systems, 30, 4765-4774.</w:t>
      </w:r>
    </w:p>
    <w:p w14:paraId="01FEC585">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[13] Štrumbelj, E., &amp; Kononenko, I. (2014). Explaining prediction models and individual predictions with feature contributions. Knowledge and Information Systems, 41(3), 647-665.</w:t>
      </w:r>
    </w:p>
    <w:p w14:paraId="742C2578">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[14] Guidotti, R., Monreale, A., Ruggieri, S., Turini, F., Giannotti, F., &amp; Pedreschi, D. (2018). A survey of methods for explaining black box models. ACM Computing Surveys, 51(5), 1-42.</w:t>
      </w:r>
    </w:p>
    <w:p w14:paraId="40BA686A">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[15] Molnar, C. (2020). Interpretable machine learning. Lulu.com.</w:t>
      </w:r>
    </w:p>
    <w:p w14:paraId="25D46853">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[16] Ribeiro, M. T., Singh, S., &amp; Guestrin, C. (2018, April). Anchors: High-precision model-agnostic explanations. In Proceedings of the AAAI Conference on Artificial Intelligence (Vol. 32, No. 1).</w:t>
      </w:r>
    </w:p>
    <w:p w14:paraId="39E3B1F9">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[17] Sundararajan, M., Taly, A., &amp; Yan, Q. (2017, July). Axiomatic attribution for deep networks. In International Conference on Machine Learning (pp. 3319-3328).</w:t>
      </w:r>
    </w:p>
    <w:p w14:paraId="321AC661">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[18] Ancona, M., Ceolini, E., Öztireli, C., &amp; Gross, M. (2018). Towards better understanding of gradient-based attribution methods for deep neural networks. arXiv preprint arXiv:1711.06104.</w:t>
      </w:r>
    </w:p>
    <w:p w14:paraId="3A1071ED">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[19] Wachter, S., Mittelstadt, B., &amp; Russell, C. (2017). Counterfactual explanations without opening the black box: Automated decisions and the GDPR. Harvard Journal of Law &amp; Technology, 31, 841.</w:t>
      </w:r>
    </w:p>
    <w:p w14:paraId="2883BC25">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[20] Karimi, A. H., Barthe, G., Balle, B., &amp; Valera, I. (2020, July). Model-agnostic counterfactual explanations for consequential decisions. In International Conference on Artificial Intelligence and Statistics (pp. 895-905).</w:t>
      </w:r>
    </w:p>
    <w:p w14:paraId="5C27FEFE">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[21] Breiman, L. (2001). Random forests. Machine Learning, 45(1), 5-32.</w:t>
      </w:r>
    </w:p>
    <w:p w14:paraId="48CD078B">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[22] Strobl, C., Boulesteix, A. L., Zeileis, A., &amp; Hothorn, T. (2007). Bias in random forest variable importance measures: Illustrations, sources and a solution. BMC Bioinformatics, 8(1), 1-21.</w:t>
      </w:r>
    </w:p>
    <w:p w14:paraId="18982BF5">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[23] Friedman, J. H. (2001). Greedy function approximation: A gradient boosting machine. Annals of Statistics, 29(5), 1189-1232.</w:t>
      </w:r>
    </w:p>
    <w:p w14:paraId="32CE23F7">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[24] Apley, D. W., &amp; Zhu, J. (2020). Visualizing the effects of predictor variables in black box supervised learning models. Journal of the Royal Statistical Society: Series B (Statistical Methodology), 82(4), 1059-1086.</w:t>
      </w:r>
    </w:p>
    <w:p w14:paraId="587BB96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[25] Morris, M. D. (1991). Factorial sampling plans for preliminary computational experiments. Technometrics, 33(2), 161-174.</w:t>
      </w:r>
    </w:p>
    <w:p w14:paraId="5CF09461">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[26] Letham, B., Rudin, C., McCormick, T. H., &amp; Madigan, D. (2015). Interpretable classifiers using rules and Bayesian analysis: Building a better stroke prediction model. The Annals of Applied Statistics, 9(3), 1350-1371.</w:t>
      </w:r>
    </w:p>
    <w:p w14:paraId="66386598">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[27] Lou, Y., Caruana, R., Gehrke, J., &amp; Hooker, G. (2013, August). Accurate intelligible models with pairwise interactions. In Proceedings of the 19th ACM SIGKDD International Conference on Knowledge Discovery and Data Mining (pp. 623-631).</w:t>
      </w:r>
    </w:p>
    <w:p w14:paraId="13D76778">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sz w:val="22"/>
          <w:szCs w:val="22"/>
        </w:rPr>
      </w:pPr>
      <w:r>
        <w:rPr>
          <w:rFonts w:hint="default" w:ascii="Times New Roman" w:hAnsi="Times New Roman" w:cs="Times New Roman"/>
          <w:sz w:val="22"/>
          <w:szCs w:val="22"/>
        </w:rPr>
        <w:t>[28] Craven, M., &amp; Shavlik, J. W. (1996). Extracting tree-structured representations of trained networks. Advances in Neural Information Processing Systems, 8, 24-30.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911AC"/>
    <w:multiLevelType w:val="multilevel"/>
    <w:tmpl w:val="C44911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580BDE5"/>
    <w:multiLevelType w:val="multilevel"/>
    <w:tmpl w:val="C580B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2E3E89"/>
    <w:multiLevelType w:val="multilevel"/>
    <w:tmpl w:val="D22E3E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AE12D9"/>
    <w:multiLevelType w:val="multilevel"/>
    <w:tmpl w:val="DCAE1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70F6904"/>
    <w:multiLevelType w:val="multilevel"/>
    <w:tmpl w:val="070F6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723061B"/>
    <w:multiLevelType w:val="singleLevel"/>
    <w:tmpl w:val="1723061B"/>
    <w:lvl w:ilvl="0" w:tentative="0">
      <w:start w:val="1"/>
      <w:numFmt w:val="decimal"/>
      <w:suff w:val="space"/>
      <w:lvlText w:val="%1."/>
      <w:lvlJc w:val="left"/>
      <w:pPr>
        <w:ind w:left="420"/>
      </w:pPr>
    </w:lvl>
  </w:abstractNum>
  <w:abstractNum w:abstractNumId="6">
    <w:nsid w:val="1BE529CA"/>
    <w:multiLevelType w:val="multilevel"/>
    <w:tmpl w:val="1BE529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DB19238"/>
    <w:multiLevelType w:val="multilevel"/>
    <w:tmpl w:val="3DB19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1C87A9D"/>
    <w:multiLevelType w:val="singleLevel"/>
    <w:tmpl w:val="51C87A9D"/>
    <w:lvl w:ilvl="0" w:tentative="0">
      <w:start w:val="2"/>
      <w:numFmt w:val="decimal"/>
      <w:suff w:val="space"/>
      <w:lvlText w:val="%1."/>
      <w:lvlJc w:val="left"/>
    </w:lvl>
  </w:abstractNum>
  <w:abstractNum w:abstractNumId="9">
    <w:nsid w:val="6386A943"/>
    <w:multiLevelType w:val="multilevel"/>
    <w:tmpl w:val="6386A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5E15046"/>
    <w:multiLevelType w:val="multilevel"/>
    <w:tmpl w:val="75E15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D6A1053"/>
    <w:multiLevelType w:val="multilevel"/>
    <w:tmpl w:val="7D6A1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D918A72"/>
    <w:multiLevelType w:val="multilevel"/>
    <w:tmpl w:val="7D918A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0"/>
  </w:num>
  <w:num w:numId="4">
    <w:abstractNumId w:val="2"/>
  </w:num>
  <w:num w:numId="5">
    <w:abstractNumId w:val="1"/>
  </w:num>
  <w:num w:numId="6">
    <w:abstractNumId w:val="10"/>
  </w:num>
  <w:num w:numId="7">
    <w:abstractNumId w:val="9"/>
  </w:num>
  <w:num w:numId="8">
    <w:abstractNumId w:val="5"/>
  </w:num>
  <w:num w:numId="9">
    <w:abstractNumId w:val="11"/>
  </w:num>
  <w:num w:numId="10">
    <w:abstractNumId w:val="4"/>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91AE2"/>
    <w:rsid w:val="104D7F3B"/>
    <w:rsid w:val="43035AAD"/>
    <w:rsid w:val="5BA91AE2"/>
    <w:rsid w:val="7D9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120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2025-08-18T04:48:00Z</dcterms:created>
  <dc:creator>WPS_1747283979</dc:creator>
  <cp:lastModifiedBy>WPS_1747283979</cp:lastModifiedBy>
  <dcterms:modified xsi:type="dcterms:W3CDTF">2025-08-19T10:37:23Z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1CABE8E61B2D4EE0BFE7C00D3CEE7873_11</vt:lpwstr>
  </property>
</Properties>
</file>