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olor w:val="auto"/>
          <w:spacing w:val="0"/>
          <w:position w:val="0"/>
          <w:sz w:val="44"/>
          <w:shd w:fill="auto" w:val="clear"/>
        </w:rPr>
      </w:pPr>
      <w:r>
        <w:rPr>
          <w:rFonts w:ascii="Times New Roman" w:hAnsi="Times New Roman" w:cs="Times New Roman" w:eastAsia="Times New Roman"/>
          <w:color w:val="auto"/>
          <w:spacing w:val="0"/>
          <w:position w:val="0"/>
          <w:sz w:val="44"/>
          <w:shd w:fill="auto" w:val="clear"/>
        </w:rPr>
        <w:t xml:space="preserve">Privacy</w:t>
      </w:r>
      <w:r>
        <w:rPr>
          <w:rFonts w:ascii="Times New Roman" w:hAnsi="Times New Roman" w:cs="Times New Roman" w:eastAsia="Times New Roman"/>
          <w:color w:val="auto"/>
          <w:spacing w:val="0"/>
          <w:position w:val="0"/>
          <w:sz w:val="44"/>
          <w:shd w:fill="auto" w:val="clear"/>
        </w:rPr>
        <w:t xml:space="preserve">–</w:t>
      </w:r>
      <w:r>
        <w:rPr>
          <w:rFonts w:ascii="Times New Roman" w:hAnsi="Times New Roman" w:cs="Times New Roman" w:eastAsia="Times New Roman"/>
          <w:color w:val="auto"/>
          <w:spacing w:val="0"/>
          <w:position w:val="0"/>
          <w:sz w:val="44"/>
          <w:shd w:fill="auto" w:val="clear"/>
        </w:rPr>
        <w:t xml:space="preserve">Accuracy Trade-off in Differentially Private Federated Learning for Medical Image Analysis</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Anika Ulfat</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Institute of Information and Communication Technology (IICT)</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Khulna University of Engineering &amp; Technology</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Khulna, Bangladesh</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 PROBLEM DEFINITION</w:t>
      </w:r>
    </w:p>
    <w:p>
      <w:pPr>
        <w:spacing w:before="0" w:after="0" w:line="240"/>
        <w:ind w:right="0" w:left="0" w:firstLine="0"/>
        <w:jc w:val="center"/>
        <w:rPr>
          <w:rFonts w:ascii="Times New Roman" w:hAnsi="Times New Roman" w:cs="Times New Roman" w:eastAsia="Times New Roman"/>
          <w:color w:val="auto"/>
          <w:spacing w:val="0"/>
          <w:position w:val="0"/>
          <w:sz w:val="20"/>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color w:val="auto"/>
          <w:spacing w:val="0"/>
          <w:position w:val="0"/>
          <w:sz w:val="20"/>
          <w:shd w:fill="FFFFFF" w:val="clear"/>
        </w:rPr>
        <w:t xml:space="preserve">Federated learning allows hospitals to train one medical imaging model without moving raw patient images to a central server. However, shared gradients or model updates can still reveal information through reconstruction and membership inference attacks. Differential privacy (DP) reduces this risk by adding noise, but stronger privacy usually means more noise and lower model accuracy. The problem is harder in medical imaging because only a small number of hospitals may join the training, and their datasets often differ in size, scanner type, and disease distribution. The clinical impact is serious. If privacy noise causes a model to miss a tumor, assign the wrong disease label, or segment an abnormal region poorly, the protection may make the system less useful for patient care. The main challenge is to adjust the privacy budget without making the model clinically unreliable.</w:t>
      </w:r>
    </w:p>
    <w:p>
      <w:pPr>
        <w:spacing w:before="0" w:after="0" w:line="240"/>
        <w:ind w:right="0" w:left="0" w:firstLine="0"/>
        <w:jc w:val="both"/>
        <w:rPr>
          <w:rFonts w:ascii="Times New Roman" w:hAnsi="Times New Roman" w:cs="Times New Roman" w:eastAsia="Times New Roman"/>
          <w:color w:val="auto"/>
          <w:spacing w:val="0"/>
          <w:position w:val="0"/>
          <w:sz w:val="20"/>
          <w:shd w:fill="FFFFFF" w:val="clear"/>
        </w:rPr>
      </w:pPr>
    </w:p>
    <w:p>
      <w:pPr>
        <w:spacing w:before="0" w:after="0" w:line="240"/>
        <w:ind w:right="0" w:left="0" w:firstLine="0"/>
        <w:jc w:val="center"/>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color w:val="auto"/>
          <w:spacing w:val="0"/>
          <w:position w:val="0"/>
          <w:sz w:val="20"/>
          <w:shd w:fill="FFFFFF" w:val="clear"/>
        </w:rPr>
        <w:t xml:space="preserve">II. STATE-OF-THE-ART ANALYSIS</w:t>
      </w:r>
    </w:p>
    <w:p>
      <w:pPr>
        <w:spacing w:before="0" w:after="0" w:line="240"/>
        <w:ind w:right="0" w:left="0" w:firstLine="0"/>
        <w:jc w:val="center"/>
        <w:rPr>
          <w:rFonts w:ascii="Times New Roman" w:hAnsi="Times New Roman" w:cs="Times New Roman" w:eastAsia="Times New Roman"/>
          <w:color w:val="auto"/>
          <w:spacing w:val="0"/>
          <w:position w:val="0"/>
          <w:sz w:val="20"/>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color w:val="auto"/>
          <w:spacing w:val="0"/>
          <w:position w:val="0"/>
          <w:sz w:val="20"/>
          <w:shd w:fill="FFFFFF" w:val="clear"/>
        </w:rPr>
        <w:t xml:space="preserve">Recent studies try to improve this privacy-accuracy balance in different ways. Jiang et al. proposed an adaptive intermediary method that divides each hospital into virtual sub-clients. This reduces client-level DP noise and improves utility in brain CT classification and prostate MRI segmentation [1]. Pan et al. developed FedDP for histopathology image segmentation. DP noise is added to federated model updates to reduce gradient inversion risk, while the reported decreases in Dice, Jaccard, and accuracy were only 0.55%, 0.63%, and 0.42% [2]. Jiang et al. proposed FHDM, which combines Gaussian and Laplace local DP with loss and global optimization. It improved average classification accuracy by 9.60% over earlier DP schemes under the same dataset and privacy budget [3]. DP-FViT uses local weight adaptation and Low-Rank Adaptation (LoRA) to protect federated vision transformers with fewer transmitted parameters. It reported 86.3% accuracy at epsilon = 2 and reduced communication overhead by 50% [4]. Table I gives a short comparison.</w:t>
      </w:r>
    </w:p>
    <w:p>
      <w:pPr>
        <w:spacing w:before="0" w:after="0" w:line="240"/>
        <w:ind w:right="0" w:left="0" w:firstLine="0"/>
        <w:jc w:val="both"/>
        <w:rPr>
          <w:rFonts w:ascii="Times New Roman" w:hAnsi="Times New Roman" w:cs="Times New Roman" w:eastAsia="Times New Roman"/>
          <w:color w:val="auto"/>
          <w:spacing w:val="0"/>
          <w:position w:val="0"/>
          <w:sz w:val="20"/>
          <w:shd w:fill="FFFFFF" w:val="clear"/>
        </w:rPr>
      </w:pPr>
    </w:p>
    <w:p>
      <w:pPr>
        <w:spacing w:before="0" w:after="0" w:line="240"/>
        <w:ind w:right="0" w:left="0" w:firstLine="0"/>
        <w:jc w:val="center"/>
        <w:rPr>
          <w:rFonts w:ascii="Times New Roman" w:hAnsi="Times New Roman" w:cs="Times New Roman" w:eastAsia="Times New Roman"/>
          <w:color w:val="auto"/>
          <w:spacing w:val="0"/>
          <w:position w:val="0"/>
          <w:sz w:val="16"/>
          <w:shd w:fill="FFFFFF" w:val="clear"/>
        </w:rPr>
      </w:pPr>
    </w:p>
    <w:p>
      <w:pPr>
        <w:spacing w:before="0" w:after="0" w:line="240"/>
        <w:ind w:right="0" w:left="0" w:firstLine="0"/>
        <w:jc w:val="center"/>
        <w:rPr>
          <w:rFonts w:ascii="Times New Roman" w:hAnsi="Times New Roman" w:cs="Times New Roman" w:eastAsia="Times New Roman"/>
          <w:color w:val="auto"/>
          <w:spacing w:val="0"/>
          <w:position w:val="0"/>
          <w:sz w:val="16"/>
          <w:shd w:fill="FFFFFF" w:val="clear"/>
        </w:rPr>
      </w:pPr>
      <w:r>
        <w:rPr>
          <w:rFonts w:ascii="Times New Roman" w:hAnsi="Times New Roman" w:cs="Times New Roman" w:eastAsia="Times New Roman"/>
          <w:color w:val="auto"/>
          <w:spacing w:val="0"/>
          <w:position w:val="0"/>
          <w:sz w:val="16"/>
          <w:shd w:fill="FFFFFF" w:val="clear"/>
        </w:rPr>
        <w:t xml:space="preserve">TABLE I</w:t>
      </w:r>
    </w:p>
    <w:p>
      <w:pPr>
        <w:spacing w:before="0" w:after="0" w:line="240"/>
        <w:ind w:right="0" w:left="0" w:firstLine="0"/>
        <w:jc w:val="center"/>
        <w:rPr>
          <w:rFonts w:ascii="Times New Roman" w:hAnsi="Times New Roman" w:cs="Times New Roman" w:eastAsia="Times New Roman"/>
          <w:color w:val="auto"/>
          <w:spacing w:val="0"/>
          <w:position w:val="0"/>
          <w:sz w:val="16"/>
          <w:shd w:fill="FFFFFF" w:val="clear"/>
        </w:rPr>
      </w:pP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r>
        <w:rPr>
          <w:rFonts w:ascii="Times New Roman" w:hAnsi="Times New Roman" w:cs="Times New Roman" w:eastAsia="Times New Roman"/>
          <w:b/>
          <w:color w:val="auto"/>
          <w:spacing w:val="0"/>
          <w:position w:val="0"/>
          <w:sz w:val="16"/>
          <w:shd w:fill="FFFFFF" w:val="clear"/>
        </w:rPr>
        <w:t xml:space="preserve">COMPARISON OF RECENT DIFFERENTIALLY PRIVATE FEDERATED MEDICAL IMAGING METHODS</w:t>
      </w: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p>
    <w:tbl>
      <w:tblPr/>
      <w:tblGrid>
        <w:gridCol w:w="1200"/>
        <w:gridCol w:w="2055"/>
        <w:gridCol w:w="1785"/>
        <w:gridCol w:w="1710"/>
        <w:gridCol w:w="1770"/>
        <w:gridCol w:w="1830"/>
      </w:tblGrid>
      <w:tr>
        <w:trPr>
          <w:trHeight w:val="1" w:hRule="atLeast"/>
          <w:jc w:val="center"/>
        </w:trPr>
        <w:tc>
          <w:tcPr>
            <w:tcW w:w="1200" w:type="dxa"/>
            <w:tcBorders>
              <w:top w:val="single" w:color="000000" w:sz="8"/>
              <w:left w:val="single" w:color="000000" w:sz="8"/>
              <w:bottom w:val="single" w:color="000000" w:sz="8"/>
              <w:right w:val="single" w:color="000000" w:sz="8"/>
            </w:tcBorders>
            <w:shd w:color="000000" w:fill="0b5394" w:val="clear"/>
            <w:tcMar>
              <w:left w:w="56" w:type="dxa"/>
              <w:right w:w="56" w:type="dxa"/>
            </w:tcMar>
            <w:vAlign w:val="center"/>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16"/>
                <w:shd w:fill="auto" w:val="clear"/>
              </w:rPr>
              <w:t xml:space="preserve">Method</w:t>
            </w:r>
          </w:p>
        </w:tc>
        <w:tc>
          <w:tcPr>
            <w:tcW w:w="2055" w:type="dxa"/>
            <w:tcBorders>
              <w:top w:val="single" w:color="000000" w:sz="8"/>
              <w:left w:val="single" w:color="000000" w:sz="8"/>
              <w:bottom w:val="single" w:color="000000" w:sz="8"/>
              <w:right w:val="single" w:color="000000" w:sz="8"/>
            </w:tcBorders>
            <w:shd w:color="000000" w:fill="0b5394" w:val="clear"/>
            <w:tcMar>
              <w:left w:w="56" w:type="dxa"/>
              <w:right w:w="56" w:type="dxa"/>
            </w:tcMar>
            <w:vAlign w:val="top"/>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16"/>
                <w:shd w:fill="auto" w:val="clear"/>
              </w:rPr>
              <w:t xml:space="preserve">Medical Task</w:t>
            </w:r>
          </w:p>
        </w:tc>
        <w:tc>
          <w:tcPr>
            <w:tcW w:w="1785" w:type="dxa"/>
            <w:tcBorders>
              <w:top w:val="single" w:color="000000" w:sz="8"/>
              <w:left w:val="single" w:color="000000" w:sz="8"/>
              <w:bottom w:val="single" w:color="000000" w:sz="8"/>
              <w:right w:val="single" w:color="000000" w:sz="8"/>
            </w:tcBorders>
            <w:shd w:color="000000" w:fill="0b5394" w:val="clear"/>
            <w:tcMar>
              <w:left w:w="56" w:type="dxa"/>
              <w:right w:w="56" w:type="dxa"/>
            </w:tcMar>
            <w:vAlign w:val="top"/>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16"/>
                <w:shd w:fill="auto" w:val="clear"/>
              </w:rPr>
              <w:t xml:space="preserve">Accuracy / Utility</w:t>
            </w:r>
          </w:p>
        </w:tc>
        <w:tc>
          <w:tcPr>
            <w:tcW w:w="1710" w:type="dxa"/>
            <w:tcBorders>
              <w:top w:val="single" w:color="000000" w:sz="8"/>
              <w:left w:val="single" w:color="000000" w:sz="8"/>
              <w:bottom w:val="single" w:color="000000" w:sz="8"/>
              <w:right w:val="single" w:color="000000" w:sz="8"/>
            </w:tcBorders>
            <w:shd w:color="000000" w:fill="0b5394" w:val="clear"/>
            <w:tcMar>
              <w:left w:w="56" w:type="dxa"/>
              <w:right w:w="56" w:type="dxa"/>
            </w:tcMar>
            <w:vAlign w:val="top"/>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16"/>
                <w:shd w:fill="auto" w:val="clear"/>
              </w:rPr>
              <w:t xml:space="preserve">Privacy Approach </w:t>
            </w:r>
          </w:p>
        </w:tc>
        <w:tc>
          <w:tcPr>
            <w:tcW w:w="1770" w:type="dxa"/>
            <w:tcBorders>
              <w:top w:val="single" w:color="000000" w:sz="8"/>
              <w:left w:val="single" w:color="000000" w:sz="8"/>
              <w:bottom w:val="single" w:color="000000" w:sz="8"/>
              <w:right w:val="single" w:color="000000" w:sz="8"/>
            </w:tcBorders>
            <w:shd w:color="000000" w:fill="0b5394" w:val="clear"/>
            <w:tcMar>
              <w:left w:w="56" w:type="dxa"/>
              <w:right w:w="56" w:type="dxa"/>
            </w:tcMar>
            <w:vAlign w:val="top"/>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16"/>
                <w:shd w:fill="auto" w:val="clear"/>
              </w:rPr>
              <w:t xml:space="preserve">Cost / Latency</w:t>
            </w:r>
          </w:p>
        </w:tc>
        <w:tc>
          <w:tcPr>
            <w:tcW w:w="1830" w:type="dxa"/>
            <w:tcBorders>
              <w:top w:val="single" w:color="000000" w:sz="8"/>
              <w:left w:val="single" w:color="000000" w:sz="8"/>
              <w:bottom w:val="single" w:color="000000" w:sz="8"/>
              <w:right w:val="single" w:color="000000" w:sz="8"/>
            </w:tcBorders>
            <w:shd w:color="000000" w:fill="0b5394" w:val="clear"/>
            <w:tcMar>
              <w:left w:w="56" w:type="dxa"/>
              <w:right w:w="56" w:type="dxa"/>
            </w:tcMar>
            <w:vAlign w:val="top"/>
          </w:tcPr>
          <w:p>
            <w:pPr>
              <w:spacing w:before="0" w:after="0" w:line="24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16"/>
                <w:shd w:fill="auto" w:val="clear"/>
              </w:rPr>
              <w:t xml:space="preserve">Main Gap</w:t>
            </w:r>
          </w:p>
        </w:tc>
      </w:tr>
      <w:tr>
        <w:trPr>
          <w:trHeight w:val="1" w:hRule="atLeast"/>
          <w:jc w:val="center"/>
        </w:trPr>
        <w:tc>
          <w:tcPr>
            <w:tcW w:w="120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Adaptive Intermediary [1]</w:t>
            </w:r>
          </w:p>
        </w:tc>
        <w:tc>
          <w:tcPr>
            <w:tcW w:w="2055"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Brain CT classification; prostate MRI segmentation</w:t>
            </w:r>
          </w:p>
        </w:tc>
        <w:tc>
          <w:tcPr>
            <w:tcW w:w="1785"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Improved utility over client-level DP baselines</w:t>
            </w:r>
          </w:p>
        </w:tc>
        <w:tc>
          <w:tcPr>
            <w:tcW w:w="171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Client-level DP using virtual sub-clients</w:t>
            </w:r>
          </w:p>
        </w:tc>
        <w:tc>
          <w:tcPr>
            <w:tcW w:w="177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More client-server exchanges</w:t>
            </w:r>
          </w:p>
        </w:tc>
        <w:tc>
          <w:tcPr>
            <w:tcW w:w="183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Few hospitals and extra communication</w:t>
            </w:r>
          </w:p>
        </w:tc>
      </w:tr>
      <w:tr>
        <w:trPr>
          <w:trHeight w:val="1" w:hRule="atLeast"/>
          <w:jc w:val="center"/>
        </w:trPr>
        <w:tc>
          <w:tcPr>
            <w:tcW w:w="120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FedDP [2]</w:t>
            </w:r>
          </w:p>
        </w:tc>
        <w:tc>
          <w:tcPr>
            <w:tcW w:w="2055"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Histopathology image segmentation</w:t>
            </w:r>
          </w:p>
        </w:tc>
        <w:tc>
          <w:tcPr>
            <w:tcW w:w="1785"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Dice -0.55%; Jaccard -0.63%; accuracy -0.42%</w:t>
            </w:r>
          </w:p>
        </w:tc>
        <w:tc>
          <w:tcPr>
            <w:tcW w:w="171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DP noise added to model updates</w:t>
            </w:r>
          </w:p>
        </w:tc>
        <w:tc>
          <w:tcPr>
            <w:tcW w:w="177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Extra DP training cost</w:t>
            </w:r>
          </w:p>
        </w:tc>
        <w:tc>
          <w:tcPr>
            <w:tcW w:w="183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Public data and simulated clients</w:t>
            </w:r>
          </w:p>
        </w:tc>
      </w:tr>
      <w:tr>
        <w:trPr>
          <w:trHeight w:val="1" w:hRule="atLeast"/>
          <w:jc w:val="center"/>
        </w:trPr>
        <w:tc>
          <w:tcPr>
            <w:tcW w:w="120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FHDM [3]</w:t>
            </w:r>
          </w:p>
        </w:tc>
        <w:tc>
          <w:tcPr>
            <w:tcW w:w="2055"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Medical image classification</w:t>
            </w:r>
          </w:p>
        </w:tc>
        <w:tc>
          <w:tcPr>
            <w:tcW w:w="1785"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+9.60% average accuracy over earlier DP schemes</w:t>
            </w:r>
          </w:p>
        </w:tc>
        <w:tc>
          <w:tcPr>
            <w:tcW w:w="171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Gaussian + Laplace local DP</w:t>
            </w:r>
          </w:p>
        </w:tc>
        <w:tc>
          <w:tcPr>
            <w:tcW w:w="177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Latency not fully reported</w:t>
            </w:r>
          </w:p>
        </w:tc>
        <w:tc>
          <w:tcPr>
            <w:tcW w:w="183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Limited clinical deployment evidence</w:t>
            </w:r>
          </w:p>
        </w:tc>
      </w:tr>
      <w:tr>
        <w:trPr>
          <w:trHeight w:val="1" w:hRule="atLeast"/>
          <w:jc w:val="center"/>
        </w:trPr>
        <w:tc>
          <w:tcPr>
            <w:tcW w:w="120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DP-FViT [4]</w:t>
            </w:r>
          </w:p>
        </w:tc>
        <w:tc>
          <w:tcPr>
            <w:tcW w:w="2055"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Pneumonia, colon cancer, and dermatology classification</w:t>
            </w:r>
          </w:p>
        </w:tc>
        <w:tc>
          <w:tcPr>
            <w:tcW w:w="1785"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86.3% accuracy at epsilon = 2</w:t>
            </w:r>
          </w:p>
        </w:tc>
        <w:tc>
          <w:tcPr>
            <w:tcW w:w="171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Sample-level DP + local adaptation + LoRA</w:t>
            </w:r>
          </w:p>
        </w:tc>
        <w:tc>
          <w:tcPr>
            <w:tcW w:w="177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50% lower communication overhead</w:t>
            </w:r>
          </w:p>
        </w:tc>
        <w:tc>
          <w:tcPr>
            <w:tcW w:w="1830" w:type="dxa"/>
            <w:tcBorders>
              <w:top w:val="single" w:color="000000" w:sz="8"/>
              <w:left w:val="single" w:color="000000" w:sz="8"/>
              <w:bottom w:val="single" w:color="000000" w:sz="8"/>
              <w:right w:val="single" w:color="000000" w:sz="8"/>
            </w:tcBorders>
            <w:shd w:color="000000" w:fill="auto" w:val="clear"/>
            <w:tcMar>
              <w:left w:w="56" w:type="dxa"/>
              <w:right w:w="56"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16"/>
                <w:shd w:fill="FFFFFF" w:val="clear"/>
              </w:rPr>
              <w:t xml:space="preserve">Transformer complexity; simulated non-IID setting</w:t>
            </w:r>
          </w:p>
        </w:tc>
      </w:tr>
    </w:tbl>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p>
    <w:p>
      <w:pPr>
        <w:spacing w:before="0" w:after="0" w:line="240"/>
        <w:ind w:right="0" w:left="0" w:firstLine="0"/>
        <w:jc w:val="center"/>
        <w:rPr>
          <w:rFonts w:ascii="Times New Roman" w:hAnsi="Times New Roman" w:cs="Times New Roman" w:eastAsia="Times New Roman"/>
          <w:b/>
          <w:color w:val="auto"/>
          <w:spacing w:val="0"/>
          <w:position w:val="0"/>
          <w:sz w:val="16"/>
          <w:shd w:fill="FFFFFF" w:val="clear"/>
        </w:rPr>
      </w:pPr>
    </w:p>
    <w:p>
      <w:pPr>
        <w:spacing w:before="0" w:after="0" w:line="240"/>
        <w:ind w:right="0" w:left="0" w:firstLine="0"/>
        <w:jc w:val="center"/>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color w:val="auto"/>
          <w:spacing w:val="0"/>
          <w:position w:val="0"/>
          <w:sz w:val="20"/>
          <w:shd w:fill="FFFFFF" w:val="clear"/>
        </w:rPr>
        <w:t xml:space="preserve">III. TECHNICAL GAPS</w:t>
      </w:r>
    </w:p>
    <w:p>
      <w:pPr>
        <w:spacing w:before="0" w:after="0" w:line="240"/>
        <w:ind w:right="0" w:left="0" w:firstLine="0"/>
        <w:jc w:val="center"/>
        <w:rPr>
          <w:rFonts w:ascii="Times New Roman" w:hAnsi="Times New Roman" w:cs="Times New Roman" w:eastAsia="Times New Roman"/>
          <w:color w:val="auto"/>
          <w:spacing w:val="0"/>
          <w:position w:val="0"/>
          <w:sz w:val="20"/>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color w:val="auto"/>
          <w:spacing w:val="0"/>
          <w:position w:val="0"/>
          <w:sz w:val="20"/>
          <w:shd w:fill="FFFFFF" w:val="clear"/>
        </w:rPr>
        <w:t xml:space="preserve">These methods show useful progress, but several gaps remain. Most experiments use public datasets or simulated hospital clients, so their performance in real clinical networks is uncertain. The studies also use different datasets, privacy levels, and evaluation measures, which makes direct comparison difficult. Some methods improve accuracy but add communication rounds or model complexity. Privacy budgets are usually fixed before training and do not change with model convergence, image sensitivity, or clinical risk. There is also limited testing against multiple attacks at the same time.</w:t>
      </w:r>
    </w:p>
    <w:p>
      <w:pPr>
        <w:spacing w:before="0" w:after="0" w:line="240"/>
        <w:ind w:right="0" w:left="0" w:firstLine="0"/>
        <w:jc w:val="center"/>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color w:val="auto"/>
          <w:spacing w:val="0"/>
          <w:position w:val="0"/>
          <w:sz w:val="20"/>
          <w:shd w:fill="FFFFFF" w:val="clear"/>
        </w:rPr>
        <w:t xml:space="preserve">IV. PROPOSED DIRECTION</w:t>
      </w:r>
    </w:p>
    <w:p>
      <w:pPr>
        <w:spacing w:before="0" w:after="0" w:line="240"/>
        <w:ind w:right="0" w:left="0" w:firstLine="0"/>
        <w:jc w:val="center"/>
        <w:rPr>
          <w:rFonts w:ascii="Times New Roman" w:hAnsi="Times New Roman" w:cs="Times New Roman" w:eastAsia="Times New Roman"/>
          <w:color w:val="auto"/>
          <w:spacing w:val="0"/>
          <w:position w:val="0"/>
          <w:sz w:val="20"/>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color w:val="auto"/>
          <w:spacing w:val="0"/>
          <w:position w:val="0"/>
          <w:sz w:val="20"/>
          <w:shd w:fill="FFFFFF" w:val="clear"/>
        </w:rPr>
        <w:t xml:space="preserve">I suggest a risk-aware adaptive DP framework combined with selective parameter sharing and secure aggregation. Instead of adding the same noise in every round, the privacy budget could change according to validation loss, gradient sensitivity, and attack risk. Only useful model parameters could be shared, while sensitive updates receive stronger protection. This may reduce noise and communication cost. The method should be tested across real or realistically simulated hospitals with different imaging devices and uneven datasets. Evaluation should include accuracy or Dice score, privacy budget, attack success rate, latency, and communication cost. This would show more clearly whether the method is safe enough for clinical use.</w:t>
      </w:r>
    </w:p>
    <w:p>
      <w:pPr>
        <w:spacing w:before="0" w:after="0" w:line="240"/>
        <w:ind w:right="0" w:left="0" w:firstLine="0"/>
        <w:jc w:val="both"/>
        <w:rPr>
          <w:rFonts w:ascii="Times New Roman" w:hAnsi="Times New Roman" w:cs="Times New Roman" w:eastAsia="Times New Roman"/>
          <w:color w:val="auto"/>
          <w:spacing w:val="0"/>
          <w:position w:val="0"/>
          <w:sz w:val="20"/>
          <w:shd w:fill="FFFFFF" w:val="clear"/>
        </w:rPr>
      </w:pPr>
    </w:p>
    <w:p>
      <w:pPr>
        <w:spacing w:before="0" w:after="0" w:line="240"/>
        <w:ind w:right="0" w:left="0" w:firstLine="0"/>
        <w:jc w:val="center"/>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color w:val="auto"/>
          <w:spacing w:val="0"/>
          <w:position w:val="0"/>
          <w:sz w:val="20"/>
          <w:shd w:fill="FFFFFF" w:val="clear"/>
        </w:rPr>
        <w:t xml:space="preserve">V. BIBLIOGRAPHY</w:t>
      </w:r>
    </w:p>
    <w:p>
      <w:pPr>
        <w:spacing w:before="0" w:after="0" w:line="240"/>
        <w:ind w:right="0" w:left="0" w:firstLine="0"/>
        <w:jc w:val="center"/>
        <w:rPr>
          <w:rFonts w:ascii="Times New Roman" w:hAnsi="Times New Roman" w:cs="Times New Roman" w:eastAsia="Times New Roman"/>
          <w:color w:val="auto"/>
          <w:spacing w:val="0"/>
          <w:position w:val="0"/>
          <w:sz w:val="20"/>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16"/>
          <w:shd w:fill="FFFFFF" w:val="clear"/>
        </w:rPr>
      </w:pPr>
      <w:r>
        <w:rPr>
          <w:rFonts w:ascii="Times New Roman" w:hAnsi="Times New Roman" w:cs="Times New Roman" w:eastAsia="Times New Roman"/>
          <w:color w:val="auto"/>
          <w:spacing w:val="0"/>
          <w:position w:val="0"/>
          <w:sz w:val="16"/>
          <w:shd w:fill="FFFFFF" w:val="clear"/>
        </w:rPr>
        <w:t xml:space="preserve">[1] M. Jiang, Y. Zhong, A. Le, X. Li, and Q. Dou, “Client-level differential privacy via adaptive intermediary in federated medical imaging,” in Medical Image Computing and Computer Assisted Intervention - MICCAI 2023, Lecture Notes in Computer Science, vol. 14221, pp. 500-510, 2023, doi: 10.1007/978-3-031-43895-0_47.</w:t>
      </w:r>
    </w:p>
    <w:p>
      <w:pPr>
        <w:spacing w:before="0" w:after="0" w:line="240"/>
        <w:ind w:right="0" w:left="0" w:firstLine="0"/>
        <w:jc w:val="both"/>
        <w:rPr>
          <w:rFonts w:ascii="Times New Roman" w:hAnsi="Times New Roman" w:cs="Times New Roman" w:eastAsia="Times New Roman"/>
          <w:color w:val="auto"/>
          <w:spacing w:val="0"/>
          <w:position w:val="0"/>
          <w:sz w:val="16"/>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16"/>
          <w:shd w:fill="FFFFFF" w:val="clear"/>
        </w:rPr>
      </w:pPr>
      <w:r>
        <w:rPr>
          <w:rFonts w:ascii="Times New Roman" w:hAnsi="Times New Roman" w:cs="Times New Roman" w:eastAsia="Times New Roman"/>
          <w:color w:val="auto"/>
          <w:spacing w:val="0"/>
          <w:position w:val="0"/>
          <w:sz w:val="16"/>
          <w:shd w:fill="FFFFFF" w:val="clear"/>
        </w:rPr>
        <w:t xml:space="preserve">[2] L. Pan, M. Huang, L. Wang, P. Qin, and S. Peng, “FedDP: Privacy-preserving method based on federated learning for histopathology image segmentation,” in Proc. IEEE Int. Conf. Bioinformatics and Biomedicine (BIBM), pp. 2325-2331, 2024, doi: 10.1109/BIBM62325.2024.10822021.</w:t>
      </w:r>
    </w:p>
    <w:p>
      <w:pPr>
        <w:spacing w:before="0" w:after="0" w:line="240"/>
        <w:ind w:right="0" w:left="0" w:firstLine="0"/>
        <w:jc w:val="both"/>
        <w:rPr>
          <w:rFonts w:ascii="Times New Roman" w:hAnsi="Times New Roman" w:cs="Times New Roman" w:eastAsia="Times New Roman"/>
          <w:color w:val="auto"/>
          <w:spacing w:val="0"/>
          <w:position w:val="0"/>
          <w:sz w:val="16"/>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16"/>
          <w:shd w:fill="FFFFFF" w:val="clear"/>
        </w:rPr>
      </w:pPr>
      <w:r>
        <w:rPr>
          <w:rFonts w:ascii="Times New Roman" w:hAnsi="Times New Roman" w:cs="Times New Roman" w:eastAsia="Times New Roman"/>
          <w:color w:val="auto"/>
          <w:spacing w:val="0"/>
          <w:position w:val="0"/>
          <w:sz w:val="16"/>
          <w:shd w:fill="FFFFFF" w:val="clear"/>
        </w:rPr>
        <w:t xml:space="preserve">[3] S. Jiang, Y. Liu, Z. Wang, Y. Li, H. Chi, and X. Du, “Hybrid makes better: Hybrid differential privacy medical image classification based on federated learning,” IEEE Trans. Dependable Secure Comput., vol. 22, no. 5, pp. 5265-5276, Sep.-Oct. 2025, doi: 10.1109/TDSC.2025.3565196.</w:t>
      </w:r>
    </w:p>
    <w:p>
      <w:pPr>
        <w:spacing w:before="0" w:after="0" w:line="240"/>
        <w:ind w:right="0" w:left="0" w:firstLine="0"/>
        <w:jc w:val="both"/>
        <w:rPr>
          <w:rFonts w:ascii="Times New Roman" w:hAnsi="Times New Roman" w:cs="Times New Roman" w:eastAsia="Times New Roman"/>
          <w:color w:val="auto"/>
          <w:spacing w:val="0"/>
          <w:position w:val="0"/>
          <w:sz w:val="16"/>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16"/>
          <w:shd w:fill="FFFFFF" w:val="clear"/>
        </w:rPr>
      </w:pPr>
      <w:r>
        <w:rPr>
          <w:rFonts w:ascii="Times New Roman" w:hAnsi="Times New Roman" w:cs="Times New Roman" w:eastAsia="Times New Roman"/>
          <w:color w:val="auto"/>
          <w:spacing w:val="0"/>
          <w:position w:val="0"/>
          <w:sz w:val="16"/>
          <w:shd w:fill="FFFFFF" w:val="clear"/>
        </w:rPr>
        <w:t xml:space="preserve">[4] W. Liang, W. Zhang, H. Yan, Y. Zong, and C. Yan, “DP-FViT: Differentially private federated vision transformer with LoRA for secure and accurate medical image classification,” Biomed. Signal Process. Control, vol. 114, Art. no. 109388, Apr. 2026, doi: 10.1016/j.bspc.2025.109388.</w:t>
      </w:r>
    </w:p>
    <w:p>
      <w:pPr>
        <w:spacing w:before="0" w:after="0" w:line="240"/>
        <w:ind w:right="0" w:left="0" w:firstLine="0"/>
        <w:jc w:val="both"/>
        <w:rPr>
          <w:rFonts w:ascii="Times New Roman" w:hAnsi="Times New Roman" w:cs="Times New Roman" w:eastAsia="Times New Roman"/>
          <w:color w:val="auto"/>
          <w:spacing w:val="0"/>
          <w:position w:val="0"/>
          <w:sz w:val="20"/>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FFFFFF" w:val="clear"/>
        </w:rPr>
      </w:pPr>
    </w:p>
    <w:p>
      <w:pPr>
        <w:spacing w:before="0" w:after="0" w:line="240"/>
        <w:ind w:right="0" w:left="0" w:firstLine="0"/>
        <w:jc w:val="both"/>
        <w:rPr>
          <w:rFonts w:ascii="Times New Roman" w:hAnsi="Times New Roman" w:cs="Times New Roman" w:eastAsia="Times New Roman"/>
          <w:color w:val="auto"/>
          <w:spacing w:val="0"/>
          <w:position w:val="0"/>
          <w:sz w:val="20"/>
          <w:shd w:fill="FFFFFF"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