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SDP Compliance Materialized Pipeline — Design Document</w:t>
      </w:r>
    </w:p>
    <w:p>
      <w:pPr>
        <w:spacing w:before="120" w:after="120"/>
      </w:pPr>
    </w:p>
    <w:p>
      <w:pPr>
        <w:pStyle w:val="Heading1"/>
      </w:pPr>
      <w:r>
        <w:t>1. Introduction</w:t>
      </w:r>
    </w:p>
    <w:p>
      <w:r>
        <w:t>The SDP (Safe Deployment Practices) Compliance dashboard tracks deployment policy compliance for M365 services. It monitors whether pipeline stages follow required bake times, ring progression sequences, and minimum stage counts across ~6,200 pipeline definitions and ~210,000 runs over a rolling 60-day window.</w:t>
      </w:r>
    </w:p>
    <w:p>
      <w:r>
        <w:t>The dashboard is powered by KQL queries that join data from multiple Azure Data Explorer (ADX) clusters at refresh time. This document proposes a new architecture that pre-materializes the joined data into a flat ADX table via a daily ADF pipeline, replacing the current query-time join approach.</w:t>
      </w:r>
    </w:p>
    <w:p>
      <w:r>
        <w:t>The architecture diagram below shows the required data flow and enrichment layers:</w:t>
      </w:r>
    </w:p>
    <w:p>
      <w:pPr>
        <w:jc w:val="center"/>
      </w:pPr>
      <w:r>
        <w:drawing>
          <wp:inline xmlns:a="http://schemas.openxmlformats.org/drawingml/2006/main" xmlns:pic="http://schemas.openxmlformats.org/drawingml/2006/picture">
            <wp:extent cx="5486400" cy="4223206"/>
            <wp:docPr id="1" name="Picture 1"/>
            <wp:cNvGraphicFramePr>
              <a:graphicFrameLocks noChangeAspect="1"/>
            </wp:cNvGraphicFramePr>
            <a:graphic>
              <a:graphicData uri="http://schemas.openxmlformats.org/drawingml/2006/picture">
                <pic:pic>
                  <pic:nvPicPr>
                    <pic:cNvPr id="0" name="SDP Cumulative Architecture Plan.png"/>
                    <pic:cNvPicPr/>
                  </pic:nvPicPr>
                  <pic:blipFill>
                    <a:blip r:embed="rId9"/>
                    <a:stretch>
                      <a:fillRect/>
                    </a:stretch>
                  </pic:blipFill>
                  <pic:spPr>
                    <a:xfrm>
                      <a:off x="0" y="0"/>
                      <a:ext cx="5486400" cy="4223206"/>
                    </a:xfrm>
                    <a:prstGeom prst="rect"/>
                  </pic:spPr>
                </pic:pic>
              </a:graphicData>
            </a:graphic>
          </wp:inline>
        </w:drawing>
      </w:r>
    </w:p>
    <w:p>
      <w:pPr>
        <w:spacing w:before="120" w:after="120"/>
      </w:pPr>
    </w:p>
    <w:p>
      <w:pPr>
        <w:pStyle w:val="Heading1"/>
      </w:pPr>
      <w:r>
        <w:t>2. Problem Statement</w:t>
      </w:r>
    </w:p>
    <w:p>
      <w:r>
        <w:t>The current dashboard query:</w:t>
      </w:r>
    </w:p>
    <w:p>
      <w:pPr>
        <w:pStyle w:val="ListBullet"/>
      </w:pPr>
      <w:r>
        <w:t xml:space="preserve">Joins data across </w:t>
      </w:r>
      <w:r>
        <w:rPr>
          <w:b/>
        </w:rPr>
        <w:t>4 ADX clusters</w:t>
      </w:r>
      <w:r>
        <w:t xml:space="preserve">: </w:t>
      </w:r>
      <w:r>
        <w:rPr>
          <w:rFonts w:ascii="Consolas" w:hAnsi="Consolas"/>
          <w:color w:val="404040"/>
          <w:sz w:val="18"/>
        </w:rPr>
        <w:t>servicetreepublic.westus</w:t>
      </w:r>
      <w:r>
        <w:t xml:space="preserve">, </w:t>
      </w:r>
      <w:r>
        <w:rPr>
          <w:rFonts w:ascii="Consolas" w:hAnsi="Consolas"/>
          <w:color w:val="404040"/>
          <w:sz w:val="18"/>
        </w:rPr>
        <w:t>onebranchm365release.eastus</w:t>
      </w:r>
      <w:r>
        <w:t xml:space="preserve">, </w:t>
      </w:r>
      <w:r>
        <w:rPr>
          <w:rFonts w:ascii="Consolas" w:hAnsi="Consolas"/>
          <w:color w:val="404040"/>
          <w:sz w:val="18"/>
        </w:rPr>
        <w:t>1es</w:t>
      </w:r>
      <w:r>
        <w:t xml:space="preserve">, and </w:t>
      </w:r>
      <w:r>
        <w:rPr>
          <w:rFonts w:ascii="Consolas" w:hAnsi="Consolas"/>
          <w:color w:val="404040"/>
          <w:sz w:val="18"/>
        </w:rPr>
        <w:t>s360prodro</w:t>
      </w:r>
      <w:r/>
    </w:p>
    <w:p>
      <w:pPr>
        <w:pStyle w:val="ListBullet"/>
      </w:pPr>
      <w:r>
        <w:t xml:space="preserve">Performs </w:t>
      </w:r>
      <w:r>
        <w:rPr>
          <w:b/>
        </w:rPr>
        <w:t>10+ left-outer joins</w:t>
      </w:r>
      <w:r>
        <w:t xml:space="preserve"> with </w:t>
      </w:r>
      <w:r>
        <w:rPr>
          <w:rFonts w:ascii="Consolas" w:hAnsi="Consolas"/>
          <w:color w:val="404040"/>
          <w:sz w:val="18"/>
        </w:rPr>
        <w:t>mv-expand</w:t>
      </w:r>
      <w:r>
        <w:t xml:space="preserve">, </w:t>
      </w:r>
      <w:r>
        <w:rPr>
          <w:rFonts w:ascii="Consolas" w:hAnsi="Consolas"/>
          <w:color w:val="404040"/>
          <w:sz w:val="18"/>
        </w:rPr>
        <w:t>parse_json</w:t>
      </w:r>
      <w:r>
        <w:t>, and cross-cluster calls</w:t>
      </w:r>
    </w:p>
    <w:p>
      <w:pPr>
        <w:pStyle w:val="ListBullet"/>
      </w:pPr>
      <w:r>
        <w:t xml:space="preserve">Uses </w:t>
      </w:r>
      <w:r>
        <w:rPr>
          <w:rFonts w:ascii="Consolas" w:hAnsi="Consolas"/>
          <w:color w:val="404040"/>
          <w:sz w:val="18"/>
        </w:rPr>
        <w:t>set notruncation</w:t>
      </w:r>
      <w:r>
        <w:t xml:space="preserve"> and </w:t>
      </w:r>
      <w:r>
        <w:rPr>
          <w:rFonts w:ascii="Consolas" w:hAnsi="Consolas"/>
          <w:color w:val="404040"/>
          <w:sz w:val="18"/>
        </w:rPr>
        <w:t>set norequesttimeout</w:t>
      </w:r>
      <w:r>
        <w:t xml:space="preserve"> as workarounds</w:t>
      </w:r>
    </w:p>
    <w:p>
      <w:pPr>
        <w:pStyle w:val="ListBullet"/>
      </w:pPr>
      <w:r>
        <w:t xml:space="preserve">Only retrieves the </w:t>
      </w:r>
      <w:r>
        <w:rPr>
          <w:b/>
        </w:rPr>
        <w:t>latest run</w:t>
      </w:r>
      <w:r>
        <w:t xml:space="preserve"> per pipeline (via </w:t>
      </w:r>
      <w:r>
        <w:rPr>
          <w:rFonts w:ascii="Consolas" w:hAnsi="Consolas"/>
          <w:color w:val="404040"/>
          <w:sz w:val="18"/>
        </w:rPr>
        <w:t>arg_max</w:t>
      </w:r>
      <w:r>
        <w:t>) due to scale constraints</w:t>
      </w:r>
    </w:p>
    <w:p>
      <w:r>
        <w:t xml:space="preserve">Phase 2 requires </w:t>
      </w:r>
      <w:r>
        <w:rPr>
          <w:b/>
        </w:rPr>
        <w:t>all historical runs</w:t>
      </w:r>
      <w:r>
        <w:t xml:space="preserve"> (~210K runs, ~1.9M stage-runs over 60 days), which exceeds ADX limits: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Limit</w:t>
            </w:r>
          </w:p>
        </w:tc>
        <w:tc>
          <w:tcPr>
            <w:tcW w:type="dxa" w:w="2880"/>
          </w:tcPr>
          <w:p>
            <w:r/>
            <w:r>
              <w:rPr>
                <w:b/>
                <w:sz w:val="20"/>
              </w:rPr>
              <w:t>Threshold</w:t>
            </w:r>
          </w:p>
        </w:tc>
        <w:tc>
          <w:tcPr>
            <w:tcW w:type="dxa" w:w="2880"/>
          </w:tcPr>
          <w:p>
            <w:r/>
            <w:r>
              <w:rPr>
                <w:b/>
                <w:sz w:val="20"/>
              </w:rPr>
              <w:t>Impact</w:t>
            </w:r>
          </w:p>
        </w:tc>
      </w:tr>
      <w:tr>
        <w:tc>
          <w:tcPr>
            <w:tcW w:type="dxa" w:w="2880"/>
          </w:tcPr>
          <w:p>
            <w:r>
              <w:rPr>
                <w:sz w:val="20"/>
              </w:rPr>
            </w:r>
            <w:r>
              <w:rPr>
                <w:sz w:val="20"/>
              </w:rPr>
              <w:t>Join memory budget</w:t>
            </w:r>
          </w:p>
        </w:tc>
        <w:tc>
          <w:tcPr>
            <w:tcW w:type="dxa" w:w="2880"/>
          </w:tcPr>
          <w:p>
            <w:r>
              <w:rPr>
                <w:sz w:val="20"/>
              </w:rPr>
            </w:r>
            <w:r>
              <w:rPr>
                <w:sz w:val="20"/>
              </w:rPr>
              <w:t>5 GB default, 30 GB max</w:t>
            </w:r>
          </w:p>
        </w:tc>
        <w:tc>
          <w:tcPr>
            <w:tcW w:type="dxa" w:w="2880"/>
          </w:tcPr>
          <w:p>
            <w:r>
              <w:rPr>
                <w:sz w:val="20"/>
              </w:rPr>
            </w:r>
            <w:r>
              <w:rPr>
                <w:sz w:val="20"/>
              </w:rPr>
              <w:t xml:space="preserve">Error </w:t>
            </w:r>
            <w:r>
              <w:rPr>
                <w:rFonts w:ascii="Consolas" w:hAnsi="Consolas"/>
                <w:color w:val="404040"/>
                <w:sz w:val="20"/>
              </w:rPr>
              <w:t>80DA0001</w:t>
            </w:r>
            <w:r>
              <w:rPr>
                <w:sz w:val="20"/>
              </w:rPr>
              <w:t xml:space="preserve"> — exceeded by 10+ joins on ~1.9M rows</w:t>
            </w:r>
          </w:p>
        </w:tc>
      </w:tr>
      <w:tr>
        <w:tc>
          <w:tcPr>
            <w:tcW w:type="dxa" w:w="2880"/>
          </w:tcPr>
          <w:p>
            <w:r>
              <w:rPr>
                <w:sz w:val="20"/>
              </w:rPr>
            </w:r>
            <w:r>
              <w:rPr>
                <w:sz w:val="20"/>
              </w:rPr>
              <w:t>Cross-cluster subquery truncation</w:t>
            </w:r>
          </w:p>
        </w:tc>
        <w:tc>
          <w:tcPr>
            <w:tcW w:type="dxa" w:w="2880"/>
          </w:tcPr>
          <w:p>
            <w:r>
              <w:rPr>
                <w:sz w:val="20"/>
              </w:rPr>
            </w:r>
            <w:r>
              <w:rPr>
                <w:sz w:val="20"/>
              </w:rPr>
              <w:t>64 MB per subquery</w:t>
            </w:r>
          </w:p>
        </w:tc>
        <w:tc>
          <w:tcPr>
            <w:tcW w:type="dxa" w:w="2880"/>
          </w:tcPr>
          <w:p>
            <w:r>
              <w:rPr>
                <w:sz w:val="20"/>
              </w:rPr>
            </w:r>
            <w:r>
              <w:rPr>
                <w:sz w:val="20"/>
              </w:rPr>
              <w:t>Applied independently to each remote call; cannot be bypassed</w:t>
            </w:r>
          </w:p>
        </w:tc>
      </w:tr>
      <w:tr>
        <w:tc>
          <w:tcPr>
            <w:tcW w:type="dxa" w:w="2880"/>
          </w:tcPr>
          <w:p>
            <w:r>
              <w:rPr>
                <w:sz w:val="20"/>
              </w:rPr>
            </w:r>
            <w:r>
              <w:rPr>
                <w:sz w:val="20"/>
              </w:rPr>
              <w:t>Interactive query timeout</w:t>
            </w:r>
          </w:p>
        </w:tc>
        <w:tc>
          <w:tcPr>
            <w:tcW w:type="dxa" w:w="2880"/>
          </w:tcPr>
          <w:p>
            <w:r>
              <w:rPr>
                <w:sz w:val="20"/>
              </w:rPr>
            </w:r>
            <w:r>
              <w:rPr>
                <w:sz w:val="20"/>
              </w:rPr>
              <w:t>4 min default, 1 hr max</w:t>
            </w:r>
          </w:p>
        </w:tc>
        <w:tc>
          <w:tcPr>
            <w:tcW w:type="dxa" w:w="2880"/>
          </w:tcPr>
          <w:p>
            <w:r>
              <w:rPr>
                <w:sz w:val="20"/>
              </w:rPr>
            </w:r>
            <w:r>
              <w:rPr>
                <w:sz w:val="20"/>
              </w:rPr>
              <w:t>~252s ceiling after all optimizations</w:t>
            </w:r>
          </w:p>
        </w:tc>
      </w:tr>
    </w:tbl>
    <w:p>
      <w:pPr>
        <w:pStyle w:val="Heading2"/>
      </w:pPr>
      <w:r>
        <w:t>Optimization Attempts</w:t>
      </w:r>
    </w:p>
    <w:p>
      <w:r>
        <w:t>8 progressive optimizations were applied to the all-runs query. Each built on the previous, and all resulted in the same ~252-second timeout: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w:t>
            </w:r>
          </w:p>
        </w:tc>
        <w:tc>
          <w:tcPr>
            <w:tcW w:type="dxa" w:w="2880"/>
          </w:tcPr>
          <w:p>
            <w:r/>
            <w:r>
              <w:rPr>
                <w:b/>
                <w:sz w:val="20"/>
              </w:rPr>
              <w:t>Optimization</w:t>
            </w:r>
          </w:p>
        </w:tc>
        <w:tc>
          <w:tcPr>
            <w:tcW w:type="dxa" w:w="2880"/>
          </w:tcPr>
          <w:p>
            <w:r/>
            <w:r>
              <w:rPr>
                <w:b/>
                <w:sz w:val="20"/>
              </w:rPr>
              <w:t>Result</w:t>
            </w:r>
          </w:p>
        </w:tc>
      </w:tr>
      <w:tr>
        <w:tc>
          <w:tcPr>
            <w:tcW w:type="dxa" w:w="2880"/>
          </w:tcPr>
          <w:p>
            <w:r>
              <w:rPr>
                <w:sz w:val="20"/>
              </w:rPr>
            </w:r>
            <w:r>
              <w:rPr>
                <w:sz w:val="20"/>
              </w:rPr>
              <w:t>1</w:t>
            </w:r>
          </w:p>
        </w:tc>
        <w:tc>
          <w:tcPr>
            <w:tcW w:type="dxa" w:w="2880"/>
          </w:tcPr>
          <w:p>
            <w:r>
              <w:rPr>
                <w:sz w:val="20"/>
              </w:rPr>
            </w:r>
            <w:r>
              <w:rPr>
                <w:sz w:val="20"/>
              </w:rPr>
              <w:t>Rewrote query for all runs (stage x run expansion)</w:t>
            </w:r>
          </w:p>
        </w:tc>
        <w:tc>
          <w:tcPr>
            <w:tcW w:type="dxa" w:w="2880"/>
          </w:tcPr>
          <w:p>
            <w:r>
              <w:rPr>
                <w:sz w:val="20"/>
              </w:rPr>
            </w:r>
            <w:r>
              <w:rPr>
                <w:sz w:val="20"/>
              </w:rPr>
              <w:t>Timeout ~252s</w:t>
            </w:r>
          </w:p>
        </w:tc>
      </w:tr>
      <w:tr>
        <w:tc>
          <w:tcPr>
            <w:tcW w:type="dxa" w:w="2880"/>
          </w:tcPr>
          <w:p>
            <w:r>
              <w:rPr>
                <w:sz w:val="20"/>
              </w:rPr>
            </w:r>
            <w:r>
              <w:rPr>
                <w:sz w:val="20"/>
              </w:rPr>
              <w:t>2</w:t>
            </w:r>
          </w:p>
        </w:tc>
        <w:tc>
          <w:tcPr>
            <w:tcW w:type="dxa" w:w="2880"/>
          </w:tcPr>
          <w:p>
            <w:r>
              <w:rPr>
                <w:sz w:val="20"/>
              </w:rPr>
            </w:r>
            <w:r>
              <w:rPr>
                <w:sz w:val="20"/>
              </w:rPr>
              <w:t xml:space="preserve">Added </w:t>
            </w:r>
            <w:r>
              <w:rPr>
                <w:rFonts w:ascii="Consolas" w:hAnsi="Consolas"/>
                <w:color w:val="404040"/>
                <w:sz w:val="20"/>
              </w:rPr>
              <w:t>set servertimeout = 1h</w:t>
            </w:r>
            <w:r>
              <w:rPr>
                <w:sz w:val="20"/>
              </w:rPr>
            </w:r>
          </w:p>
        </w:tc>
        <w:tc>
          <w:tcPr>
            <w:tcW w:type="dxa" w:w="2880"/>
          </w:tcPr>
          <w:p>
            <w:r>
              <w:rPr>
                <w:sz w:val="20"/>
              </w:rPr>
            </w:r>
            <w:r>
              <w:rPr>
                <w:sz w:val="20"/>
              </w:rPr>
              <w:t>Timeout ~252s</w:t>
            </w:r>
          </w:p>
        </w:tc>
      </w:tr>
      <w:tr>
        <w:tc>
          <w:tcPr>
            <w:tcW w:type="dxa" w:w="2880"/>
          </w:tcPr>
          <w:p>
            <w:r>
              <w:rPr>
                <w:sz w:val="20"/>
              </w:rPr>
            </w:r>
            <w:r>
              <w:rPr>
                <w:sz w:val="20"/>
              </w:rPr>
              <w:t>3</w:t>
            </w:r>
          </w:p>
        </w:tc>
        <w:tc>
          <w:tcPr>
            <w:tcW w:type="dxa" w:w="2880"/>
          </w:tcPr>
          <w:p>
            <w:r>
              <w:rPr>
                <w:sz w:val="20"/>
              </w:rPr>
            </w:r>
            <w:r>
              <w:rPr>
                <w:sz w:val="20"/>
              </w:rPr>
              <w:t xml:space="preserve">Replaced all cross-cluster calls to </w:t>
            </w:r>
            <w:r>
              <w:rPr>
                <w:rFonts w:ascii="Consolas" w:hAnsi="Consolas"/>
                <w:color w:val="404040"/>
                <w:sz w:val="20"/>
              </w:rPr>
              <w:t>1es</w:t>
            </w:r>
            <w:r>
              <w:rPr>
                <w:sz w:val="20"/>
              </w:rPr>
              <w:t xml:space="preserve"> with local snapshots (10 calls eliminated)</w:t>
            </w:r>
          </w:p>
        </w:tc>
        <w:tc>
          <w:tcPr>
            <w:tcW w:type="dxa" w:w="2880"/>
          </w:tcPr>
          <w:p>
            <w:r>
              <w:rPr>
                <w:sz w:val="20"/>
              </w:rPr>
            </w:r>
            <w:r>
              <w:rPr>
                <w:sz w:val="20"/>
              </w:rPr>
              <w:t>Timeout</w:t>
            </w:r>
          </w:p>
        </w:tc>
      </w:tr>
      <w:tr>
        <w:tc>
          <w:tcPr>
            <w:tcW w:type="dxa" w:w="2880"/>
          </w:tcPr>
          <w:p>
            <w:r>
              <w:rPr>
                <w:sz w:val="20"/>
              </w:rPr>
            </w:r>
            <w:r>
              <w:rPr>
                <w:sz w:val="20"/>
              </w:rPr>
              <w:t>4</w:t>
            </w:r>
          </w:p>
        </w:tc>
        <w:tc>
          <w:tcPr>
            <w:tcW w:type="dxa" w:w="2880"/>
          </w:tcPr>
          <w:p>
            <w:r>
              <w:rPr>
                <w:sz w:val="20"/>
              </w:rPr>
            </w:r>
            <w:r>
              <w:rPr>
                <w:sz w:val="20"/>
              </w:rPr>
              <w:t xml:space="preserve">Replaced cross-cluster calls to </w:t>
            </w:r>
            <w:r>
              <w:rPr>
                <w:rFonts w:ascii="Consolas" w:hAnsi="Consolas"/>
                <w:color w:val="404040"/>
                <w:sz w:val="20"/>
              </w:rPr>
              <w:t>servicetreepublic</w:t>
            </w:r>
            <w:r>
              <w:rPr>
                <w:sz w:val="20"/>
              </w:rPr>
              <w:t xml:space="preserve"> with local snapshots (2 calls eliminated)</w:t>
            </w:r>
          </w:p>
        </w:tc>
        <w:tc>
          <w:tcPr>
            <w:tcW w:type="dxa" w:w="2880"/>
          </w:tcPr>
          <w:p>
            <w:r>
              <w:rPr>
                <w:sz w:val="20"/>
              </w:rPr>
            </w:r>
            <w:r>
              <w:rPr>
                <w:sz w:val="20"/>
              </w:rPr>
              <w:t>Timeout</w:t>
            </w:r>
          </w:p>
        </w:tc>
      </w:tr>
      <w:tr>
        <w:tc>
          <w:tcPr>
            <w:tcW w:type="dxa" w:w="2880"/>
          </w:tcPr>
          <w:p>
            <w:r>
              <w:rPr>
                <w:sz w:val="20"/>
              </w:rPr>
            </w:r>
            <w:r>
              <w:rPr>
                <w:sz w:val="20"/>
              </w:rPr>
              <w:t>5</w:t>
            </w:r>
          </w:p>
        </w:tc>
        <w:tc>
          <w:tcPr>
            <w:tcW w:type="dxa" w:w="2880"/>
          </w:tcPr>
          <w:p>
            <w:r>
              <w:rPr>
                <w:sz w:val="20"/>
              </w:rPr>
            </w:r>
            <w:r>
              <w:rPr>
                <w:sz w:val="20"/>
              </w:rPr>
              <w:t>Replaced explicit same-cluster references with local table names</w:t>
            </w:r>
          </w:p>
        </w:tc>
        <w:tc>
          <w:tcPr>
            <w:tcW w:type="dxa" w:w="2880"/>
          </w:tcPr>
          <w:p>
            <w:r>
              <w:rPr>
                <w:sz w:val="20"/>
              </w:rPr>
            </w:r>
            <w:r>
              <w:rPr>
                <w:sz w:val="20"/>
              </w:rPr>
              <w:t>Timeout</w:t>
            </w:r>
          </w:p>
        </w:tc>
      </w:tr>
      <w:tr>
        <w:tc>
          <w:tcPr>
            <w:tcW w:type="dxa" w:w="2880"/>
          </w:tcPr>
          <w:p>
            <w:r>
              <w:rPr>
                <w:sz w:val="20"/>
              </w:rPr>
            </w:r>
            <w:r>
              <w:rPr>
                <w:sz w:val="20"/>
              </w:rPr>
              <w:t>6</w:t>
            </w:r>
          </w:p>
        </w:tc>
        <w:tc>
          <w:tcPr>
            <w:tcW w:type="dxa" w:w="2880"/>
          </w:tcPr>
          <w:p>
            <w:r>
              <w:rPr>
                <w:sz w:val="20"/>
              </w:rPr>
            </w:r>
            <w:r>
              <w:rPr>
                <w:sz w:val="20"/>
              </w:rPr>
              <w:t xml:space="preserve">Added </w:t>
            </w:r>
            <w:r>
              <w:rPr>
                <w:rFonts w:ascii="Consolas" w:hAnsi="Consolas"/>
                <w:color w:val="404040"/>
                <w:sz w:val="20"/>
              </w:rPr>
              <w:t>materialize()</w:t>
            </w:r>
            <w:r>
              <w:rPr>
                <w:sz w:val="20"/>
              </w:rPr>
              <w:t xml:space="preserve"> to cache intermediate result</w:t>
            </w:r>
          </w:p>
        </w:tc>
        <w:tc>
          <w:tcPr>
            <w:tcW w:type="dxa" w:w="2880"/>
          </w:tcPr>
          <w:p>
            <w:r>
              <w:rPr>
                <w:sz w:val="20"/>
              </w:rPr>
            </w:r>
            <w:r>
              <w:rPr>
                <w:sz w:val="20"/>
              </w:rPr>
              <w:t>Timeout</w:t>
            </w:r>
          </w:p>
        </w:tc>
      </w:tr>
      <w:tr>
        <w:tc>
          <w:tcPr>
            <w:tcW w:type="dxa" w:w="2880"/>
          </w:tcPr>
          <w:p>
            <w:r>
              <w:rPr>
                <w:sz w:val="20"/>
              </w:rPr>
            </w:r>
            <w:r>
              <w:rPr>
                <w:sz w:val="20"/>
              </w:rPr>
              <w:t>7</w:t>
            </w:r>
          </w:p>
        </w:tc>
        <w:tc>
          <w:tcPr>
            <w:tcW w:type="dxa" w:w="2880"/>
          </w:tcPr>
          <w:p>
            <w:r>
              <w:rPr>
                <w:sz w:val="20"/>
              </w:rPr>
            </w:r>
            <w:r>
              <w:rPr>
                <w:sz w:val="20"/>
              </w:rPr>
              <w:t xml:space="preserve">Added </w:t>
            </w:r>
            <w:r>
              <w:rPr>
                <w:rFonts w:ascii="Consolas" w:hAnsi="Consolas"/>
                <w:color w:val="404040"/>
                <w:sz w:val="20"/>
              </w:rPr>
              <w:t>hint.strategy=shuffle</w:t>
            </w:r>
            <w:r>
              <w:rPr>
                <w:sz w:val="20"/>
              </w:rPr>
              <w:t xml:space="preserve"> on 3 heaviest joins</w:t>
            </w:r>
          </w:p>
        </w:tc>
        <w:tc>
          <w:tcPr>
            <w:tcW w:type="dxa" w:w="2880"/>
          </w:tcPr>
          <w:p>
            <w:r>
              <w:rPr>
                <w:sz w:val="20"/>
              </w:rPr>
            </w:r>
            <w:r>
              <w:rPr>
                <w:sz w:val="20"/>
              </w:rPr>
              <w:t>Timeout</w:t>
            </w:r>
          </w:p>
        </w:tc>
      </w:tr>
      <w:tr>
        <w:tc>
          <w:tcPr>
            <w:tcW w:type="dxa" w:w="2880"/>
          </w:tcPr>
          <w:p>
            <w:r>
              <w:rPr>
                <w:sz w:val="20"/>
              </w:rPr>
            </w:r>
            <w:r>
              <w:rPr>
                <w:sz w:val="20"/>
              </w:rPr>
              <w:t>8</w:t>
            </w:r>
          </w:p>
        </w:tc>
        <w:tc>
          <w:tcPr>
            <w:tcW w:type="dxa" w:w="2880"/>
          </w:tcPr>
          <w:p>
            <w:r>
              <w:rPr>
                <w:sz w:val="20"/>
              </w:rPr>
            </w:r>
            <w:r>
              <w:rPr>
                <w:sz w:val="20"/>
              </w:rPr>
              <w:t>Filtered pipeline info to only MOBR pipelines before joins</w:t>
            </w:r>
          </w:p>
        </w:tc>
        <w:tc>
          <w:tcPr>
            <w:tcW w:type="dxa" w:w="2880"/>
          </w:tcPr>
          <w:p>
            <w:r>
              <w:rPr>
                <w:sz w:val="20"/>
              </w:rPr>
            </w:r>
            <w:r>
              <w:rPr>
                <w:sz w:val="20"/>
              </w:rPr>
              <w:t>Timeout</w:t>
            </w:r>
          </w:p>
        </w:tc>
      </w:tr>
    </w:tbl>
    <w:p>
      <w:r/>
      <w:r>
        <w:rPr>
          <w:b/>
        </w:rPr>
        <w:t>Conclusion:</w:t>
      </w:r>
      <w:r>
        <w:t xml:space="preserve"> The query's complexity (10+ left-outer joins on ~1.9M stage-run rows) fundamentally exceeds ADX's interactive query execution limits. A different architecture is required.</w:t>
      </w:r>
    </w:p>
    <w:p>
      <w:pPr>
        <w:spacing w:before="120" w:after="120"/>
      </w:pPr>
    </w:p>
    <w:p>
      <w:pPr>
        <w:pStyle w:val="Heading1"/>
      </w:pPr>
      <w:r>
        <w:t>3. Goals</w:t>
      </w:r>
    </w:p>
    <w:p>
      <w:pPr>
        <w:pStyle w:val="ListNumber"/>
      </w:pPr>
      <w:r>
        <w:t>Materialize all historical stage-run data into a single pre-joined flat ADX table</w:t>
      </w:r>
    </w:p>
    <w:p>
      <w:pPr>
        <w:pStyle w:val="ListNumber"/>
      </w:pPr>
      <w:r>
        <w:t>Support daily incremental processing (1-day slices appended to the table)</w:t>
      </w:r>
    </w:p>
    <w:p>
      <w:pPr>
        <w:pStyle w:val="ListNumber"/>
      </w:pPr>
      <w:r>
        <w:t>Eliminate cross-cluster join bottlenecks by using local snapshot tables</w:t>
      </w:r>
    </w:p>
    <w:p>
      <w:pPr>
        <w:pStyle w:val="ListNumber"/>
      </w:pPr>
      <w:r>
        <w:t>Serve the PowerBI dashboard with simple read queries against the materialized table</w:t>
      </w:r>
    </w:p>
    <w:p>
      <w:pPr>
        <w:spacing w:before="120" w:after="120"/>
      </w:pPr>
    </w:p>
    <w:p>
      <w:pPr>
        <w:pStyle w:val="Heading1"/>
      </w:pPr>
      <w:r>
        <w:t>4. Design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Requirement</w:t>
            </w:r>
          </w:p>
        </w:tc>
        <w:tc>
          <w:tcPr>
            <w:tcW w:type="dxa" w:w="4320"/>
          </w:tcPr>
          <w:p>
            <w:r/>
            <w:r>
              <w:rPr>
                <w:b/>
                <w:sz w:val="20"/>
              </w:rPr>
              <w:t>Constraint</w:t>
            </w:r>
          </w:p>
        </w:tc>
      </w:tr>
      <w:tr>
        <w:tc>
          <w:tcPr>
            <w:tcW w:type="dxa" w:w="4320"/>
          </w:tcPr>
          <w:p>
            <w:r>
              <w:rPr>
                <w:sz w:val="20"/>
              </w:rPr>
            </w:r>
            <w:r>
              <w:rPr>
                <w:sz w:val="20"/>
              </w:rPr>
              <w:t>Data volume</w:t>
            </w:r>
          </w:p>
        </w:tc>
        <w:tc>
          <w:tcPr>
            <w:tcW w:type="dxa" w:w="4320"/>
          </w:tcPr>
          <w:p>
            <w:r>
              <w:rPr>
                <w:sz w:val="20"/>
              </w:rPr>
            </w:r>
            <w:r>
              <w:rPr>
                <w:sz w:val="20"/>
              </w:rPr>
              <w:t>~1.9M stage-run rows over 60 days</w:t>
            </w:r>
          </w:p>
        </w:tc>
      </w:tr>
      <w:tr>
        <w:tc>
          <w:tcPr>
            <w:tcW w:type="dxa" w:w="4320"/>
          </w:tcPr>
          <w:p>
            <w:r>
              <w:rPr>
                <w:sz w:val="20"/>
              </w:rPr>
            </w:r>
            <w:r>
              <w:rPr>
                <w:sz w:val="20"/>
              </w:rPr>
              <w:t>Incremental support</w:t>
            </w:r>
          </w:p>
        </w:tc>
        <w:tc>
          <w:tcPr>
            <w:tcW w:type="dxa" w:w="4320"/>
          </w:tcPr>
          <w:p>
            <w:r>
              <w:rPr>
                <w:sz w:val="20"/>
              </w:rPr>
            </w:r>
            <w:r>
              <w:rPr>
                <w:sz w:val="20"/>
              </w:rPr>
              <w:t>Daily append of new data without reprocessing full window</w:t>
            </w:r>
          </w:p>
        </w:tc>
      </w:tr>
      <w:tr>
        <w:tc>
          <w:tcPr>
            <w:tcW w:type="dxa" w:w="4320"/>
          </w:tcPr>
          <w:p>
            <w:r>
              <w:rPr>
                <w:sz w:val="20"/>
              </w:rPr>
            </w:r>
            <w:r>
              <w:rPr>
                <w:sz w:val="20"/>
              </w:rPr>
              <w:t>Late-arriving data</w:t>
            </w:r>
          </w:p>
        </w:tc>
        <w:tc>
          <w:tcPr>
            <w:tcW w:type="dxa" w:w="4320"/>
          </w:tcPr>
          <w:p>
            <w:r>
              <w:rPr>
                <w:sz w:val="20"/>
              </w:rPr>
            </w:r>
            <w:r>
              <w:rPr>
                <w:sz w:val="20"/>
              </w:rPr>
              <w:t>Must handle telemetry arriving up to 24-48 hours late</w:t>
            </w:r>
          </w:p>
        </w:tc>
      </w:tr>
      <w:tr>
        <w:tc>
          <w:tcPr>
            <w:tcW w:type="dxa" w:w="4320"/>
          </w:tcPr>
          <w:p>
            <w:r>
              <w:rPr>
                <w:sz w:val="20"/>
              </w:rPr>
            </w:r>
            <w:r>
              <w:rPr>
                <w:sz w:val="20"/>
              </w:rPr>
              <w:t>Idempotency</w:t>
            </w:r>
          </w:p>
        </w:tc>
        <w:tc>
          <w:tcPr>
            <w:tcW w:type="dxa" w:w="4320"/>
          </w:tcPr>
          <w:p>
            <w:r>
              <w:rPr>
                <w:sz w:val="20"/>
              </w:rPr>
            </w:r>
            <w:r>
              <w:rPr>
                <w:sz w:val="20"/>
              </w:rPr>
              <w:t>Reruns and retries must not create duplicate rows</w:t>
            </w:r>
          </w:p>
        </w:tc>
      </w:tr>
      <w:tr>
        <w:tc>
          <w:tcPr>
            <w:tcW w:type="dxa" w:w="4320"/>
          </w:tcPr>
          <w:p>
            <w:r>
              <w:rPr>
                <w:sz w:val="20"/>
              </w:rPr>
            </w:r>
            <w:r>
              <w:rPr>
                <w:sz w:val="20"/>
              </w:rPr>
              <w:t>Memory limits</w:t>
            </w:r>
          </w:p>
        </w:tc>
        <w:tc>
          <w:tcPr>
            <w:tcW w:type="dxa" w:w="4320"/>
          </w:tcPr>
          <w:p>
            <w:r>
              <w:rPr>
                <w:sz w:val="20"/>
              </w:rPr>
            </w:r>
            <w:r>
              <w:rPr>
                <w:sz w:val="20"/>
              </w:rPr>
              <w:t>Each sub-query must stay within ADX per-operator memory budget</w:t>
            </w:r>
          </w:p>
        </w:tc>
      </w:tr>
      <w:tr>
        <w:tc>
          <w:tcPr>
            <w:tcW w:type="dxa" w:w="4320"/>
          </w:tcPr>
          <w:p>
            <w:r>
              <w:rPr>
                <w:sz w:val="20"/>
              </w:rPr>
            </w:r>
            <w:r>
              <w:rPr>
                <w:sz w:val="20"/>
              </w:rPr>
              <w:t>Timeout limits</w:t>
            </w:r>
          </w:p>
        </w:tc>
        <w:tc>
          <w:tcPr>
            <w:tcW w:type="dxa" w:w="4320"/>
          </w:tcPr>
          <w:p>
            <w:r>
              <w:rPr>
                <w:sz w:val="20"/>
              </w:rPr>
            </w:r>
            <w:r>
              <w:rPr>
                <w:sz w:val="20"/>
              </w:rPr>
              <w:t>Each execution must complete within ADX management command timeout</w:t>
            </w:r>
          </w:p>
        </w:tc>
      </w:tr>
      <w:tr>
        <w:tc>
          <w:tcPr>
            <w:tcW w:type="dxa" w:w="4320"/>
          </w:tcPr>
          <w:p>
            <w:r>
              <w:rPr>
                <w:sz w:val="20"/>
              </w:rPr>
            </w:r>
            <w:r>
              <w:rPr>
                <w:sz w:val="20"/>
              </w:rPr>
              <w:t>Correctness</w:t>
            </w:r>
          </w:p>
        </w:tc>
        <w:tc>
          <w:tcPr>
            <w:tcW w:type="dxa" w:w="4320"/>
          </w:tcPr>
          <w:p>
            <w:r>
              <w:rPr>
                <w:sz w:val="20"/>
              </w:rPr>
            </w:r>
            <w:r>
              <w:rPr>
                <w:sz w:val="20"/>
              </w:rPr>
              <w:t>Join results must be identical to running the full query on X days of data</w:t>
            </w:r>
          </w:p>
        </w:tc>
      </w:tr>
    </w:tbl>
    <w:p>
      <w:pPr>
        <w:spacing w:before="120" w:after="120"/>
      </w:pPr>
    </w:p>
    <w:p>
      <w:pPr>
        <w:pStyle w:val="Heading1"/>
      </w:pPr>
      <w:r>
        <w:t>5. Current Design</w:t>
      </w:r>
    </w:p>
    <w:p>
      <w:r>
        <w:t>The current query (</w:t>
      </w:r>
      <w:r>
        <w:rPr>
          <w:rFonts w:ascii="Consolas" w:hAnsi="Consolas"/>
          <w:color w:val="404040"/>
          <w:sz w:val="18"/>
        </w:rPr>
        <w:t>Current state of SDP dashboard query.md</w:t>
      </w:r>
      <w:r>
        <w:t>) is a single monolithic KQL script that:</w:t>
      </w:r>
    </w:p>
    <w:p>
      <w:pPr>
        <w:pStyle w:val="ListNumber"/>
      </w:pPr>
      <w:r>
        <w:t xml:space="preserve">Queries </w:t>
      </w:r>
      <w:r>
        <w:rPr>
          <w:rFonts w:ascii="Consolas" w:hAnsi="Consolas"/>
          <w:color w:val="404040"/>
          <w:sz w:val="18"/>
        </w:rPr>
        <w:t>servicetreepublic.westus</w:t>
      </w:r>
      <w:r>
        <w:t xml:space="preserve"> (cross-cluster) for ServiceTree hierarchy</w:t>
      </w:r>
    </w:p>
    <w:p>
      <w:pPr>
        <w:pStyle w:val="ListNumber"/>
      </w:pPr>
      <w:r>
        <w:t xml:space="preserve">Queries </w:t>
      </w:r>
      <w:r>
        <w:rPr>
          <w:rFonts w:ascii="Consolas" w:hAnsi="Consolas"/>
          <w:color w:val="404040"/>
          <w:sz w:val="18"/>
        </w:rPr>
        <w:t>onebranchm365release.eastus</w:t>
      </w:r>
      <w:r>
        <w:t xml:space="preserve"> (local) for PipelineRecords, TimelineRecords</w:t>
      </w:r>
    </w:p>
    <w:p>
      <w:pPr>
        <w:pStyle w:val="ListNumber"/>
      </w:pPr>
      <w:r>
        <w:t xml:space="preserve">Queries </w:t>
      </w:r>
      <w:r>
        <w:rPr>
          <w:rFonts w:ascii="Consolas" w:hAnsi="Consolas"/>
          <w:color w:val="404040"/>
          <w:sz w:val="18"/>
        </w:rPr>
        <w:t>1es</w:t>
      </w:r>
      <w:r>
        <w:t xml:space="preserve"> (cross-cluster, 10+ calls) for BuildYaml and BuildYamlMap</w:t>
      </w:r>
    </w:p>
    <w:p>
      <w:pPr>
        <w:pStyle w:val="ListNumber"/>
      </w:pPr>
      <w:r>
        <w:t xml:space="preserve">Queries </w:t>
      </w:r>
      <w:r>
        <w:rPr>
          <w:rFonts w:ascii="Consolas" w:hAnsi="Consolas"/>
          <w:color w:val="404040"/>
          <w:sz w:val="18"/>
        </w:rPr>
        <w:t>s360prodro</w:t>
      </w:r>
      <w:r>
        <w:t xml:space="preserve"> (cross-cluster) for SDP action items</w:t>
      </w:r>
    </w:p>
    <w:p>
      <w:pPr>
        <w:pStyle w:val="ListNumber"/>
      </w:pPr>
      <w:r>
        <w:t>Performs 10+ left-outer joins to combine all dimensions</w:t>
      </w:r>
    </w:p>
    <w:p>
      <w:pPr>
        <w:pStyle w:val="ListNumber"/>
      </w:pPr>
      <w:r>
        <w:t xml:space="preserve">Returns only the latest run per pipeline via </w:t>
      </w:r>
      <w:r>
        <w:rPr>
          <w:rFonts w:ascii="Consolas" w:hAnsi="Consolas"/>
          <w:color w:val="404040"/>
          <w:sz w:val="18"/>
        </w:rPr>
        <w:t>arg_max(Id, *)</w:t>
      </w:r>
      <w:r/>
    </w:p>
    <w:p>
      <w:pPr>
        <w:pStyle w:val="Heading2"/>
      </w:pPr>
      <w:r>
        <w:t>Why the Monolithic Query Cannot Be Incrementally Processed</w:t>
      </w:r>
    </w:p>
    <w:p>
      <w:r>
        <w:t>The monolithic query cannot be partitioned into daily slices because:</w:t>
      </w:r>
    </w:p>
    <w:p>
      <w:pPr>
        <w:pStyle w:val="ListBullet"/>
      </w:pPr>
      <w:r/>
      <w:r>
        <w:rPr>
          <w:b/>
        </w:rPr>
        <w:t>Joins are interdependent.</w:t>
      </w:r>
      <w:r>
        <w:t xml:space="preserve"> Intermediate results feed into downstream joins — stage ring analysis feeds into pipeline onboarding, which feeds into service classification. The entire chain must execute in one pass.</w:t>
      </w:r>
    </w:p>
    <w:p>
      <w:pPr>
        <w:pStyle w:val="ListBullet"/>
      </w:pPr>
      <w:r/>
      <w:r>
        <w:rPr>
          <w:b/>
        </w:rPr>
        <w:t>Service-level classification requires the full window.</w:t>
      </w:r>
      <w:r>
        <w:t xml:space="preserve"> </w:t>
      </w:r>
      <w:r>
        <w:rPr>
          <w:rFonts w:ascii="Consolas" w:hAnsi="Consolas"/>
          <w:color w:val="404040"/>
          <w:sz w:val="18"/>
        </w:rPr>
        <w:t>isCosmicService</w:t>
      </w:r>
      <w:r>
        <w:t xml:space="preserve"> and </w:t>
      </w:r>
      <w:r>
        <w:rPr>
          <w:rFonts w:ascii="Consolas" w:hAnsi="Consolas"/>
          <w:color w:val="404040"/>
          <w:sz w:val="18"/>
        </w:rPr>
        <w:t>Ev2ServiceType</w:t>
      </w:r>
      <w:r>
        <w:t xml:space="preserve"> aggregate across ALL pipelines for a service. Processing day 1 alone would misclassify services that have pipelines running on other days.</w:t>
      </w:r>
    </w:p>
    <w:p>
      <w:pPr>
        <w:pStyle w:val="ListBullet"/>
      </w:pPr>
      <w:r/>
      <w:r>
        <w:rPr>
          <w:b/>
        </w:rPr>
        <w:t>"Latest YAML" retroactive interpretation.</w:t>
      </w:r>
      <w:r>
        <w:t xml:space="preserve"> The old query uses </w:t>
      </w:r>
      <w:r>
        <w:rPr>
          <w:rFonts w:ascii="Consolas" w:hAnsi="Consolas"/>
          <w:color w:val="404040"/>
          <w:sz w:val="18"/>
        </w:rPr>
        <w:t>arg_max(BuildId, YamlId)</w:t>
      </w:r>
      <w:r>
        <w:t xml:space="preserve"> to get the single latest YAML per pipeline, then applies it to all historical runs. A YAML change retroactively alters all rows. This global dependency prevents day-by-day processing.</w:t>
      </w:r>
    </w:p>
    <w:p>
      <w:pPr>
        <w:pStyle w:val="ListBullet"/>
      </w:pPr>
      <w:r/>
      <w:r>
        <w:rPr>
          <w:b/>
        </w:rPr>
        <w:t>Stage properties derived from YAML at query time.</w:t>
      </w:r>
      <w:r>
        <w:t xml:space="preserve"> Ring, namespace, cloud, and task flags were extracted from YAML definitions (not runtime data), creating a dependency on the full YAML history.</w:t>
      </w:r>
    </w:p>
    <w:p>
      <w:pPr>
        <w:spacing w:before="120" w:after="120"/>
      </w:pPr>
    </w:p>
    <w:p>
      <w:pPr>
        <w:pStyle w:val="Heading1"/>
      </w:pPr>
      <w:r>
        <w:t>6. In Scope</w:t>
      </w:r>
    </w:p>
    <w:p>
      <w:pPr>
        <w:pStyle w:val="ListBullet"/>
      </w:pPr>
      <w:r>
        <w:t>Decomposition of the monolithic query into 3 modular sub-queries</w:t>
      </w:r>
    </w:p>
    <w:p>
      <w:pPr>
        <w:pStyle w:val="ListBullet"/>
      </w:pPr>
      <w:r>
        <w:t>Schema design for each sub-table with defined keys and join relationships</w:t>
      </w:r>
    </w:p>
    <w:p>
      <w:pPr>
        <w:pStyle w:val="ListBullet"/>
      </w:pPr>
      <w:r>
        <w:t>ADF daily pipeline for incremental materialization</w:t>
      </w:r>
    </w:p>
    <w:p>
      <w:pPr>
        <w:pStyle w:val="ListBullet"/>
      </w:pPr>
      <w:r>
        <w:t>Initial backfill strategy (chunked by week)</w:t>
      </w:r>
    </w:p>
    <w:p>
      <w:pPr>
        <w:pStyle w:val="ListBullet"/>
      </w:pPr>
      <w:r>
        <w:t>Deduplication and late-data handling</w:t>
      </w:r>
    </w:p>
    <w:p>
      <w:pPr>
        <w:pStyle w:val="Heading1"/>
      </w:pPr>
      <w:r>
        <w:t>7. Out of Scope</w:t>
      </w:r>
    </w:p>
    <w:p>
      <w:pPr>
        <w:pStyle w:val="ListBullet"/>
      </w:pPr>
      <w:r/>
      <w:r>
        <w:rPr>
          <w:b/>
        </w:rPr>
        <w:t>s360prodro SDP action items / wave classification</w:t>
      </w:r>
      <w:r>
        <w:t xml:space="preserve"> — can be added as a future enrichment join (small cross-cluster dataset)</w:t>
      </w:r>
    </w:p>
    <w:p>
      <w:pPr>
        <w:pStyle w:val="ListBullet"/>
      </w:pPr>
      <w:r>
        <w:t>PowerBI report redesign</w:t>
      </w:r>
    </w:p>
    <w:p>
      <w:pPr>
        <w:pStyle w:val="ListBullet"/>
      </w:pPr>
      <w:r>
        <w:t xml:space="preserve">Materialized view design (e.g., </w:t>
      </w:r>
      <w:r>
        <w:rPr>
          <w:rFonts w:ascii="Consolas" w:hAnsi="Consolas"/>
          <w:color w:val="404040"/>
          <w:sz w:val="18"/>
        </w:rPr>
        <w:t>SDP_LatestRun</w:t>
      </w:r>
      <w:r>
        <w:t>) — covered separately</w:t>
      </w:r>
    </w:p>
    <w:p>
      <w:pPr>
        <w:pStyle w:val="ListBullet"/>
      </w:pPr>
      <w:r>
        <w:t>Service-level classification tables (isCosmicService, Ev2ServiceType) — addressed as a periodic recompute, not part of the daily incremental</w:t>
      </w:r>
    </w:p>
    <w:p>
      <w:pPr>
        <w:spacing w:before="120" w:after="120"/>
      </w:pPr>
    </w:p>
    <w:p>
      <w:pPr>
        <w:pStyle w:val="Heading1"/>
      </w:pPr>
      <w:r>
        <w:t>8. Design Proposal</w:t>
      </w:r>
    </w:p>
    <w:p>
      <w:pPr>
        <w:pStyle w:val="Heading2"/>
      </w:pPr>
      <w:r>
        <w:t>8.1 Why Decompose into 3 Tables</w:t>
      </w:r>
    </w:p>
    <w:p>
      <w:r>
        <w:t xml:space="preserve">The key insight is that while the monolithic query cannot be partitioned by day, </w:t>
      </w:r>
      <w:r>
        <w:rPr>
          <w:b/>
        </w:rPr>
        <w:t>independent sub-queries can</w:t>
      </w:r>
      <w:r>
        <w:t>. By decomposing the monolith into sub-queries where each is self-contained per day, we enable incremental processing:</w:t>
      </w:r>
    </w:p>
    <w:p>
      <w:pPr>
        <w:pStyle w:val="ListBullet"/>
      </w:pPr>
      <w:r>
        <w:t>Each sub-query reads from a single data source (PipelineRecords, BuildYamlMapSnapshot, or Logs/TimelineRecords)</w:t>
      </w:r>
    </w:p>
    <w:p>
      <w:pPr>
        <w:pStyle w:val="ListBullet"/>
      </w:pPr>
      <w:r>
        <w:t>All join keys are scoped to a single run — a BuildId belongs to exactly one day</w:t>
      </w:r>
    </w:p>
    <w:p>
      <w:pPr>
        <w:pStyle w:val="ListBullet"/>
      </w:pPr>
      <w:r>
        <w:t>No sub-query needs data from other days to produce correct output for its day</w:t>
      </w:r>
    </w:p>
    <w:p>
      <w:pPr>
        <w:pStyle w:val="ListBullet"/>
      </w:pPr>
      <w:r>
        <w:t xml:space="preserve">Daily results can be joined and appended iteratively: </w:t>
      </w:r>
      <w:r>
        <w:rPr>
          <w:rFonts w:ascii="Consolas" w:hAnsi="Consolas"/>
          <w:color w:val="404040"/>
          <w:sz w:val="18"/>
        </w:rPr>
        <w:t>Table = Table ∪ Result_N</w:t>
      </w:r>
      <w:r/>
    </w:p>
    <w:p>
      <w:r>
        <w:t>This is impossible with the old monolithic query because its joins create cross-day dependencies (e.g., service classification aggregates across all days).</w:t>
      </w:r>
    </w:p>
    <w:p>
      <w:pPr>
        <w:pStyle w:val="Heading2"/>
      </w:pPr>
      <w:r>
        <w:t>8.2 The 3-Table Architecture</w:t>
      </w:r>
    </w:p>
    <w:p>
      <w:pPr>
        <w:pStyle w:val="Heading3"/>
      </w:pPr>
      <w:r>
        <w:t>Table 1: all-stage-runs (Scoping)</w:t>
      </w:r>
    </w:p>
    <w:p>
      <w:r>
        <w:t>Defines the universe of in-scope stages. Filters to above-ARM MOBR pipelines, excluding test accounts, AAD, and below-ARM pipelines.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Pr>
                <w:sz w:val="20"/>
              </w:rPr>
            </w:r>
            <w:r>
              <w:rPr>
                <w:sz w:val="20"/>
              </w:rPr>
              <w:t>PipelineUrl</w:t>
            </w:r>
          </w:p>
        </w:tc>
        <w:tc>
          <w:tcPr>
            <w:tcW w:type="dxa" w:w="2880"/>
          </w:tcPr>
          <w:p>
            <w:r>
              <w:rPr>
                <w:sz w:val="20"/>
              </w:rPr>
            </w:r>
            <w:r>
              <w:rPr>
                <w:sz w:val="20"/>
              </w:rPr>
              <w:t>string</w:t>
            </w:r>
          </w:p>
        </w:tc>
        <w:tc>
          <w:tcPr>
            <w:tcW w:type="dxa" w:w="2880"/>
          </w:tcPr>
          <w:p>
            <w:r>
              <w:rPr>
                <w:sz w:val="20"/>
              </w:rPr>
            </w:r>
            <w:r>
              <w:rPr>
                <w:sz w:val="20"/>
              </w:rPr>
              <w:t>ADO pipeline URL</w:t>
            </w:r>
          </w:p>
        </w:tc>
      </w:tr>
      <w:tr>
        <w:tc>
          <w:tcPr>
            <w:tcW w:type="dxa" w:w="2880"/>
          </w:tcPr>
          <w:p>
            <w:r>
              <w:rPr>
                <w:sz w:val="20"/>
              </w:rPr>
            </w:r>
            <w:r>
              <w:rPr>
                <w:sz w:val="20"/>
              </w:rPr>
              <w:t>BuildId</w:t>
            </w:r>
          </w:p>
        </w:tc>
        <w:tc>
          <w:tcPr>
            <w:tcW w:type="dxa" w:w="2880"/>
          </w:tcPr>
          <w:p>
            <w:r>
              <w:rPr>
                <w:sz w:val="20"/>
              </w:rPr>
            </w:r>
            <w:r>
              <w:rPr>
                <w:sz w:val="20"/>
              </w:rPr>
              <w:t>long</w:t>
            </w:r>
          </w:p>
        </w:tc>
        <w:tc>
          <w:tcPr>
            <w:tcW w:type="dxa" w:w="2880"/>
          </w:tcPr>
          <w:p>
            <w:r>
              <w:rPr>
                <w:sz w:val="20"/>
              </w:rPr>
            </w:r>
            <w:r>
              <w:rPr>
                <w:sz w:val="20"/>
              </w:rPr>
              <w:t>Run/build identifier</w:t>
            </w:r>
          </w:p>
        </w:tc>
      </w:tr>
      <w:tr>
        <w:tc>
          <w:tcPr>
            <w:tcW w:type="dxa" w:w="2880"/>
          </w:tcPr>
          <w:p>
            <w:r>
              <w:rPr>
                <w:sz w:val="20"/>
              </w:rPr>
            </w:r>
            <w:r>
              <w:rPr>
                <w:sz w:val="20"/>
              </w:rPr>
              <w:t>ServiceTreeGuid</w:t>
            </w:r>
          </w:p>
        </w:tc>
        <w:tc>
          <w:tcPr>
            <w:tcW w:type="dxa" w:w="2880"/>
          </w:tcPr>
          <w:p>
            <w:r>
              <w:rPr>
                <w:sz w:val="20"/>
              </w:rPr>
            </w:r>
            <w:r>
              <w:rPr>
                <w:sz w:val="20"/>
              </w:rPr>
              <w:t>string</w:t>
            </w:r>
          </w:p>
        </w:tc>
        <w:tc>
          <w:tcPr>
            <w:tcW w:type="dxa" w:w="2880"/>
          </w:tcPr>
          <w:p>
            <w:r>
              <w:rPr>
                <w:sz w:val="20"/>
              </w:rPr>
            </w:r>
            <w:r>
              <w:rPr>
                <w:sz w:val="20"/>
              </w:rPr>
              <w:t>Effective ServiceId for this stage</w:t>
            </w:r>
          </w:p>
        </w:tc>
      </w:tr>
      <w:tr>
        <w:tc>
          <w:tcPr>
            <w:tcW w:type="dxa" w:w="2880"/>
          </w:tcPr>
          <w:p>
            <w:r>
              <w:rPr>
                <w:sz w:val="20"/>
              </w:rPr>
            </w:r>
            <w:r>
              <w:rPr>
                <w:sz w:val="20"/>
              </w:rPr>
              <w:t>StageName</w:t>
            </w:r>
          </w:p>
        </w:tc>
        <w:tc>
          <w:tcPr>
            <w:tcW w:type="dxa" w:w="2880"/>
          </w:tcPr>
          <w:p>
            <w:r>
              <w:rPr>
                <w:sz w:val="20"/>
              </w:rPr>
            </w:r>
            <w:r>
              <w:rPr>
                <w:sz w:val="20"/>
              </w:rPr>
              <w:t>string</w:t>
            </w:r>
          </w:p>
        </w:tc>
        <w:tc>
          <w:tcPr>
            <w:tcW w:type="dxa" w:w="2880"/>
          </w:tcPr>
          <w:p>
            <w:r>
              <w:rPr>
                <w:sz w:val="20"/>
              </w:rPr>
            </w:r>
            <w:r>
              <w:rPr>
                <w:sz w:val="20"/>
              </w:rPr>
              <w:t>Deployment stage name</w:t>
            </w:r>
          </w:p>
        </w:tc>
      </w:tr>
      <w:tr>
        <w:tc>
          <w:tcPr>
            <w:tcW w:type="dxa" w:w="2880"/>
          </w:tcPr>
          <w:p>
            <w:r>
              <w:rPr>
                <w:sz w:val="20"/>
              </w:rPr>
            </w:r>
            <w:r>
              <w:rPr>
                <w:sz w:val="20"/>
              </w:rPr>
              <w:t>ServiceGroupName</w:t>
            </w:r>
          </w:p>
        </w:tc>
        <w:tc>
          <w:tcPr>
            <w:tcW w:type="dxa" w:w="2880"/>
          </w:tcPr>
          <w:p>
            <w:r>
              <w:rPr>
                <w:sz w:val="20"/>
              </w:rPr>
            </w:r>
            <w:r>
              <w:rPr>
                <w:sz w:val="20"/>
              </w:rPr>
              <w:t>string</w:t>
            </w:r>
          </w:p>
        </w:tc>
        <w:tc>
          <w:tcPr>
            <w:tcW w:type="dxa" w:w="2880"/>
          </w:tcPr>
          <w:p>
            <w:r>
              <w:rPr>
                <w:sz w:val="20"/>
              </w:rPr>
            </w:r>
            <w:r>
              <w:rPr>
                <w:sz w:val="20"/>
              </w:rPr>
              <w:t>Service group from PipelineRecords</w:t>
            </w:r>
          </w:p>
        </w:tc>
      </w:tr>
      <w:tr>
        <w:tc>
          <w:tcPr>
            <w:tcW w:type="dxa" w:w="2880"/>
          </w:tcPr>
          <w:p>
            <w:r>
              <w:rPr>
                <w:sz w:val="20"/>
              </w:rPr>
            </w:r>
            <w:r>
              <w:rPr>
                <w:sz w:val="20"/>
              </w:rPr>
              <w:t>UniqueStageId</w:t>
            </w:r>
          </w:p>
        </w:tc>
        <w:tc>
          <w:tcPr>
            <w:tcW w:type="dxa" w:w="2880"/>
          </w:tcPr>
          <w:p>
            <w:r>
              <w:rPr>
                <w:sz w:val="20"/>
              </w:rPr>
            </w:r>
            <w:r>
              <w:rPr>
                <w:sz w:val="20"/>
              </w:rPr>
              <w:t>string</w:t>
            </w:r>
          </w:p>
        </w:tc>
        <w:tc>
          <w:tcPr>
            <w:tcW w:type="dxa" w:w="2880"/>
          </w:tcPr>
          <w:p>
            <w:r>
              <w:rPr>
                <w:sz w:val="20"/>
              </w:rPr>
            </w:r>
            <w:r>
              <w:rPr>
                <w:sz w:val="20"/>
              </w:rPr>
              <w:t>Composite key</w:t>
            </w:r>
          </w:p>
        </w:tc>
      </w:tr>
      <w:tr>
        <w:tc>
          <w:tcPr>
            <w:tcW w:type="dxa" w:w="2880"/>
          </w:tcPr>
          <w:p>
            <w:r>
              <w:rPr>
                <w:sz w:val="20"/>
              </w:rPr>
            </w:r>
            <w:r>
              <w:rPr>
                <w:sz w:val="20"/>
              </w:rPr>
              <w:t>AdoAccount</w:t>
            </w:r>
          </w:p>
        </w:tc>
        <w:tc>
          <w:tcPr>
            <w:tcW w:type="dxa" w:w="2880"/>
          </w:tcPr>
          <w:p>
            <w:r>
              <w:rPr>
                <w:sz w:val="20"/>
              </w:rPr>
            </w:r>
            <w:r>
              <w:rPr>
                <w:sz w:val="20"/>
              </w:rPr>
              <w:t>string</w:t>
            </w:r>
          </w:p>
        </w:tc>
        <w:tc>
          <w:tcPr>
            <w:tcW w:type="dxa" w:w="2880"/>
          </w:tcPr>
          <w:p>
            <w:r>
              <w:rPr>
                <w:sz w:val="20"/>
              </w:rPr>
            </w:r>
            <w:r>
              <w:rPr>
                <w:sz w:val="20"/>
              </w:rPr>
              <w:t>ADO account name</w:t>
            </w:r>
          </w:p>
        </w:tc>
      </w:tr>
      <w:tr>
        <w:tc>
          <w:tcPr>
            <w:tcW w:type="dxa" w:w="2880"/>
          </w:tcPr>
          <w:p>
            <w:r>
              <w:rPr>
                <w:sz w:val="20"/>
              </w:rPr>
            </w:r>
            <w:r>
              <w:rPr>
                <w:sz w:val="20"/>
              </w:rPr>
              <w:t>ProjectId</w:t>
            </w:r>
          </w:p>
        </w:tc>
        <w:tc>
          <w:tcPr>
            <w:tcW w:type="dxa" w:w="2880"/>
          </w:tcPr>
          <w:p>
            <w:r>
              <w:rPr>
                <w:sz w:val="20"/>
              </w:rPr>
            </w:r>
            <w:r>
              <w:rPr>
                <w:sz w:val="20"/>
              </w:rPr>
              <w:t>string</w:t>
            </w:r>
          </w:p>
        </w:tc>
        <w:tc>
          <w:tcPr>
            <w:tcW w:type="dxa" w:w="2880"/>
          </w:tcPr>
          <w:p>
            <w:r>
              <w:rPr>
                <w:sz w:val="20"/>
              </w:rPr>
            </w:r>
            <w:r>
              <w:rPr>
                <w:sz w:val="20"/>
              </w:rPr>
              <w:t>ADO project GUID</w:t>
            </w:r>
          </w:p>
        </w:tc>
      </w:tr>
      <w:tr>
        <w:tc>
          <w:tcPr>
            <w:tcW w:type="dxa" w:w="2880"/>
          </w:tcPr>
          <w:p>
            <w:r>
              <w:rPr>
                <w:sz w:val="20"/>
              </w:rPr>
            </w:r>
            <w:r>
              <w:rPr>
                <w:sz w:val="20"/>
              </w:rPr>
              <w:t>ProjectName</w:t>
            </w:r>
          </w:p>
        </w:tc>
        <w:tc>
          <w:tcPr>
            <w:tcW w:type="dxa" w:w="2880"/>
          </w:tcPr>
          <w:p>
            <w:r>
              <w:rPr>
                <w:sz w:val="20"/>
              </w:rPr>
            </w:r>
            <w:r>
              <w:rPr>
                <w:sz w:val="20"/>
              </w:rPr>
              <w:t>string</w:t>
            </w:r>
          </w:p>
        </w:tc>
        <w:tc>
          <w:tcPr>
            <w:tcW w:type="dxa" w:w="2880"/>
          </w:tcPr>
          <w:p>
            <w:r>
              <w:rPr>
                <w:sz w:val="20"/>
              </w:rPr>
            </w:r>
            <w:r>
              <w:rPr>
                <w:sz w:val="20"/>
              </w:rPr>
              <w:t>ADO project display name</w:t>
            </w:r>
          </w:p>
        </w:tc>
      </w:tr>
    </w:tbl>
    <w:p>
      <w:r/>
      <w:r>
        <w:rPr>
          <w:b/>
        </w:rPr>
        <w:t>Primary Key:</w:t>
      </w:r>
      <w:r>
        <w:t xml:space="preserve"> </w:t>
      </w:r>
      <w:r>
        <w:rPr>
          <w:rFonts w:ascii="Consolas" w:hAnsi="Consolas"/>
          <w:color w:val="404040"/>
          <w:sz w:val="18"/>
        </w:rPr>
        <w:t>(PipelineUrl, BuildId, StageName)</w:t>
      </w:r>
      <w:r>
        <w:t xml:space="preserve"> / </w:t>
      </w:r>
      <w:r>
        <w:rPr>
          <w:rFonts w:ascii="Consolas" w:hAnsi="Consolas"/>
          <w:color w:val="404040"/>
          <w:sz w:val="18"/>
        </w:rPr>
        <w:t>UniqueStageId</w:t>
      </w:r>
      <w:r/>
    </w:p>
    <w:p>
      <w:pPr>
        <w:pStyle w:val="Heading3"/>
      </w:pPr>
      <w:r>
        <w:t>Table 2: yaml-to-run-list (Bridge)</w:t>
      </w:r>
    </w:p>
    <w:p>
      <w:r>
        <w:t>Maps each run to its YAML definition. Enrichment only — no downstream join depends on YamlId.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Pr>
                <w:sz w:val="20"/>
              </w:rPr>
            </w:r>
            <w:r>
              <w:rPr>
                <w:sz w:val="20"/>
              </w:rPr>
              <w:t>PipelineUrl</w:t>
            </w:r>
          </w:p>
        </w:tc>
        <w:tc>
          <w:tcPr>
            <w:tcW w:type="dxa" w:w="2880"/>
          </w:tcPr>
          <w:p>
            <w:r>
              <w:rPr>
                <w:sz w:val="20"/>
              </w:rPr>
            </w:r>
            <w:r>
              <w:rPr>
                <w:sz w:val="20"/>
              </w:rPr>
              <w:t>string</w:t>
            </w:r>
          </w:p>
        </w:tc>
        <w:tc>
          <w:tcPr>
            <w:tcW w:type="dxa" w:w="2880"/>
          </w:tcPr>
          <w:p>
            <w:r>
              <w:rPr>
                <w:sz w:val="20"/>
              </w:rPr>
            </w:r>
            <w:r>
              <w:rPr>
                <w:sz w:val="20"/>
              </w:rPr>
              <w:t>ADO pipeline URL</w:t>
            </w:r>
          </w:p>
        </w:tc>
      </w:tr>
      <w:tr>
        <w:tc>
          <w:tcPr>
            <w:tcW w:type="dxa" w:w="2880"/>
          </w:tcPr>
          <w:p>
            <w:r>
              <w:rPr>
                <w:sz w:val="20"/>
              </w:rPr>
            </w:r>
            <w:r>
              <w:rPr>
                <w:sz w:val="20"/>
              </w:rPr>
              <w:t>BuildId</w:t>
            </w:r>
          </w:p>
        </w:tc>
        <w:tc>
          <w:tcPr>
            <w:tcW w:type="dxa" w:w="2880"/>
          </w:tcPr>
          <w:p>
            <w:r>
              <w:rPr>
                <w:sz w:val="20"/>
              </w:rPr>
            </w:r>
            <w:r>
              <w:rPr>
                <w:sz w:val="20"/>
              </w:rPr>
              <w:t>long</w:t>
            </w:r>
          </w:p>
        </w:tc>
        <w:tc>
          <w:tcPr>
            <w:tcW w:type="dxa" w:w="2880"/>
          </w:tcPr>
          <w:p>
            <w:r>
              <w:rPr>
                <w:sz w:val="20"/>
              </w:rPr>
            </w:r>
            <w:r>
              <w:rPr>
                <w:sz w:val="20"/>
              </w:rPr>
              <w:t>Run/build identifier</w:t>
            </w:r>
          </w:p>
        </w:tc>
      </w:tr>
      <w:tr>
        <w:tc>
          <w:tcPr>
            <w:tcW w:type="dxa" w:w="2880"/>
          </w:tcPr>
          <w:p>
            <w:r>
              <w:rPr>
                <w:sz w:val="20"/>
              </w:rPr>
            </w:r>
            <w:r>
              <w:rPr>
                <w:sz w:val="20"/>
              </w:rPr>
              <w:t>YamlId</w:t>
            </w:r>
          </w:p>
        </w:tc>
        <w:tc>
          <w:tcPr>
            <w:tcW w:type="dxa" w:w="2880"/>
          </w:tcPr>
          <w:p>
            <w:r>
              <w:rPr>
                <w:sz w:val="20"/>
              </w:rPr>
            </w:r>
            <w:r>
              <w:rPr>
                <w:sz w:val="20"/>
              </w:rPr>
              <w:t>string</w:t>
            </w:r>
          </w:p>
        </w:tc>
        <w:tc>
          <w:tcPr>
            <w:tcW w:type="dxa" w:w="2880"/>
          </w:tcPr>
          <w:p>
            <w:r>
              <w:rPr>
                <w:sz w:val="20"/>
              </w:rPr>
            </w:r>
            <w:r>
              <w:rPr>
                <w:sz w:val="20"/>
              </w:rPr>
              <w:t>YAML definition identifier</w:t>
            </w:r>
          </w:p>
        </w:tc>
      </w:tr>
    </w:tbl>
    <w:p>
      <w:r/>
      <w:r>
        <w:rPr>
          <w:b/>
        </w:rPr>
        <w:t>Primary Key:</w:t>
      </w:r>
      <w:r>
        <w:t xml:space="preserve"> </w:t>
      </w:r>
      <w:r>
        <w:rPr>
          <w:rFonts w:ascii="Consolas" w:hAnsi="Consolas"/>
          <w:color w:val="404040"/>
          <w:sz w:val="18"/>
        </w:rPr>
        <w:t>(PipelineUrl, BuildId)</w:t>
      </w:r>
      <w:r/>
    </w:p>
    <w:p>
      <w:pPr>
        <w:pStyle w:val="Heading3"/>
      </w:pPr>
      <w:r>
        <w:t>Table 3: stage-telemetry-policy-compliance (Runtime Enrichment)</w:t>
      </w:r>
    </w:p>
    <w:p>
      <w:r>
        <w:t>All runtime data: policy compliance, health checks, stage properties, and task classification flags. Sourced from Logs and TimelineRecords.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Type</w:t>
            </w:r>
          </w:p>
        </w:tc>
        <w:tc>
          <w:tcPr>
            <w:tcW w:type="dxa" w:w="2880"/>
          </w:tcPr>
          <w:p>
            <w:r/>
            <w:r>
              <w:rPr>
                <w:b/>
                <w:sz w:val="20"/>
              </w:rPr>
              <w:t>Description</w:t>
            </w:r>
          </w:p>
        </w:tc>
      </w:tr>
      <w:tr>
        <w:tc>
          <w:tcPr>
            <w:tcW w:type="dxa" w:w="2880"/>
          </w:tcPr>
          <w:p>
            <w:r>
              <w:rPr>
                <w:sz w:val="20"/>
              </w:rPr>
            </w:r>
            <w:r>
              <w:rPr>
                <w:sz w:val="20"/>
              </w:rPr>
              <w:t>PipelineUrl</w:t>
            </w:r>
          </w:p>
        </w:tc>
        <w:tc>
          <w:tcPr>
            <w:tcW w:type="dxa" w:w="2880"/>
          </w:tcPr>
          <w:p>
            <w:r>
              <w:rPr>
                <w:sz w:val="20"/>
              </w:rPr>
            </w:r>
            <w:r>
              <w:rPr>
                <w:sz w:val="20"/>
              </w:rPr>
              <w:t>string</w:t>
            </w:r>
          </w:p>
        </w:tc>
        <w:tc>
          <w:tcPr>
            <w:tcW w:type="dxa" w:w="2880"/>
          </w:tcPr>
          <w:p>
            <w:r>
              <w:rPr>
                <w:sz w:val="20"/>
              </w:rPr>
            </w:r>
            <w:r>
              <w:rPr>
                <w:sz w:val="20"/>
              </w:rPr>
              <w:t>ADO pipeline URL</w:t>
            </w:r>
          </w:p>
        </w:tc>
      </w:tr>
      <w:tr>
        <w:tc>
          <w:tcPr>
            <w:tcW w:type="dxa" w:w="2880"/>
          </w:tcPr>
          <w:p>
            <w:r>
              <w:rPr>
                <w:sz w:val="20"/>
              </w:rPr>
            </w:r>
            <w:r>
              <w:rPr>
                <w:sz w:val="20"/>
              </w:rPr>
              <w:t>StageName</w:t>
            </w:r>
          </w:p>
        </w:tc>
        <w:tc>
          <w:tcPr>
            <w:tcW w:type="dxa" w:w="2880"/>
          </w:tcPr>
          <w:p>
            <w:r>
              <w:rPr>
                <w:sz w:val="20"/>
              </w:rPr>
            </w:r>
            <w:r>
              <w:rPr>
                <w:sz w:val="20"/>
              </w:rPr>
              <w:t>string</w:t>
            </w:r>
          </w:p>
        </w:tc>
        <w:tc>
          <w:tcPr>
            <w:tcW w:type="dxa" w:w="2880"/>
          </w:tcPr>
          <w:p>
            <w:r>
              <w:rPr>
                <w:sz w:val="20"/>
              </w:rPr>
            </w:r>
            <w:r>
              <w:rPr>
                <w:sz w:val="20"/>
              </w:rPr>
              <w:t>Stage name</w:t>
            </w:r>
          </w:p>
        </w:tc>
      </w:tr>
      <w:tr>
        <w:tc>
          <w:tcPr>
            <w:tcW w:type="dxa" w:w="2880"/>
          </w:tcPr>
          <w:p>
            <w:r>
              <w:rPr>
                <w:sz w:val="20"/>
              </w:rPr>
            </w:r>
            <w:r>
              <w:rPr>
                <w:sz w:val="20"/>
              </w:rPr>
              <w:t>UniqueStageId</w:t>
            </w:r>
          </w:p>
        </w:tc>
        <w:tc>
          <w:tcPr>
            <w:tcW w:type="dxa" w:w="2880"/>
          </w:tcPr>
          <w:p>
            <w:r>
              <w:rPr>
                <w:sz w:val="20"/>
              </w:rPr>
            </w:r>
            <w:r>
              <w:rPr>
                <w:sz w:val="20"/>
              </w:rPr>
              <w:t>string</w:t>
            </w:r>
          </w:p>
        </w:tc>
        <w:tc>
          <w:tcPr>
            <w:tcW w:type="dxa" w:w="2880"/>
          </w:tcPr>
          <w:p>
            <w:r>
              <w:rPr>
                <w:sz w:val="20"/>
              </w:rPr>
            </w:r>
            <w:r>
              <w:rPr>
                <w:sz w:val="20"/>
              </w:rPr>
              <w:t>Composite key</w:t>
            </w:r>
          </w:p>
        </w:tc>
      </w:tr>
      <w:tr>
        <w:tc>
          <w:tcPr>
            <w:tcW w:type="dxa" w:w="2880"/>
          </w:tcPr>
          <w:p>
            <w:r>
              <w:rPr>
                <w:sz w:val="20"/>
              </w:rPr>
            </w:r>
            <w:r>
              <w:rPr>
                <w:sz w:val="20"/>
              </w:rPr>
              <w:t>RingBakeTime_Status</w:t>
            </w:r>
          </w:p>
        </w:tc>
        <w:tc>
          <w:tcPr>
            <w:tcW w:type="dxa" w:w="2880"/>
          </w:tcPr>
          <w:p>
            <w:r>
              <w:rPr>
                <w:sz w:val="20"/>
              </w:rPr>
            </w:r>
            <w:r>
              <w:rPr>
                <w:sz w:val="20"/>
              </w:rPr>
              <w:t>int</w:t>
            </w:r>
          </w:p>
        </w:tc>
        <w:tc>
          <w:tcPr>
            <w:tcW w:type="dxa" w:w="2880"/>
          </w:tcPr>
          <w:p>
            <w:r>
              <w:rPr>
                <w:sz w:val="20"/>
              </w:rPr>
            </w:r>
            <w:r>
              <w:rPr>
                <w:sz w:val="20"/>
              </w:rPr>
              <w:t>Policy status (1=Pass, 2=Fail, 3=NotRun, 4=Missing)</w:t>
            </w:r>
          </w:p>
        </w:tc>
      </w:tr>
      <w:tr>
        <w:tc>
          <w:tcPr>
            <w:tcW w:type="dxa" w:w="2880"/>
          </w:tcPr>
          <w:p>
            <w:r>
              <w:rPr>
                <w:sz w:val="20"/>
              </w:rPr>
            </w:r>
            <w:r>
              <w:rPr>
                <w:sz w:val="20"/>
              </w:rPr>
              <w:t>RingProgression_Status</w:t>
            </w:r>
          </w:p>
        </w:tc>
        <w:tc>
          <w:tcPr>
            <w:tcW w:type="dxa" w:w="2880"/>
          </w:tcPr>
          <w:p>
            <w:r>
              <w:rPr>
                <w:sz w:val="20"/>
              </w:rPr>
            </w:r>
            <w:r>
              <w:rPr>
                <w:sz w:val="20"/>
              </w:rPr>
              <w:t>int</w:t>
            </w:r>
          </w:p>
        </w:tc>
        <w:tc>
          <w:tcPr>
            <w:tcW w:type="dxa" w:w="2880"/>
          </w:tcPr>
          <w:p>
            <w:r>
              <w:rPr>
                <w:sz w:val="20"/>
              </w:rPr>
            </w:r>
            <w:r>
              <w:rPr>
                <w:sz w:val="20"/>
              </w:rPr>
              <w:t>Policy status</w:t>
            </w:r>
          </w:p>
        </w:tc>
      </w:tr>
      <w:tr>
        <w:tc>
          <w:tcPr>
            <w:tcW w:type="dxa" w:w="2880"/>
          </w:tcPr>
          <w:p>
            <w:r>
              <w:rPr>
                <w:sz w:val="20"/>
              </w:rPr>
            </w:r>
            <w:r>
              <w:rPr>
                <w:sz w:val="20"/>
              </w:rPr>
              <w:t>StageBakeTime_Status</w:t>
            </w:r>
          </w:p>
        </w:tc>
        <w:tc>
          <w:tcPr>
            <w:tcW w:type="dxa" w:w="2880"/>
          </w:tcPr>
          <w:p>
            <w:r>
              <w:rPr>
                <w:sz w:val="20"/>
              </w:rPr>
            </w:r>
            <w:r>
              <w:rPr>
                <w:sz w:val="20"/>
              </w:rPr>
              <w:t>int</w:t>
            </w:r>
          </w:p>
        </w:tc>
        <w:tc>
          <w:tcPr>
            <w:tcW w:type="dxa" w:w="2880"/>
          </w:tcPr>
          <w:p>
            <w:r>
              <w:rPr>
                <w:sz w:val="20"/>
              </w:rPr>
            </w:r>
            <w:r>
              <w:rPr>
                <w:sz w:val="20"/>
              </w:rPr>
              <w:t>Policy status</w:t>
            </w:r>
          </w:p>
        </w:tc>
      </w:tr>
      <w:tr>
        <w:tc>
          <w:tcPr>
            <w:tcW w:type="dxa" w:w="2880"/>
          </w:tcPr>
          <w:p>
            <w:r>
              <w:rPr>
                <w:sz w:val="20"/>
              </w:rPr>
            </w:r>
            <w:r>
              <w:rPr>
                <w:sz w:val="20"/>
              </w:rPr>
              <w:t>MinStageCount_Status</w:t>
            </w:r>
          </w:p>
        </w:tc>
        <w:tc>
          <w:tcPr>
            <w:tcW w:type="dxa" w:w="2880"/>
          </w:tcPr>
          <w:p>
            <w:r>
              <w:rPr>
                <w:sz w:val="20"/>
              </w:rPr>
            </w:r>
            <w:r>
              <w:rPr>
                <w:sz w:val="20"/>
              </w:rPr>
              <w:t>int</w:t>
            </w:r>
          </w:p>
        </w:tc>
        <w:tc>
          <w:tcPr>
            <w:tcW w:type="dxa" w:w="2880"/>
          </w:tcPr>
          <w:p>
            <w:r>
              <w:rPr>
                <w:sz w:val="20"/>
              </w:rPr>
            </w:r>
            <w:r>
              <w:rPr>
                <w:sz w:val="20"/>
              </w:rPr>
              <w:t>Policy status</w:t>
            </w:r>
          </w:p>
        </w:tc>
      </w:tr>
      <w:tr>
        <w:tc>
          <w:tcPr>
            <w:tcW w:type="dxa" w:w="2880"/>
          </w:tcPr>
          <w:p>
            <w:r>
              <w:rPr>
                <w:sz w:val="20"/>
              </w:rPr>
            </w:r>
            <w:r>
              <w:rPr>
                <w:sz w:val="20"/>
              </w:rPr>
              <w:t>HealthEnabled</w:t>
            </w:r>
          </w:p>
        </w:tc>
        <w:tc>
          <w:tcPr>
            <w:tcW w:type="dxa" w:w="2880"/>
          </w:tcPr>
          <w:p>
            <w:r>
              <w:rPr>
                <w:sz w:val="20"/>
              </w:rPr>
            </w:r>
            <w:r>
              <w:rPr>
                <w:sz w:val="20"/>
              </w:rPr>
              <w:t>int</w:t>
            </w:r>
          </w:p>
        </w:tc>
        <w:tc>
          <w:tcPr>
            <w:tcW w:type="dxa" w:w="2880"/>
          </w:tcPr>
          <w:p>
            <w:r>
              <w:rPr>
                <w:sz w:val="20"/>
              </w:rPr>
            </w:r>
            <w:r>
              <w:rPr>
                <w:sz w:val="20"/>
              </w:rPr>
              <w:t>1 if health-check-v1 exists</w:t>
            </w:r>
          </w:p>
        </w:tc>
      </w:tr>
      <w:tr>
        <w:tc>
          <w:tcPr>
            <w:tcW w:type="dxa" w:w="2880"/>
          </w:tcPr>
          <w:p>
            <w:r>
              <w:rPr>
                <w:sz w:val="20"/>
              </w:rPr>
            </w:r>
            <w:r>
              <w:rPr>
                <w:sz w:val="20"/>
              </w:rPr>
              <w:t>HealthCheckPassed</w:t>
            </w:r>
          </w:p>
        </w:tc>
        <w:tc>
          <w:tcPr>
            <w:tcW w:type="dxa" w:w="2880"/>
          </w:tcPr>
          <w:p>
            <w:r>
              <w:rPr>
                <w:sz w:val="20"/>
              </w:rPr>
            </w:r>
            <w:r>
              <w:rPr>
                <w:sz w:val="20"/>
              </w:rPr>
              <w:t>bool</w:t>
            </w:r>
          </w:p>
        </w:tc>
        <w:tc>
          <w:tcPr>
            <w:tcW w:type="dxa" w:w="2880"/>
          </w:tcPr>
          <w:p>
            <w:r>
              <w:rPr>
                <w:sz w:val="20"/>
              </w:rPr>
            </w:r>
            <w:r>
              <w:rPr>
                <w:sz w:val="20"/>
              </w:rPr>
              <w:t>true if all health checks passed</w:t>
            </w:r>
          </w:p>
        </w:tc>
      </w:tr>
      <w:tr>
        <w:tc>
          <w:tcPr>
            <w:tcW w:type="dxa" w:w="2880"/>
          </w:tcPr>
          <w:p>
            <w:r>
              <w:rPr>
                <w:sz w:val="20"/>
              </w:rPr>
            </w:r>
            <w:r>
              <w:rPr>
                <w:sz w:val="20"/>
              </w:rPr>
              <w:t>Ring</w:t>
            </w:r>
          </w:p>
        </w:tc>
        <w:tc>
          <w:tcPr>
            <w:tcW w:type="dxa" w:w="2880"/>
          </w:tcPr>
          <w:p>
            <w:r>
              <w:rPr>
                <w:sz w:val="20"/>
              </w:rPr>
            </w:r>
            <w:r>
              <w:rPr>
                <w:sz w:val="20"/>
              </w:rPr>
              <w:t>string</w:t>
            </w:r>
          </w:p>
        </w:tc>
        <w:tc>
          <w:tcPr>
            <w:tcW w:type="dxa" w:w="2880"/>
          </w:tcPr>
          <w:p>
            <w:r>
              <w:rPr>
                <w:sz w:val="20"/>
              </w:rPr>
            </w:r>
            <w:r>
              <w:rPr>
                <w:sz w:val="20"/>
              </w:rPr>
              <w:t>Deployment ring (from runtime MOBR/Cosmic logs)</w:t>
            </w:r>
          </w:p>
        </w:tc>
      </w:tr>
      <w:tr>
        <w:tc>
          <w:tcPr>
            <w:tcW w:type="dxa" w:w="2880"/>
          </w:tcPr>
          <w:p>
            <w:r>
              <w:rPr>
                <w:sz w:val="20"/>
              </w:rPr>
            </w:r>
            <w:r>
              <w:rPr>
                <w:sz w:val="20"/>
              </w:rPr>
              <w:t>Namespace</w:t>
            </w:r>
          </w:p>
        </w:tc>
        <w:tc>
          <w:tcPr>
            <w:tcW w:type="dxa" w:w="2880"/>
          </w:tcPr>
          <w:p>
            <w:r>
              <w:rPr>
                <w:sz w:val="20"/>
              </w:rPr>
            </w:r>
            <w:r>
              <w:rPr>
                <w:sz w:val="20"/>
              </w:rPr>
              <w:t>string</w:t>
            </w:r>
          </w:p>
        </w:tc>
        <w:tc>
          <w:tcPr>
            <w:tcW w:type="dxa" w:w="2880"/>
          </w:tcPr>
          <w:p>
            <w:r>
              <w:rPr>
                <w:sz w:val="20"/>
              </w:rPr>
            </w:r>
            <w:r>
              <w:rPr>
                <w:sz w:val="20"/>
              </w:rPr>
              <w:t>COSMIC namespace or "Non-Cosmic"</w:t>
            </w:r>
          </w:p>
        </w:tc>
      </w:tr>
      <w:tr>
        <w:tc>
          <w:tcPr>
            <w:tcW w:type="dxa" w:w="2880"/>
          </w:tcPr>
          <w:p>
            <w:r>
              <w:rPr>
                <w:sz w:val="20"/>
              </w:rPr>
            </w:r>
            <w:r>
              <w:rPr>
                <w:sz w:val="20"/>
              </w:rPr>
              <w:t>Cloud</w:t>
            </w:r>
          </w:p>
        </w:tc>
        <w:tc>
          <w:tcPr>
            <w:tcW w:type="dxa" w:w="2880"/>
          </w:tcPr>
          <w:p>
            <w:r>
              <w:rPr>
                <w:sz w:val="20"/>
              </w:rPr>
            </w:r>
            <w:r>
              <w:rPr>
                <w:sz w:val="20"/>
              </w:rPr>
              <w:t>string</w:t>
            </w:r>
          </w:p>
        </w:tc>
        <w:tc>
          <w:tcPr>
            <w:tcW w:type="dxa" w:w="2880"/>
          </w:tcPr>
          <w:p>
            <w:r>
              <w:rPr>
                <w:sz w:val="20"/>
              </w:rPr>
            </w:r>
            <w:r>
              <w:rPr>
                <w:sz w:val="20"/>
              </w:rPr>
              <w:t>Target cloud environment</w:t>
            </w:r>
          </w:p>
        </w:tc>
      </w:tr>
      <w:tr>
        <w:tc>
          <w:tcPr>
            <w:tcW w:type="dxa" w:w="2880"/>
          </w:tcPr>
          <w:p>
            <w:r>
              <w:rPr>
                <w:sz w:val="20"/>
              </w:rPr>
            </w:r>
            <w:r>
              <w:rPr>
                <w:sz w:val="20"/>
              </w:rPr>
              <w:t>DeploymentType</w:t>
            </w:r>
          </w:p>
        </w:tc>
        <w:tc>
          <w:tcPr>
            <w:tcW w:type="dxa" w:w="2880"/>
          </w:tcPr>
          <w:p>
            <w:r>
              <w:rPr>
                <w:sz w:val="20"/>
              </w:rPr>
            </w:r>
            <w:r>
              <w:rPr>
                <w:sz w:val="20"/>
              </w:rPr>
              <w:t>string</w:t>
            </w:r>
          </w:p>
        </w:tc>
        <w:tc>
          <w:tcPr>
            <w:tcW w:type="dxa" w:w="2880"/>
          </w:tcPr>
          <w:p>
            <w:r>
              <w:rPr>
                <w:sz w:val="20"/>
              </w:rPr>
            </w:r>
            <w:r>
              <w:rPr>
                <w:sz w:val="20"/>
              </w:rPr>
              <w:t>Normal / Emergency / GlobalOutage</w:t>
            </w:r>
          </w:p>
        </w:tc>
      </w:tr>
      <w:tr>
        <w:tc>
          <w:tcPr>
            <w:tcW w:type="dxa" w:w="2880"/>
          </w:tcPr>
          <w:p>
            <w:r>
              <w:rPr>
                <w:sz w:val="20"/>
              </w:rPr>
            </w:r>
            <w:r>
              <w:rPr>
                <w:sz w:val="20"/>
              </w:rPr>
              <w:t>Trainset</w:t>
            </w:r>
          </w:p>
        </w:tc>
        <w:tc>
          <w:tcPr>
            <w:tcW w:type="dxa" w:w="2880"/>
          </w:tcPr>
          <w:p>
            <w:r>
              <w:rPr>
                <w:sz w:val="20"/>
              </w:rPr>
            </w:r>
            <w:r>
              <w:rPr>
                <w:sz w:val="20"/>
              </w:rPr>
              <w:t>string</w:t>
            </w:r>
          </w:p>
        </w:tc>
        <w:tc>
          <w:tcPr>
            <w:tcW w:type="dxa" w:w="2880"/>
          </w:tcPr>
          <w:p>
            <w:r>
              <w:rPr>
                <w:sz w:val="20"/>
              </w:rPr>
            </w:r>
            <w:r>
              <w:rPr>
                <w:sz w:val="20"/>
              </w:rPr>
              <w:t>Trainset ID</w:t>
            </w:r>
          </w:p>
        </w:tc>
      </w:tr>
      <w:tr>
        <w:tc>
          <w:tcPr>
            <w:tcW w:type="dxa" w:w="2880"/>
          </w:tcPr>
          <w:p>
            <w:r>
              <w:rPr>
                <w:sz w:val="20"/>
              </w:rPr>
            </w:r>
            <w:r>
              <w:rPr>
                <w:sz w:val="20"/>
              </w:rPr>
              <w:t>isCosmicStage</w:t>
            </w:r>
          </w:p>
        </w:tc>
        <w:tc>
          <w:tcPr>
            <w:tcW w:type="dxa" w:w="2880"/>
          </w:tcPr>
          <w:p>
            <w:r>
              <w:rPr>
                <w:sz w:val="20"/>
              </w:rPr>
            </w:r>
            <w:r>
              <w:rPr>
                <w:sz w:val="20"/>
              </w:rPr>
              <w:t>int</w:t>
            </w:r>
          </w:p>
        </w:tc>
        <w:tc>
          <w:tcPr>
            <w:tcW w:type="dxa" w:w="2880"/>
          </w:tcPr>
          <w:p>
            <w:r>
              <w:rPr>
                <w:sz w:val="20"/>
              </w:rPr>
            </w:r>
            <w:r>
              <w:rPr>
                <w:sz w:val="20"/>
              </w:rPr>
              <w:t>1 if COSMIC ring data exists</w:t>
            </w:r>
          </w:p>
        </w:tc>
      </w:tr>
      <w:tr>
        <w:tc>
          <w:tcPr>
            <w:tcW w:type="dxa" w:w="2880"/>
          </w:tcPr>
          <w:p>
            <w:r>
              <w:rPr>
                <w:sz w:val="20"/>
              </w:rPr>
            </w:r>
            <w:r>
              <w:rPr>
                <w:sz w:val="20"/>
              </w:rPr>
              <w:t>HasLockbox</w:t>
            </w:r>
          </w:p>
        </w:tc>
        <w:tc>
          <w:tcPr>
            <w:tcW w:type="dxa" w:w="2880"/>
          </w:tcPr>
          <w:p>
            <w:r>
              <w:rPr>
                <w:sz w:val="20"/>
              </w:rPr>
            </w:r>
            <w:r>
              <w:rPr>
                <w:sz w:val="20"/>
              </w:rPr>
              <w:t>int</w:t>
            </w:r>
          </w:p>
        </w:tc>
        <w:tc>
          <w:tcPr>
            <w:tcW w:type="dxa" w:w="2880"/>
          </w:tcPr>
          <w:p>
            <w:r>
              <w:rPr>
                <w:sz w:val="20"/>
              </w:rPr>
            </w:r>
            <w:r>
              <w:rPr>
                <w:sz w:val="20"/>
              </w:rPr>
              <w:t>1 if Lockbox task present</w:t>
            </w:r>
          </w:p>
        </w:tc>
      </w:tr>
      <w:tr>
        <w:tc>
          <w:tcPr>
            <w:tcW w:type="dxa" w:w="2880"/>
          </w:tcPr>
          <w:p>
            <w:r>
              <w:rPr>
                <w:sz w:val="20"/>
              </w:rPr>
            </w:r>
            <w:r>
              <w:rPr>
                <w:sz w:val="20"/>
              </w:rPr>
              <w:t>HasClassic</w:t>
            </w:r>
          </w:p>
        </w:tc>
        <w:tc>
          <w:tcPr>
            <w:tcW w:type="dxa" w:w="2880"/>
          </w:tcPr>
          <w:p>
            <w:r>
              <w:rPr>
                <w:sz w:val="20"/>
              </w:rPr>
            </w:r>
            <w:r>
              <w:rPr>
                <w:sz w:val="20"/>
              </w:rPr>
              <w:t>int</w:t>
            </w:r>
          </w:p>
        </w:tc>
        <w:tc>
          <w:tcPr>
            <w:tcW w:type="dxa" w:w="2880"/>
          </w:tcPr>
          <w:p>
            <w:r>
              <w:rPr>
                <w:sz w:val="20"/>
              </w:rPr>
            </w:r>
            <w:r>
              <w:rPr>
                <w:sz w:val="20"/>
              </w:rPr>
              <w:t>1 if ExpressV2Internal (Classic EV2) task present</w:t>
            </w:r>
          </w:p>
        </w:tc>
      </w:tr>
      <w:tr>
        <w:tc>
          <w:tcPr>
            <w:tcW w:type="dxa" w:w="2880"/>
          </w:tcPr>
          <w:p>
            <w:r>
              <w:rPr>
                <w:sz w:val="20"/>
              </w:rPr>
            </w:r>
            <w:r>
              <w:rPr>
                <w:sz w:val="20"/>
              </w:rPr>
              <w:t>HasRA</w:t>
            </w:r>
          </w:p>
        </w:tc>
        <w:tc>
          <w:tcPr>
            <w:tcW w:type="dxa" w:w="2880"/>
          </w:tcPr>
          <w:p>
            <w:r>
              <w:rPr>
                <w:sz w:val="20"/>
              </w:rPr>
            </w:r>
            <w:r>
              <w:rPr>
                <w:sz w:val="20"/>
              </w:rPr>
              <w:t>int</w:t>
            </w:r>
          </w:p>
        </w:tc>
        <w:tc>
          <w:tcPr>
            <w:tcW w:type="dxa" w:w="2880"/>
          </w:tcPr>
          <w:p>
            <w:r>
              <w:rPr>
                <w:sz w:val="20"/>
              </w:rPr>
            </w:r>
            <w:r>
              <w:rPr>
                <w:sz w:val="20"/>
              </w:rPr>
              <w:t>1 if Ev2RARollout task present</w:t>
            </w:r>
          </w:p>
        </w:tc>
      </w:tr>
    </w:tbl>
    <w:p>
      <w:r/>
      <w:r>
        <w:rPr>
          <w:b/>
        </w:rPr>
        <w:t>Primary Key:</w:t>
      </w:r>
      <w:r>
        <w:t xml:space="preserve"> </w:t>
      </w:r>
      <w:r>
        <w:rPr>
          <w:rFonts w:ascii="Consolas" w:hAnsi="Consolas"/>
          <w:color w:val="404040"/>
          <w:sz w:val="18"/>
        </w:rPr>
        <w:t>UniqueStageId</w:t>
      </w:r>
      <w:r/>
    </w:p>
    <w:p>
      <w:pPr>
        <w:pStyle w:val="Heading2"/>
      </w:pPr>
      <w:r>
        <w:t>8.3 Assembly Order</w:t>
      </w:r>
    </w:p>
    <w:p>
      <w:pPr>
        <w:pStyle w:val="NoSpacing"/>
        <w:ind w:left="720"/>
      </w:pPr>
      <w:r>
        <w:rPr>
          <w:rFonts w:ascii="Consolas" w:hAnsi="Consolas"/>
          <w:sz w:val="18"/>
        </w:rPr>
        <w:t>Step 1:  all-stage-runs</w:t>
      </w:r>
    </w:p>
    <w:p>
      <w:pPr>
        <w:pStyle w:val="NoSpacing"/>
        <w:ind w:left="720"/>
      </w:pPr>
      <w:r>
        <w:rPr>
          <w:rFonts w:ascii="Consolas" w:hAnsi="Consolas"/>
          <w:sz w:val="18"/>
        </w:rPr>
        <w:t xml:space="preserve">              |</w:t>
      </w:r>
    </w:p>
    <w:p>
      <w:pPr>
        <w:pStyle w:val="NoSpacing"/>
        <w:ind w:left="720"/>
      </w:pPr>
      <w:r>
        <w:rPr>
          <w:rFonts w:ascii="Consolas" w:hAnsi="Consolas"/>
          <w:sz w:val="18"/>
        </w:rPr>
        <w:t xml:space="preserve">              | LEFT OUTER JOIN yaml-to-run-list ON (PipelineUrl, BuildId)</w:t>
      </w:r>
    </w:p>
    <w:p>
      <w:pPr>
        <w:pStyle w:val="NoSpacing"/>
        <w:ind w:left="720"/>
      </w:pPr>
      <w:r>
        <w:rPr>
          <w:rFonts w:ascii="Consolas" w:hAnsi="Consolas"/>
          <w:sz w:val="18"/>
        </w:rPr>
        <w:t xml:space="preserve">              v</w:t>
      </w:r>
    </w:p>
    <w:p>
      <w:pPr>
        <w:pStyle w:val="NoSpacing"/>
        <w:ind w:left="720"/>
      </w:pPr>
      <w:r>
        <w:rPr>
          <w:rFonts w:ascii="Consolas" w:hAnsi="Consolas"/>
          <w:sz w:val="18"/>
        </w:rPr>
        <w:t xml:space="preserve">         + YamlId per row (NULL if no YAML mapping)</w:t>
      </w:r>
    </w:p>
    <w:p>
      <w:pPr>
        <w:pStyle w:val="NoSpacing"/>
        <w:ind w:left="720"/>
      </w:pPr>
      <w:r>
        <w:rPr>
          <w:rFonts w:ascii="Consolas" w:hAnsi="Consolas"/>
          <w:sz w:val="18"/>
        </w:rPr>
        <w:t xml:space="preserve">              |</w:t>
      </w:r>
    </w:p>
    <w:p>
      <w:pPr>
        <w:pStyle w:val="NoSpacing"/>
        <w:ind w:left="720"/>
      </w:pPr>
      <w:r>
        <w:rPr>
          <w:rFonts w:ascii="Consolas" w:hAnsi="Consolas"/>
          <w:sz w:val="18"/>
        </w:rPr>
        <w:t>Step 2:       | LEFT OUTER JOIN stage-telemetry-policy-compliance ON UniqueStageId</w:t>
      </w:r>
    </w:p>
    <w:p>
      <w:pPr>
        <w:pStyle w:val="NoSpacing"/>
        <w:ind w:left="720"/>
      </w:pPr>
      <w:r>
        <w:rPr>
          <w:rFonts w:ascii="Consolas" w:hAnsi="Consolas"/>
          <w:sz w:val="18"/>
        </w:rPr>
        <w:t xml:space="preserve">              v</w:t>
      </w:r>
    </w:p>
    <w:p>
      <w:pPr>
        <w:pStyle w:val="NoSpacing"/>
        <w:ind w:left="720"/>
      </w:pPr>
      <w:r>
        <w:rPr>
          <w:rFonts w:ascii="Consolas" w:hAnsi="Consolas"/>
          <w:sz w:val="18"/>
        </w:rPr>
        <w:t xml:space="preserve">         + All runtime enrichment columns (NULL if no telemetry)</w:t>
      </w:r>
    </w:p>
    <w:p>
      <w:r/>
      <w:r>
        <w:rPr>
          <w:b/>
        </w:rPr>
        <w:t>Step 1</w:t>
      </w:r>
      <w:r>
        <w:t xml:space="preserve"> is left outer because YamlId is purely enrichment metadata — no downstream table uses it as a join key. </w:t>
      </w:r>
      <w:r>
        <w:rPr>
          <w:b/>
        </w:rPr>
        <w:t>Step 2</w:t>
      </w:r>
      <w:r>
        <w:t xml:space="preserve"> is left outer because not all stages have runtime telemetry — the SDP policy task may not have run yet.</w:t>
      </w:r>
    </w:p>
    <w:p>
      <w:pPr>
        <w:pStyle w:val="Heading2"/>
      </w:pPr>
      <w:r>
        <w:t>8.4 Incremental Processing Design</w:t>
      </w:r>
    </w:p>
    <w:p>
      <w:r>
        <w:t>All 3 tables support daily incremental processing. Each day's slice is self-contained:</w:t>
      </w:r>
    </w:p>
    <w:p>
      <w:pPr>
        <w:pStyle w:val="NoSpacing"/>
        <w:ind w:left="720"/>
      </w:pPr>
      <w:r>
        <w:rPr>
          <w:rFonts w:ascii="Consolas" w:hAnsi="Consolas"/>
          <w:sz w:val="18"/>
        </w:rPr>
        <w:t>Day 1:  process(day1) → Result₁ → Table = Result₁</w:t>
      </w:r>
    </w:p>
    <w:p>
      <w:pPr>
        <w:pStyle w:val="NoSpacing"/>
        <w:ind w:left="720"/>
      </w:pPr>
      <w:r>
        <w:rPr>
          <w:rFonts w:ascii="Consolas" w:hAnsi="Consolas"/>
          <w:sz w:val="18"/>
        </w:rPr>
        <w:t>Day 2:  process(day2) → Result₂ → Table = Table ∪ Result₂</w:t>
      </w:r>
    </w:p>
    <w:p>
      <w:pPr>
        <w:pStyle w:val="NoSpacing"/>
        <w:ind w:left="720"/>
      </w:pPr>
      <w:r>
        <w:rPr>
          <w:rFonts w:ascii="Consolas" w:hAnsi="Consolas"/>
          <w:sz w:val="18"/>
        </w:rPr>
        <w:t>Day 3:  process(day3) → Result₃ → Table = Table ∪ Result₃</w:t>
      </w:r>
    </w:p>
    <w:p>
      <w:pPr>
        <w:pStyle w:val="NoSpacing"/>
        <w:ind w:left="720"/>
      </w:pPr>
      <w:r>
        <w:rPr>
          <w:rFonts w:ascii="Consolas" w:hAnsi="Consolas"/>
          <w:sz w:val="18"/>
        </w:rPr>
        <w:t>...</w:t>
      </w:r>
    </w:p>
    <w:p>
      <w:pPr>
        <w:pStyle w:val="NoSpacing"/>
        <w:ind w:left="720"/>
      </w:pPr>
      <w:r>
        <w:rPr>
          <w:rFonts w:ascii="Consolas" w:hAnsi="Consolas"/>
          <w:sz w:val="18"/>
        </w:rPr>
        <w:t>Day X:  process(dayX) → Resultₓ → Table = Table ∪ Resultₓ</w:t>
      </w:r>
    </w:p>
    <w:p>
      <w:r>
        <w:t xml:space="preserve">Where </w:t>
      </w:r>
      <w:r>
        <w:rPr>
          <w:rFonts w:ascii="Consolas" w:hAnsi="Consolas"/>
          <w:color w:val="404040"/>
          <w:sz w:val="18"/>
        </w:rPr>
        <w:t>process(dayN)</w:t>
      </w:r>
      <w:r>
        <w:t xml:space="preserve"> is:</w:t>
      </w:r>
    </w:p>
    <w:p>
      <w:pPr>
        <w:pStyle w:val="NoSpacing"/>
        <w:ind w:left="720"/>
      </w:pPr>
      <w:r>
        <w:rPr>
          <w:rFonts w:ascii="Consolas" w:hAnsi="Consolas"/>
          <w:sz w:val="18"/>
        </w:rPr>
        <w:t>all-stage-runs(1d) → join yaml-to-run-list(1d) → join policy-compliance(1d) → ResultN</w:t>
      </w:r>
    </w:p>
    <w:p>
      <w:r/>
      <w:r>
        <w:rPr>
          <w:b/>
        </w:rPr>
        <w:t>Why this works:</w:t>
      </w:r>
      <w:r/>
    </w:p>
    <w:p>
      <w:pPr>
        <w:pStyle w:val="ListBullet"/>
      </w:pPr>
      <w:r/>
      <w:r>
        <w:rPr>
          <w:rFonts w:ascii="Consolas" w:hAnsi="Consolas"/>
          <w:color w:val="404040"/>
          <w:sz w:val="18"/>
        </w:rPr>
        <w:t>(PipelineUrl, BuildId)</w:t>
      </w:r>
      <w:r>
        <w:t xml:space="preserve"> — a BuildId belongs to exactly one day</w:t>
      </w:r>
    </w:p>
    <w:p>
      <w:pPr>
        <w:pStyle w:val="ListBullet"/>
      </w:pPr>
      <w:r/>
      <w:r>
        <w:rPr>
          <w:rFonts w:ascii="Consolas" w:hAnsi="Consolas"/>
          <w:color w:val="404040"/>
          <w:sz w:val="18"/>
        </w:rPr>
        <w:t>UniqueStageId</w:t>
      </w:r>
      <w:r>
        <w:t xml:space="preserve"> — encodes AdoAccount, ProjectName, DefinitionId, BuildId, StageName — fully identifies one stage in one run on one day</w:t>
      </w:r>
    </w:p>
    <w:p>
      <w:pPr>
        <w:pStyle w:val="ListBullet"/>
      </w:pPr>
      <w:r>
        <w:t>A run that happened on Tuesday never needs data from Wednesday's slice</w:t>
      </w:r>
    </w:p>
    <w:p>
      <w:r/>
      <w:r>
        <w:rPr>
          <w:b/>
        </w:rPr>
        <w:t>What cannot be done incrementally:</w:t>
      </w:r>
      <w:r/>
    </w:p>
    <w:p>
      <w:pPr>
        <w:pStyle w:val="ListBullet"/>
      </w:pPr>
      <w:r/>
      <w:r>
        <w:rPr>
          <w:b/>
        </w:rPr>
        <w:t>Service-level classification</w:t>
      </w:r>
      <w:r>
        <w:t xml:space="preserve"> (isCosmicService, Ev2ServiceType) — aggregates across ALL pipelines for a ServiceId over the full window. Requires a periodic recompute pass over the full accumulated table.</w:t>
      </w:r>
    </w:p>
    <w:p>
      <w:pPr>
        <w:pStyle w:val="Heading2"/>
      </w:pPr>
      <w:r>
        <w:t>8.5 Alternatives Considered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Approach</w:t>
            </w:r>
          </w:p>
        </w:tc>
        <w:tc>
          <w:tcPr>
            <w:tcW w:type="dxa" w:w="4320"/>
          </w:tcPr>
          <w:p>
            <w:r/>
            <w:r>
              <w:rPr>
                <w:b/>
                <w:sz w:val="20"/>
              </w:rPr>
              <w:t>Why Rejected</w:t>
            </w:r>
          </w:p>
        </w:tc>
      </w:tr>
      <w:tr>
        <w:tc>
          <w:tcPr>
            <w:tcW w:type="dxa" w:w="4320"/>
          </w:tcPr>
          <w:p>
            <w:r>
              <w:rPr>
                <w:sz w:val="20"/>
              </w:rPr>
            </w:r>
            <w:r>
              <w:rPr>
                <w:sz w:val="20"/>
              </w:rPr>
              <w:t>In-query optimization</w:t>
            </w:r>
          </w:p>
        </w:tc>
        <w:tc>
          <w:tcPr>
            <w:tcW w:type="dxa" w:w="4320"/>
          </w:tcPr>
          <w:p>
            <w:r>
              <w:rPr>
                <w:sz w:val="20"/>
              </w:rPr>
            </w:r>
            <w:r>
              <w:rPr>
                <w:sz w:val="20"/>
              </w:rPr>
              <w:t>8 attempts, all timed out at ~252s. The join scale fundamentally exceeds ADX interactive limits.</w:t>
            </w:r>
          </w:p>
        </w:tc>
      </w:tr>
      <w:tr>
        <w:tc>
          <w:tcPr>
            <w:tcW w:type="dxa" w:w="4320"/>
          </w:tcPr>
          <w:p>
            <w:r>
              <w:rPr>
                <w:sz w:val="20"/>
              </w:rPr>
            </w:r>
            <w:r>
              <w:rPr>
                <w:sz w:val="20"/>
              </w:rPr>
              <w:t>Spark / Fabric Lakehouse</w:t>
            </w:r>
          </w:p>
        </w:tc>
        <w:tc>
          <w:tcPr>
            <w:tcW w:type="dxa" w:w="4320"/>
          </w:tcPr>
          <w:p>
            <w:r>
              <w:rPr>
                <w:sz w:val="20"/>
              </w:rPr>
            </w:r>
            <w:r>
              <w:rPr>
                <w:sz w:val="20"/>
              </w:rPr>
              <w:t>Requires language rewrite (KQL → PySpark), new infrastructure provisioning. Overkill for ~570 MB compressed data.</w:t>
            </w:r>
          </w:p>
        </w:tc>
      </w:tr>
      <w:tr>
        <w:tc>
          <w:tcPr>
            <w:tcW w:type="dxa" w:w="4320"/>
          </w:tcPr>
          <w:p>
            <w:r>
              <w:rPr>
                <w:sz w:val="20"/>
              </w:rPr>
            </w:r>
            <w:r>
              <w:rPr>
                <w:sz w:val="20"/>
              </w:rPr>
              <w:t>ADX Update Policies</w:t>
            </w:r>
          </w:p>
        </w:tc>
        <w:tc>
          <w:tcPr>
            <w:tcW w:type="dxa" w:w="4320"/>
          </w:tcPr>
          <w:p>
            <w:r>
              <w:rPr>
                <w:sz w:val="20"/>
              </w:rPr>
            </w:r>
            <w:r>
              <w:rPr>
                <w:sz w:val="20"/>
              </w:rPr>
              <w:t>Designed for per-record enrichment, not global reconciliation across multiple asynchronous sources.</w:t>
            </w:r>
          </w:p>
        </w:tc>
      </w:tr>
      <w:tr>
        <w:tc>
          <w:tcPr>
            <w:tcW w:type="dxa" w:w="4320"/>
          </w:tcPr>
          <w:p>
            <w:r>
              <w:rPr>
                <w:sz w:val="20"/>
              </w:rPr>
            </w:r>
            <w:r>
              <w:rPr>
                <w:sz w:val="20"/>
              </w:rPr>
              <w:t>ADX Continuous Export</w:t>
            </w:r>
          </w:p>
        </w:tc>
        <w:tc>
          <w:tcPr>
            <w:tcW w:type="dxa" w:w="4320"/>
          </w:tcPr>
          <w:p>
            <w:r>
              <w:rPr>
                <w:sz w:val="20"/>
              </w:rPr>
            </w:r>
            <w:r>
              <w:rPr>
                <w:sz w:val="20"/>
              </w:rPr>
              <w:t>Targets external storage (ADLS, Blob), cannot write to another ADX table.</w:t>
            </w:r>
          </w:p>
        </w:tc>
      </w:tr>
      <w:tr>
        <w:tc>
          <w:tcPr>
            <w:tcW w:type="dxa" w:w="4320"/>
          </w:tcPr>
          <w:p>
            <w:r>
              <w:rPr>
                <w:sz w:val="20"/>
              </w:rPr>
            </w:r>
            <w:r>
              <w:rPr>
                <w:sz w:val="20"/>
              </w:rPr>
              <w:t>Daily windowing on the monolithic query</w:t>
            </w:r>
          </w:p>
        </w:tc>
        <w:tc>
          <w:tcPr>
            <w:tcW w:type="dxa" w:w="4320"/>
          </w:tcPr>
          <w:p>
            <w:r>
              <w:rPr>
                <w:sz w:val="20"/>
              </w:rPr>
            </w:r>
            <w:r>
              <w:rPr>
                <w:sz w:val="20"/>
              </w:rPr>
              <w:t>Joins are interdependent — service classification needs all days, "latest YAML" retroactively affects all runs. Cannot partition by day.</w:t>
            </w:r>
          </w:p>
        </w:tc>
      </w:tr>
      <w:tr>
        <w:tc>
          <w:tcPr>
            <w:tcW w:type="dxa" w:w="4320"/>
          </w:tcPr>
          <w:p>
            <w:r>
              <w:rPr>
                <w:sz w:val="20"/>
              </w:rPr>
            </w:r>
            <w:r>
              <w:rPr>
                <w:sz w:val="20"/>
              </w:rPr>
              <w:t>Full replace daily</w:t>
            </w:r>
          </w:p>
        </w:tc>
        <w:tc>
          <w:tcPr>
            <w:tcW w:type="dxa" w:w="4320"/>
          </w:tcPr>
          <w:p>
            <w:r>
              <w:rPr>
                <w:sz w:val="20"/>
              </w:rPr>
            </w:r>
            <w:r>
              <w:rPr>
                <w:sz w:val="20"/>
              </w:rPr>
              <w:t>Correct but expensive — recomputes entire 60-day window daily (~7.6M rows). Not needed when only 1 day of new data arrives.</w:t>
            </w:r>
          </w:p>
        </w:tc>
      </w:tr>
    </w:tbl>
    <w:p>
      <w:pPr>
        <w:spacing w:before="120" w:after="120"/>
      </w:pPr>
    </w:p>
    <w:p>
      <w:pPr>
        <w:pStyle w:val="Heading1"/>
      </w:pPr>
      <w:r>
        <w:t>9. ADF Pipeline Design</w:t>
      </w:r>
    </w:p>
    <w:p>
      <w:pPr>
        <w:pStyle w:val="Heading2"/>
      </w:pPr>
      <w:r>
        <w:t>Daily Pipeline Flow</w:t>
      </w:r>
    </w:p>
    <w:p>
      <w:pPr>
        <w:pStyle w:val="NoSpacing"/>
        <w:ind w:left="720"/>
      </w:pPr>
      <w:r>
        <w:rPr>
          <w:rFonts w:ascii="Consolas" w:hAnsi="Consolas"/>
          <w:sz w:val="18"/>
        </w:rPr>
        <w:t>Trigger (daily, 04:00 UTC)</w:t>
      </w:r>
    </w:p>
    <w:p>
      <w:pPr>
        <w:pStyle w:val="NoSpacing"/>
        <w:ind w:left="720"/>
      </w:pPr>
      <w:r>
        <w:rPr>
          <w:rFonts w:ascii="Consolas" w:hAnsi="Consolas"/>
          <w:sz w:val="18"/>
        </w:rPr>
        <w:t xml:space="preserve">    |</w:t>
      </w:r>
    </w:p>
    <w:p>
      <w:pPr>
        <w:pStyle w:val="NoSpacing"/>
        <w:ind w:left="720"/>
      </w:pPr>
      <w:r>
        <w:rPr>
          <w:rFonts w:ascii="Consolas" w:hAnsi="Consolas"/>
          <w:sz w:val="18"/>
        </w:rPr>
        <w:t xml:space="preserve">    v</w:t>
      </w:r>
    </w:p>
    <w:p>
      <w:pPr>
        <w:pStyle w:val="NoSpacing"/>
        <w:ind w:left="720"/>
      </w:pPr>
      <w:r>
        <w:rPr>
          <w:rFonts w:ascii="Consolas" w:hAnsi="Consolas"/>
          <w:sz w:val="18"/>
        </w:rPr>
        <w:t>Run all-stage-runs(2d window) → staging table</w:t>
      </w:r>
    </w:p>
    <w:p>
      <w:pPr>
        <w:pStyle w:val="NoSpacing"/>
        <w:ind w:left="720"/>
      </w:pPr>
      <w:r>
        <w:rPr>
          <w:rFonts w:ascii="Consolas" w:hAnsi="Consolas"/>
          <w:sz w:val="18"/>
        </w:rPr>
        <w:t xml:space="preserve">    |</w:t>
      </w:r>
    </w:p>
    <w:p>
      <w:pPr>
        <w:pStyle w:val="NoSpacing"/>
        <w:ind w:left="720"/>
      </w:pPr>
      <w:r>
        <w:rPr>
          <w:rFonts w:ascii="Consolas" w:hAnsi="Consolas"/>
          <w:sz w:val="18"/>
        </w:rPr>
        <w:t xml:space="preserve">    v</w:t>
      </w:r>
    </w:p>
    <w:p>
      <w:pPr>
        <w:pStyle w:val="NoSpacing"/>
        <w:ind w:left="720"/>
      </w:pPr>
      <w:r>
        <w:rPr>
          <w:rFonts w:ascii="Consolas" w:hAnsi="Consolas"/>
          <w:sz w:val="18"/>
        </w:rPr>
        <w:t>Run yaml-to-run-list(2d window) → staging table</w:t>
      </w:r>
    </w:p>
    <w:p>
      <w:pPr>
        <w:pStyle w:val="NoSpacing"/>
        <w:ind w:left="720"/>
      </w:pPr>
      <w:r>
        <w:rPr>
          <w:rFonts w:ascii="Consolas" w:hAnsi="Consolas"/>
          <w:sz w:val="18"/>
        </w:rPr>
        <w:t xml:space="preserve">    |</w:t>
      </w:r>
    </w:p>
    <w:p>
      <w:pPr>
        <w:pStyle w:val="NoSpacing"/>
        <w:ind w:left="720"/>
      </w:pPr>
      <w:r>
        <w:rPr>
          <w:rFonts w:ascii="Consolas" w:hAnsi="Consolas"/>
          <w:sz w:val="18"/>
        </w:rPr>
        <w:t xml:space="preserve">    v</w:t>
      </w:r>
    </w:p>
    <w:p>
      <w:pPr>
        <w:pStyle w:val="NoSpacing"/>
        <w:ind w:left="720"/>
      </w:pPr>
      <w:r>
        <w:rPr>
          <w:rFonts w:ascii="Consolas" w:hAnsi="Consolas"/>
          <w:sz w:val="18"/>
        </w:rPr>
        <w:t>Run stage-telemetry-policy-compliance(2d window) → staging table</w:t>
      </w:r>
    </w:p>
    <w:p>
      <w:pPr>
        <w:pStyle w:val="NoSpacing"/>
        <w:ind w:left="720"/>
      </w:pPr>
      <w:r>
        <w:rPr>
          <w:rFonts w:ascii="Consolas" w:hAnsi="Consolas"/>
          <w:sz w:val="18"/>
        </w:rPr>
        <w:t xml:space="preserve">    |</w:t>
      </w:r>
    </w:p>
    <w:p>
      <w:pPr>
        <w:pStyle w:val="NoSpacing"/>
        <w:ind w:left="720"/>
      </w:pPr>
      <w:r>
        <w:rPr>
          <w:rFonts w:ascii="Consolas" w:hAnsi="Consolas"/>
          <w:sz w:val="18"/>
        </w:rPr>
        <w:t xml:space="preserve">    v</w:t>
      </w:r>
    </w:p>
    <w:p>
      <w:pPr>
        <w:pStyle w:val="NoSpacing"/>
        <w:ind w:left="720"/>
      </w:pPr>
      <w:r>
        <w:rPr>
          <w:rFonts w:ascii="Consolas" w:hAnsi="Consolas"/>
          <w:sz w:val="18"/>
        </w:rPr>
        <w:t>Join 3 staging tables → joined result</w:t>
      </w:r>
    </w:p>
    <w:p>
      <w:pPr>
        <w:pStyle w:val="NoSpacing"/>
        <w:ind w:left="720"/>
      </w:pPr>
      <w:r>
        <w:rPr>
          <w:rFonts w:ascii="Consolas" w:hAnsi="Consolas"/>
          <w:sz w:val="18"/>
        </w:rPr>
        <w:t xml:space="preserve">    |</w:t>
      </w:r>
    </w:p>
    <w:p>
      <w:pPr>
        <w:pStyle w:val="NoSpacing"/>
        <w:ind w:left="720"/>
      </w:pPr>
      <w:r>
        <w:rPr>
          <w:rFonts w:ascii="Consolas" w:hAnsi="Consolas"/>
          <w:sz w:val="18"/>
        </w:rPr>
        <w:t xml:space="preserve">    v</w:t>
      </w:r>
    </w:p>
    <w:p>
      <w:pPr>
        <w:pStyle w:val="NoSpacing"/>
        <w:ind w:left="720"/>
      </w:pPr>
      <w:r>
        <w:rPr>
          <w:rFonts w:ascii="Consolas" w:hAnsi="Consolas"/>
          <w:sz w:val="18"/>
        </w:rPr>
        <w:t>UPSERT into SDPMaterialized (leftanti on UniqueStageId)</w:t>
      </w:r>
    </w:p>
    <w:p>
      <w:pPr>
        <w:pStyle w:val="Heading2"/>
      </w:pPr>
      <w:r>
        <w:t>Key Risk Mitigations</w:t>
      </w:r>
    </w:p>
    <w:p>
      <w:r/>
      <w:r>
        <w:rPr>
          <w:b/>
        </w:rPr>
        <w:t>Late-arriving data:</w:t>
      </w:r>
      <w:r>
        <w:t xml:space="preserve"> Telemetry tables (PipelineRecords, TimelineRecords, Logs) ingest asynchronously. A run on Day N may appear on Day N+1. Each daily execution processes a sliding 2-day window (D-1 to D), overlapping with the previous run. Combined with UPSERT logic, this ensures late data is captured without duplication.</w:t>
      </w:r>
    </w:p>
    <w:p>
      <w:r/>
      <w:r>
        <w:rPr>
          <w:b/>
        </w:rPr>
        <w:t>Deduplication:</w:t>
      </w:r>
      <w:r>
        <w:t xml:space="preserve"> ADF retries, manual reruns, or backfills can execute the same day multiple times. The pipeline uses </w:t>
      </w:r>
      <w:r>
        <w:rPr>
          <w:rFonts w:ascii="Consolas" w:hAnsi="Consolas"/>
          <w:color w:val="404040"/>
          <w:sz w:val="18"/>
        </w:rPr>
        <w:t>join kind=leftanti</w:t>
      </w:r>
      <w:r>
        <w:t xml:space="preserve"> on </w:t>
      </w:r>
      <w:r>
        <w:rPr>
          <w:rFonts w:ascii="Consolas" w:hAnsi="Consolas"/>
          <w:color w:val="404040"/>
          <w:sz w:val="18"/>
        </w:rPr>
        <w:t>UniqueStageId</w:t>
      </w:r>
      <w:r>
        <w:t xml:space="preserve"> against existing rows before appending, ensuring idempotent writes.</w:t>
      </w:r>
    </w:p>
    <w:p>
      <w:r/>
      <w:r>
        <w:rPr>
          <w:b/>
        </w:rPr>
        <w:t>Backfill:</w:t>
      </w:r>
      <w:r>
        <w:t xml:space="preserve"> Initial 60-day backfill is chunked into weekly windows (~220K stage-runs per chunk) to stay within ADX memory limits. Each chunk is a parameterized stored function call: </w:t>
      </w:r>
      <w:r>
        <w:rPr>
          <w:rFonts w:ascii="Consolas" w:hAnsi="Consolas"/>
          <w:color w:val="404040"/>
          <w:sz w:val="18"/>
        </w:rPr>
        <w:t>SDP_BackfillChunk(startDate, endDate)</w:t>
      </w:r>
      <w:r>
        <w:t>.</w:t>
      </w:r>
    </w:p>
    <w:p>
      <w:r/>
      <w:r>
        <w:rPr>
          <w:b/>
        </w:rPr>
        <w:t>Service classification instability:</w:t>
      </w:r>
      <w:r>
        <w:t xml:space="preserve"> </w:t>
      </w:r>
      <w:r>
        <w:rPr>
          <w:rFonts w:ascii="Consolas" w:hAnsi="Consolas"/>
          <w:color w:val="404040"/>
          <w:sz w:val="18"/>
        </w:rPr>
        <w:t>isCosmicService</w:t>
      </w:r>
      <w:r>
        <w:t xml:space="preserve"> and </w:t>
      </w:r>
      <w:r>
        <w:rPr>
          <w:rFonts w:ascii="Consolas" w:hAnsi="Consolas"/>
          <w:color w:val="404040"/>
          <w:sz w:val="18"/>
        </w:rPr>
        <w:t>Ev2ServiceType</w:t>
      </w:r>
      <w:r>
        <w:t xml:space="preserve"> depend on observing all pipelines across the full time range. These are computed as a separate periodic dimension recompute (weekly), not as part of the daily fact load.</w:t>
      </w:r>
    </w:p>
    <w:p>
      <w:r/>
      <w:r>
        <w:rPr>
          <w:b/>
        </w:rPr>
        <w:t>Partial write failures:</w:t>
      </w:r>
      <w:r>
        <w:t xml:space="preserve"> Results are written to a staging table first, then merged atomically into the final fact table. If the pipeline fails mid-write, the staging table is dropped on retry — no partial state persists.</w:t>
      </w:r>
    </w:p>
    <w:p>
      <w:pPr>
        <w:pStyle w:val="Heading2"/>
      </w:pPr>
      <w:r>
        <w:t>Other Considerations</w:t>
      </w:r>
    </w:p>
    <w:p>
      <w:pPr>
        <w:pStyle w:val="ListBullet"/>
      </w:pPr>
      <w:r/>
      <w:r>
        <w:rPr>
          <w:b/>
        </w:rPr>
        <w:t>Parameterized date ranges:</w:t>
      </w:r>
      <w:r>
        <w:t xml:space="preserve"> ADF passes explicit </w:t>
      </w:r>
      <w:r>
        <w:rPr>
          <w:rFonts w:ascii="Consolas" w:hAnsi="Consolas"/>
          <w:color w:val="404040"/>
          <w:sz w:val="18"/>
        </w:rPr>
        <w:t>startDate</w:t>
      </w:r>
      <w:r>
        <w:t>/</w:t>
      </w:r>
      <w:r>
        <w:rPr>
          <w:rFonts w:ascii="Consolas" w:hAnsi="Consolas"/>
          <w:color w:val="404040"/>
          <w:sz w:val="18"/>
        </w:rPr>
        <w:t>endDate</w:t>
      </w:r>
      <w:r>
        <w:t xml:space="preserve"> parameters. Queries never use </w:t>
      </w:r>
      <w:r>
        <w:rPr>
          <w:rFonts w:ascii="Consolas" w:hAnsi="Consolas"/>
          <w:color w:val="404040"/>
          <w:sz w:val="18"/>
        </w:rPr>
        <w:t>now()</w:t>
      </w:r>
      <w:r>
        <w:t xml:space="preserve"> to avoid clock skew.</w:t>
      </w:r>
    </w:p>
    <w:p>
      <w:pPr>
        <w:pStyle w:val="ListBullet"/>
      </w:pPr>
      <w:r/>
      <w:r>
        <w:rPr>
          <w:b/>
        </w:rPr>
        <w:t>Snapshot freshness:</w:t>
      </w:r>
      <w:r>
        <w:t xml:space="preserve"> The pipeline checks </w:t>
      </w:r>
      <w:r>
        <w:rPr>
          <w:rFonts w:ascii="Consolas" w:hAnsi="Consolas"/>
          <w:color w:val="404040"/>
          <w:sz w:val="18"/>
        </w:rPr>
        <w:t>max(ingestion_time())</w:t>
      </w:r>
      <w:r>
        <w:t xml:space="preserve"> on snapshot tables and fails fast if any snapshot is older than 24 hours.</w:t>
      </w:r>
    </w:p>
    <w:p>
      <w:pPr>
        <w:pStyle w:val="ListBullet"/>
      </w:pPr>
      <w:r/>
      <w:r>
        <w:rPr>
          <w:b/>
        </w:rPr>
        <w:t>Consecutive failures:</w:t>
      </w:r>
      <w:r>
        <w:t xml:space="preserve"> If the pipeline fails for 2+ consecutive days, a manual backfill is needed for the gap.</w:t>
      </w:r>
    </w:p>
    <w:p>
      <w:pPr>
        <w:spacing w:before="120" w:after="120"/>
      </w:pPr>
    </w:p>
    <w:p>
      <w:pPr>
        <w:pStyle w:val="Heading1"/>
      </w:pPr>
      <w:r>
        <w:t>10. Risks and Dependencies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Risk</w:t>
            </w:r>
          </w:p>
        </w:tc>
        <w:tc>
          <w:tcPr>
            <w:tcW w:type="dxa" w:w="4320"/>
          </w:tcPr>
          <w:p>
            <w:r/>
            <w:r>
              <w:rPr>
                <w:b/>
                <w:sz w:val="20"/>
              </w:rPr>
              <w:t>Mitigation</w:t>
            </w:r>
          </w:p>
        </w:tc>
      </w:tr>
      <w:tr>
        <w:tc>
          <w:tcPr>
            <w:tcW w:type="dxa" w:w="4320"/>
          </w:tcPr>
          <w:p>
            <w:r>
              <w:rPr>
                <w:sz w:val="20"/>
              </w:rPr>
            </w:r>
            <w:r>
              <w:rPr>
                <w:sz w:val="20"/>
              </w:rPr>
              <w:t>Snapshot tables stale (BuildYamlSnapshot, ServiceTreeHierarchySnapshot)</w:t>
            </w:r>
          </w:p>
        </w:tc>
        <w:tc>
          <w:tcPr>
            <w:tcW w:type="dxa" w:w="4320"/>
          </w:tcPr>
          <w:p>
            <w:r>
              <w:rPr>
                <w:sz w:val="20"/>
              </w:rPr>
            </w:r>
            <w:r>
              <w:rPr>
                <w:sz w:val="20"/>
              </w:rPr>
              <w:t>Freshness check at pipeline start; fail fast if &gt; 24h stale</w:t>
            </w:r>
          </w:p>
        </w:tc>
      </w:tr>
      <w:tr>
        <w:tc>
          <w:tcPr>
            <w:tcW w:type="dxa" w:w="4320"/>
          </w:tcPr>
          <w:p>
            <w:r>
              <w:rPr>
                <w:sz w:val="20"/>
              </w:rPr>
            </w:r>
            <w:r>
              <w:rPr>
                <w:sz w:val="20"/>
              </w:rPr>
              <w:t>Policy data retention (~30 days in Logs)</w:t>
            </w:r>
          </w:p>
        </w:tc>
        <w:tc>
          <w:tcPr>
            <w:tcW w:type="dxa" w:w="4320"/>
          </w:tcPr>
          <w:p>
            <w:r>
              <w:rPr>
                <w:sz w:val="20"/>
              </w:rPr>
            </w:r>
            <w:r>
              <w:rPr>
                <w:sz w:val="20"/>
              </w:rPr>
              <w:t>Runs older than 30 days will have NULL policy statuses in backfill</w:t>
            </w:r>
          </w:p>
        </w:tc>
      </w:tr>
      <w:tr>
        <w:tc>
          <w:tcPr>
            <w:tcW w:type="dxa" w:w="4320"/>
          </w:tcPr>
          <w:p>
            <w:r>
              <w:rPr>
                <w:sz w:val="20"/>
              </w:rPr>
            </w:r>
            <w:r>
              <w:rPr>
                <w:sz w:val="20"/>
              </w:rPr>
              <w:t>belowarmpipelines filter assumes stable pipeline classification</w:t>
            </w:r>
          </w:p>
        </w:tc>
        <w:tc>
          <w:tcPr>
            <w:tcW w:type="dxa" w:w="4320"/>
          </w:tcPr>
          <w:p>
            <w:r>
              <w:rPr>
                <w:sz w:val="20"/>
              </w:rPr>
            </w:r>
            <w:r>
              <w:rPr>
                <w:sz w:val="20"/>
              </w:rPr>
              <w:t>Compute once, reuse. Pipelines don't flip between above/below ARM day-to-day</w:t>
            </w:r>
          </w:p>
        </w:tc>
      </w:tr>
      <w:tr>
        <w:tc>
          <w:tcPr>
            <w:tcW w:type="dxa" w:w="4320"/>
          </w:tcPr>
          <w:p>
            <w:r>
              <w:rPr>
                <w:sz w:val="20"/>
              </w:rPr>
            </w:r>
            <w:r>
              <w:rPr>
                <w:sz w:val="20"/>
              </w:rPr>
              <w:t>2+ consecutive pipeline failures create data gaps</w:t>
            </w:r>
          </w:p>
        </w:tc>
        <w:tc>
          <w:tcPr>
            <w:tcW w:type="dxa" w:w="4320"/>
          </w:tcPr>
          <w:p>
            <w:r>
              <w:rPr>
                <w:sz w:val="20"/>
              </w:rPr>
            </w:r>
            <w:r>
              <w:rPr>
                <w:sz w:val="20"/>
              </w:rPr>
              <w:t>Manual backfill using SDP_BackfillChunk for affected date range</w:t>
            </w:r>
          </w:p>
        </w:tc>
      </w:tr>
      <w:tr>
        <w:tc>
          <w:tcPr>
            <w:tcW w:type="dxa" w:w="4320"/>
          </w:tcPr>
          <w:p>
            <w:r>
              <w:rPr>
                <w:sz w:val="20"/>
              </w:rPr>
            </w:r>
            <w:r>
              <w:rPr>
                <w:sz w:val="20"/>
              </w:rPr>
              <w:t>Type mismatch: BuildId (long) vs Id (string) in policy-compliance</w:t>
            </w:r>
          </w:p>
        </w:tc>
        <w:tc>
          <w:tcPr>
            <w:tcW w:type="dxa" w:w="4320"/>
          </w:tcPr>
          <w:p>
            <w:r>
              <w:rPr>
                <w:sz w:val="20"/>
              </w:rPr>
            </w:r>
            <w:r>
              <w:rPr>
                <w:sz w:val="20"/>
              </w:rPr>
              <w:t>Join on UniqueStageId (string) avoids the mismatch</w:t>
            </w:r>
          </w:p>
        </w:tc>
      </w:tr>
    </w:tbl>
    <w:p>
      <w:pPr>
        <w:spacing w:before="120" w:after="120"/>
      </w:pPr>
    </w:p>
    <w:p>
      <w:pPr>
        <w:pStyle w:val="Heading1"/>
      </w:pPr>
      <w:r>
        <w:t>11. Future Add-ons</w:t>
      </w:r>
    </w:p>
    <w:p>
      <w:r/>
      <w:r>
        <w:rPr>
          <w:b/>
        </w:rPr>
        <w:t>s360prodro SDP action items:</w:t>
      </w:r>
      <w:r>
        <w:t xml:space="preserve"> Wave classification (e.g., "Wave 8") from </w:t>
      </w:r>
      <w:r>
        <w:rPr>
          <w:rFonts w:ascii="Consolas" w:hAnsi="Consolas"/>
          <w:color w:val="404040"/>
          <w:sz w:val="18"/>
        </w:rPr>
        <w:t>cluster('s360prodro').database('service360db')</w:t>
      </w:r>
      <w:r>
        <w:t xml:space="preserve"> can be added as an additional left-outer join enrichment on PipelineUrl. Small dataset, minimal cross-cluster overhead.</w:t>
      </w:r>
    </w:p>
    <w:p>
      <w:pPr>
        <w:spacing w:before="120" w:after="120"/>
      </w:pPr>
    </w:p>
    <w:p>
      <w:pPr>
        <w:pStyle w:val="Heading1"/>
      </w:pPr>
      <w:r>
        <w:t>12. Open Questions</w:t>
      </w:r>
    </w:p>
    <w:p>
      <w:pPr>
        <w:pStyle w:val="ListNumber"/>
      </w:pPr>
      <w:r>
        <w:t>Exact ADF scheduling time and retry policy</w:t>
      </w:r>
    </w:p>
    <w:p>
      <w:pPr>
        <w:pStyle w:val="ListNumber"/>
      </w:pPr>
      <w:r>
        <w:t>Retention period for the materialized table (90d hot cache, 730d total recommended)</w:t>
      </w:r>
    </w:p>
    <w:p>
      <w:pPr>
        <w:pStyle w:val="ListNumber"/>
      </w:pPr>
      <w:r>
        <w:t>Whether to implement a weekly full-rebuild consistency check</w:t>
      </w:r>
    </w:p>
    <w:p>
      <w:pPr>
        <w:spacing w:before="120" w:after="120"/>
      </w:pPr>
    </w:p>
    <w:p>
      <w:pPr>
        <w:pStyle w:val="Heading1"/>
      </w:pPr>
      <w:r>
        <w:t>13. AI Assistance</w:t>
      </w:r>
    </w:p>
    <w:p>
      <w:r>
        <w:t>Claude Code (Anthropic) was used for:</w:t>
      </w:r>
    </w:p>
    <w:p>
      <w:pPr>
        <w:pStyle w:val="ListBullet"/>
      </w:pPr>
      <w:r>
        <w:t>Query decomposition analysis — identifying which parts of the monolithic query could be separated into independent sub-queries</w:t>
      </w:r>
    </w:p>
    <w:p>
      <w:pPr>
        <w:pStyle w:val="ListBullet"/>
      </w:pPr>
      <w:r>
        <w:t>Schema design — defining primary keys, foreign keys, and join relationships across the 3 tables</w:t>
      </w:r>
    </w:p>
    <w:p>
      <w:pPr>
        <w:pStyle w:val="ListBullet"/>
      </w:pPr>
      <w:r>
        <w:t>Incremental processing feasibility analysis — proving that daily slicing produces correct results by tracing join key scopes</w:t>
      </w:r>
    </w:p>
    <w:p>
      <w:pPr>
        <w:pStyle w:val="ListBullet"/>
      </w:pPr>
      <w:r>
        <w:t>Identifying what cannot be done incrementally (service-level classification)</w:t>
      </w:r>
    </w:p>
    <w:p>
      <w:pPr>
        <w:spacing w:before="120" w:after="120"/>
      </w:pPr>
    </w:p>
    <w:p>
      <w:pPr>
        <w:pStyle w:val="Heading1"/>
      </w:pPr>
      <w:r>
        <w:t>14. References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Resource</w:t>
            </w:r>
          </w:p>
        </w:tc>
        <w:tc>
          <w:tcPr>
            <w:tcW w:type="dxa" w:w="4320"/>
          </w:tcPr>
          <w:p>
            <w:r/>
            <w:r>
              <w:rPr>
                <w:b/>
                <w:sz w:val="20"/>
              </w:rPr>
              <w:t>Description</w:t>
            </w:r>
          </w:p>
        </w:tc>
      </w:tr>
      <w:tr>
        <w:tc>
          <w:tcPr>
            <w:tcW w:type="dxa" w:w="4320"/>
          </w:tcPr>
          <w:p>
            <w:r>
              <w:rPr>
                <w:sz w:val="20"/>
              </w:rPr>
            </w:r>
            <w:r>
              <w:rPr>
                <w:sz w:val="20"/>
              </w:rPr>
            </w:r>
            <w:r>
              <w:rPr>
                <w:rFonts w:ascii="Consolas" w:hAnsi="Consolas"/>
                <w:color w:val="404040"/>
                <w:sz w:val="20"/>
              </w:rPr>
              <w:t>schema.md</w:t>
            </w:r>
            <w:r>
              <w:rPr>
                <w:sz w:val="20"/>
              </w:rPr>
            </w:r>
          </w:p>
        </w:tc>
        <w:tc>
          <w:tcPr>
            <w:tcW w:type="dxa" w:w="4320"/>
          </w:tcPr>
          <w:p>
            <w:r>
              <w:rPr>
                <w:sz w:val="20"/>
              </w:rPr>
            </w:r>
            <w:r>
              <w:rPr>
                <w:sz w:val="20"/>
              </w:rPr>
              <w:t>3-table schema reference with keys, joins, and incremental processing analysis</w:t>
            </w:r>
          </w:p>
        </w:tc>
      </w:tr>
      <w:tr>
        <w:tc>
          <w:tcPr>
            <w:tcW w:type="dxa" w:w="4320"/>
          </w:tcPr>
          <w:p>
            <w:r>
              <w:rPr>
                <w:sz w:val="20"/>
              </w:rPr>
            </w:r>
            <w:r>
              <w:rPr>
                <w:sz w:val="20"/>
              </w:rPr>
            </w:r>
            <w:r>
              <w:rPr>
                <w:rFonts w:ascii="Consolas" w:hAnsi="Consolas"/>
                <w:color w:val="404040"/>
                <w:sz w:val="20"/>
              </w:rPr>
              <w:t>all-stage-runs.md</w:t>
            </w:r>
            <w:r>
              <w:rPr>
                <w:sz w:val="20"/>
              </w:rPr>
            </w:r>
          </w:p>
        </w:tc>
        <w:tc>
          <w:tcPr>
            <w:tcW w:type="dxa" w:w="4320"/>
          </w:tcPr>
          <w:p>
            <w:r>
              <w:rPr>
                <w:sz w:val="20"/>
              </w:rPr>
            </w:r>
            <w:r>
              <w:rPr>
                <w:sz w:val="20"/>
              </w:rPr>
              <w:t>Scoping sub-query</w:t>
            </w:r>
          </w:p>
        </w:tc>
      </w:tr>
      <w:tr>
        <w:tc>
          <w:tcPr>
            <w:tcW w:type="dxa" w:w="4320"/>
          </w:tcPr>
          <w:p>
            <w:r>
              <w:rPr>
                <w:sz w:val="20"/>
              </w:rPr>
            </w:r>
            <w:r>
              <w:rPr>
                <w:sz w:val="20"/>
              </w:rPr>
            </w:r>
            <w:r>
              <w:rPr>
                <w:rFonts w:ascii="Consolas" w:hAnsi="Consolas"/>
                <w:color w:val="404040"/>
                <w:sz w:val="20"/>
              </w:rPr>
              <w:t>yaml-to-run-list.md</w:t>
            </w:r>
            <w:r>
              <w:rPr>
                <w:sz w:val="20"/>
              </w:rPr>
            </w:r>
          </w:p>
        </w:tc>
        <w:tc>
          <w:tcPr>
            <w:tcW w:type="dxa" w:w="4320"/>
          </w:tcPr>
          <w:p>
            <w:r>
              <w:rPr>
                <w:sz w:val="20"/>
              </w:rPr>
            </w:r>
            <w:r>
              <w:rPr>
                <w:sz w:val="20"/>
              </w:rPr>
              <w:t>YAML bridge sub-query</w:t>
            </w:r>
          </w:p>
        </w:tc>
      </w:tr>
      <w:tr>
        <w:tc>
          <w:tcPr>
            <w:tcW w:type="dxa" w:w="4320"/>
          </w:tcPr>
          <w:p>
            <w:r>
              <w:rPr>
                <w:sz w:val="20"/>
              </w:rPr>
            </w:r>
            <w:r>
              <w:rPr>
                <w:sz w:val="20"/>
              </w:rPr>
            </w:r>
            <w:r>
              <w:rPr>
                <w:rFonts w:ascii="Consolas" w:hAnsi="Consolas"/>
                <w:color w:val="404040"/>
                <w:sz w:val="20"/>
              </w:rPr>
              <w:t>stage-telemetry-policy-compliance.md</w:t>
            </w:r>
            <w:r>
              <w:rPr>
                <w:sz w:val="20"/>
              </w:rPr>
            </w:r>
          </w:p>
        </w:tc>
        <w:tc>
          <w:tcPr>
            <w:tcW w:type="dxa" w:w="4320"/>
          </w:tcPr>
          <w:p>
            <w:r>
              <w:rPr>
                <w:sz w:val="20"/>
              </w:rPr>
            </w:r>
            <w:r>
              <w:rPr>
                <w:sz w:val="20"/>
              </w:rPr>
              <w:t>Runtime enrichment sub-query</w:t>
            </w:r>
          </w:p>
        </w:tc>
      </w:tr>
      <w:tr>
        <w:tc>
          <w:tcPr>
            <w:tcW w:type="dxa" w:w="4320"/>
          </w:tcPr>
          <w:p>
            <w:r>
              <w:rPr>
                <w:sz w:val="20"/>
              </w:rPr>
            </w:r>
            <w:r>
              <w:rPr>
                <w:sz w:val="20"/>
              </w:rPr>
            </w:r>
            <w:r>
              <w:rPr>
                <w:rFonts w:ascii="Consolas" w:hAnsi="Consolas"/>
                <w:color w:val="404040"/>
                <w:sz w:val="20"/>
              </w:rPr>
              <w:t>Current state of SDP dashboard query.md</w:t>
            </w:r>
            <w:r>
              <w:rPr>
                <w:sz w:val="20"/>
              </w:rPr>
            </w:r>
          </w:p>
        </w:tc>
        <w:tc>
          <w:tcPr>
            <w:tcW w:type="dxa" w:w="4320"/>
          </w:tcPr>
          <w:p>
            <w:r>
              <w:rPr>
                <w:sz w:val="20"/>
              </w:rPr>
            </w:r>
            <w:r>
              <w:rPr>
                <w:sz w:val="20"/>
              </w:rPr>
              <w:t>Old monolithic cross-cluster query</w:t>
            </w:r>
          </w:p>
        </w:tc>
      </w:tr>
      <w:tr>
        <w:tc>
          <w:tcPr>
            <w:tcW w:type="dxa" w:w="4320"/>
          </w:tcPr>
          <w:p>
            <w:r>
              <w:rPr>
                <w:sz w:val="20"/>
              </w:rPr>
            </w:r>
            <w:r>
              <w:rPr>
                <w:sz w:val="20"/>
              </w:rPr>
            </w:r>
            <w:r>
              <w:rPr>
                <w:rFonts w:ascii="Consolas" w:hAnsi="Consolas"/>
                <w:color w:val="404040"/>
                <w:sz w:val="20"/>
              </w:rPr>
              <w:t>ADF-Pipeline-Designmd</w:t>
            </w:r>
            <w:r>
              <w:rPr>
                <w:sz w:val="20"/>
              </w:rPr>
            </w:r>
          </w:p>
        </w:tc>
        <w:tc>
          <w:tcPr>
            <w:tcW w:type="dxa" w:w="4320"/>
          </w:tcPr>
          <w:p>
            <w:r>
              <w:rPr>
                <w:sz w:val="20"/>
              </w:rPr>
            </w:r>
            <w:r>
              <w:rPr>
                <w:sz w:val="20"/>
              </w:rPr>
              <w:t>ADF data risks and required protections</w:t>
            </w:r>
          </w:p>
        </w:tc>
      </w:tr>
      <w:tr>
        <w:tc>
          <w:tcPr>
            <w:tcW w:type="dxa" w:w="4320"/>
          </w:tcPr>
          <w:p>
            <w:r>
              <w:rPr>
                <w:sz w:val="20"/>
              </w:rPr>
            </w:r>
            <w:r>
              <w:rPr>
                <w:sz w:val="20"/>
              </w:rPr>
            </w:r>
            <w:r>
              <w:rPr>
                <w:rFonts w:ascii="Consolas" w:hAnsi="Consolas"/>
                <w:color w:val="404040"/>
                <w:sz w:val="20"/>
              </w:rPr>
              <w:t>SDP Cumulative Architecture Plan.png</w:t>
            </w:r>
            <w:r>
              <w:rPr>
                <w:sz w:val="20"/>
              </w:rPr>
            </w:r>
          </w:p>
        </w:tc>
        <w:tc>
          <w:tcPr>
            <w:tcW w:type="dxa" w:w="4320"/>
          </w:tcPr>
          <w:p>
            <w:r>
              <w:rPr>
                <w:sz w:val="20"/>
              </w:rPr>
            </w:r>
            <w:r>
              <w:rPr>
                <w:sz w:val="20"/>
              </w:rPr>
              <w:t>Architecture diagram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