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320"/>
        <w:jc w:val="center"/>
      </w:pPr>
      <w:r>
        <w:drawing>
          <wp:inline xmlns:a="http://schemas.openxmlformats.org/drawingml/2006/main" xmlns:pic="http://schemas.openxmlformats.org/drawingml/2006/picture">
            <wp:extent cx="4114800" cy="2160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pBdr>
          <w:bottom w:val="single" w:sz="8" w:space="1" w:color="3B0F8C"/>
        </w:pBdr>
      </w:pPr>
    </w:p>
    <w:p>
      <w:pPr>
        <w:spacing w:before="560" w:after="120"/>
        <w:jc w:val="center"/>
      </w:pPr>
      <w:r>
        <w:rPr>
          <w:b/>
          <w:color w:val="1F497D"/>
          <w:sz w:val="52"/>
        </w:rPr>
        <w:t>Advanced Apex Project II</w:t>
      </w:r>
    </w:p>
    <w:p>
      <w:pPr>
        <w:spacing w:before="0" w:after="160"/>
        <w:jc w:val="center"/>
      </w:pPr>
      <w:r>
        <w:rPr>
          <w:b/>
          <w:color w:val="5818A9"/>
          <w:sz w:val="36"/>
        </w:rPr>
        <w:t>Week 2 — Project Outline Report</w:t>
      </w:r>
    </w:p>
    <w:p>
      <w:pPr>
        <w:spacing w:before="0" w:after="720"/>
        <w:jc w:val="center"/>
      </w:pPr>
      <w:r>
        <w:rPr>
          <w:i/>
          <w:color w:val="505050"/>
          <w:sz w:val="26"/>
        </w:rPr>
        <w:t>Case Study: Employee Attrition in Retail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true"/>
          <w:cantSplit w:val="true"/>
        </w:trPr>
        <w:tc>
          <w:tcPr>
            <w:tcW w:type="dxa" w:w="4536"/>
            <w:shd w:val="clear" w:color="auto" w:fill="EEF2FF"/>
          </w:tcPr>
          <w:p>
            <w:r>
              <w:rPr>
                <w:b/>
                <w:sz w:val="21"/>
              </w:rPr>
              <w:t>Student Name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Anik Das</w:t>
            </w:r>
          </w:p>
        </w:tc>
      </w:tr>
      <w:tr>
        <w:trPr>
          <w:cantSplit w:val="true"/>
          <w:cantSplit w:val="true"/>
        </w:trPr>
        <w:tc>
          <w:tcPr>
            <w:tcW w:type="dxa" w:w="4536"/>
            <w:shd w:val="clear" w:color="auto" w:fill="EEF2FF"/>
          </w:tcPr>
          <w:p>
            <w:r>
              <w:rPr>
                <w:b/>
                <w:sz w:val="21"/>
              </w:rPr>
              <w:t>Student ID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2025EM1100026</w:t>
            </w:r>
          </w:p>
        </w:tc>
      </w:tr>
      <w:tr>
        <w:trPr>
          <w:cantSplit w:val="true"/>
          <w:cantSplit w:val="true"/>
        </w:trPr>
        <w:tc>
          <w:tcPr>
            <w:tcW w:type="dxa" w:w="4536"/>
            <w:shd w:val="clear" w:color="auto" w:fill="EEF2FF"/>
          </w:tcPr>
          <w:p>
            <w:r>
              <w:rPr>
                <w:b/>
                <w:sz w:val="21"/>
              </w:rPr>
              <w:t>Email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2025em1100026@bitspilani-digital.edu.in</w:t>
            </w:r>
          </w:p>
        </w:tc>
      </w:tr>
      <w:tr>
        <w:trPr>
          <w:cantSplit w:val="true"/>
          <w:cantSplit w:val="true"/>
        </w:trPr>
        <w:tc>
          <w:tcPr>
            <w:tcW w:type="dxa" w:w="4536"/>
            <w:shd w:val="clear" w:color="auto" w:fill="EEF2FF"/>
          </w:tcPr>
          <w:p>
            <w:r>
              <w:rPr>
                <w:b/>
                <w:sz w:val="21"/>
              </w:rPr>
              <w:t>Programme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M.Sc. Data Science &amp; Artificial Intelligence</w:t>
            </w:r>
          </w:p>
        </w:tc>
      </w:tr>
      <w:tr>
        <w:trPr>
          <w:cantSplit w:val="true"/>
          <w:cantSplit w:val="true"/>
        </w:trPr>
        <w:tc>
          <w:tcPr>
            <w:tcW w:type="dxa" w:w="4536"/>
            <w:shd w:val="clear" w:color="auto" w:fill="EEF2FF"/>
          </w:tcPr>
          <w:p>
            <w:r>
              <w:rPr>
                <w:b/>
                <w:sz w:val="21"/>
              </w:rPr>
              <w:t>Submission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Week 2 — Project Outline &amp; Initial Setup</w:t>
            </w:r>
          </w:p>
        </w:tc>
      </w:tr>
    </w:tbl>
    <w:p>
      <w:pPr>
        <w:spacing w:before="680"/>
        <w:jc w:val="center"/>
      </w:pPr>
      <w:r>
        <w:rPr>
          <w:i/>
          <w:color w:val="787878"/>
          <w:sz w:val="18"/>
        </w:rPr>
        <w:t>May 2026  |  BITS Pilani Digital</w:t>
      </w:r>
    </w:p>
    <w:p>
      <w:pPr>
        <w:spacing w:before="0" w:after="0"/>
      </w:pPr>
      <w:r>
        <w:br w:type="page"/>
      </w:r>
    </w:p>
    <w:p>
      <w:pPr>
        <w:spacing w:before="280" w:after="100"/>
        <w:keepNext/>
        <w:pBdr>
          <w:bottom w:val="single" w:sz="6" w:space="4" w:color="1F497D"/>
        </w:pBdr>
      </w:pPr>
      <w:r>
        <w:rPr>
          <w:b/>
          <w:color w:val="1F497D"/>
          <w:sz w:val="28"/>
        </w:rPr>
        <w:t>1.  Problem Statement &amp; Business Goal</w:t>
      </w:r>
    </w:p>
    <w:p>
      <w:pPr>
        <w:spacing w:before="0" w:after="120"/>
      </w:pPr>
      <w:r>
        <w:rPr>
          <w:sz w:val="21"/>
        </w:rPr>
        <w:t>Employee turnover is a critical operational and financial challenge in the retail industry. High attrition rates — particularly among front-line roles such as Cashiers and Sales Associates — lead to significant recruitment and training costs, loss of operational consistency, and declining customer satisfaction.</w:t>
      </w:r>
    </w:p>
    <w:p>
      <w:pPr>
        <w:keepNext/>
        <w:spacing w:before="120" w:after="80"/>
      </w:pPr>
      <w:r>
        <w:rPr>
          <w:b/>
          <w:color w:val="5818A9"/>
          <w:sz w:val="23"/>
        </w:rPr>
        <w:t>Business Goals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Identify the key drivers of voluntary employee turnover in a retail context.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Build and compare multiple classification models to predict employee attrition risk.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Provide actionable recommendations to store management to improve staff retention.</w:t>
      </w:r>
    </w:p>
    <w:p>
      <w:pPr>
        <w:spacing w:before="280" w:after="100"/>
        <w:keepNext/>
        <w:pageBreakBefore/>
        <w:pBdr>
          <w:bottom w:val="single" w:sz="6" w:space="4" w:color="1F497D"/>
        </w:pBdr>
      </w:pPr>
      <w:r>
        <w:rPr>
          <w:b/>
          <w:color w:val="1F497D"/>
          <w:sz w:val="28"/>
        </w:rPr>
        <w:t>2.  Dataset Details</w:t>
      </w:r>
    </w:p>
    <w:p>
      <w:pPr>
        <w:spacing w:after="120"/>
      </w:pPr>
      <w:r>
        <w:rPr>
          <w:b/>
          <w:sz w:val="21"/>
        </w:rPr>
        <w:t xml:space="preserve">Dataset: </w:t>
      </w:r>
      <w:r>
        <w:rPr>
          <w:sz w:val="21"/>
        </w:rPr>
        <w:t>Employee_Dataset_Retail.csv (Authored by Manu Chopra, available on Kaggle).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453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536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r>
              <w:rPr>
                <w:b/>
                <w:sz w:val="20"/>
              </w:rPr>
              <w:t>Total Records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9,000 employees</w:t>
            </w:r>
          </w:p>
        </w:tc>
      </w:tr>
      <w:tr>
        <w:trPr>
          <w:cantSplit w:val="true"/>
        </w:trPr>
        <w:tc>
          <w:tcPr>
            <w:tcW w:type="dxa" w:w="4536"/>
            <w:shd w:val="clear" w:color="auto" w:fill="EBF0F7"/>
          </w:tcPr>
          <w:p>
            <w:r>
              <w:rPr>
                <w:b/>
                <w:sz w:val="20"/>
              </w:rPr>
              <w:t>Total Features</w:t>
            </w:r>
          </w:p>
        </w:tc>
        <w:tc>
          <w:tcPr>
            <w:tcW w:type="dxa" w:w="4536"/>
            <w:shd w:val="clear" w:color="auto" w:fill="EBF0F7"/>
          </w:tcPr>
          <w:p>
            <w:r>
              <w:rPr>
                <w:sz w:val="20"/>
              </w:rPr>
              <w:t>31 columns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r>
              <w:rPr>
                <w:b/>
                <w:sz w:val="20"/>
              </w:rPr>
              <w:t>Target Variable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Attrition_Status (Yes / No)</w:t>
            </w:r>
          </w:p>
        </w:tc>
      </w:tr>
      <w:tr>
        <w:trPr>
          <w:cantSplit w:val="true"/>
        </w:trPr>
        <w:tc>
          <w:tcPr>
            <w:tcW w:type="dxa" w:w="4536"/>
            <w:shd w:val="clear" w:color="auto" w:fill="EBF0F7"/>
          </w:tcPr>
          <w:p>
            <w:r>
              <w:rPr>
                <w:b/>
                <w:sz w:val="20"/>
              </w:rPr>
              <w:t>Attrition = Yes</w:t>
            </w:r>
          </w:p>
        </w:tc>
        <w:tc>
          <w:tcPr>
            <w:tcW w:type="dxa" w:w="4536"/>
            <w:shd w:val="clear" w:color="auto" w:fill="EBF0F7"/>
          </w:tcPr>
          <w:p>
            <w:r>
              <w:rPr>
                <w:sz w:val="20"/>
              </w:rPr>
              <w:t>655 employees  (7.28 %)</w:t>
            </w:r>
          </w:p>
        </w:tc>
      </w:tr>
      <w:tr>
        <w:trPr>
          <w:cantSplit w:val="true"/>
        </w:trPr>
        <w:tc>
          <w:tcPr>
            <w:tcW w:type="dxa" w:w="4536"/>
          </w:tcPr>
          <w:p>
            <w:r>
              <w:rPr>
                <w:b/>
                <w:sz w:val="20"/>
              </w:rPr>
              <w:t>Attrition = No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8,345 employees  (92.72 %)</w:t>
            </w:r>
          </w:p>
        </w:tc>
      </w:tr>
      <w:tr>
        <w:trPr>
          <w:cantSplit w:val="true"/>
        </w:trPr>
        <w:tc>
          <w:tcPr>
            <w:tcW w:type="dxa" w:w="4536"/>
            <w:shd w:val="clear" w:color="auto" w:fill="EBF0F7"/>
          </w:tcPr>
          <w:p>
            <w:r>
              <w:rPr>
                <w:b/>
                <w:sz w:val="20"/>
              </w:rPr>
              <w:t>Class Imbalance</w:t>
            </w:r>
          </w:p>
        </w:tc>
        <w:tc>
          <w:tcPr>
            <w:tcW w:type="dxa" w:w="4536"/>
            <w:shd w:val="clear" w:color="auto" w:fill="EBF0F7"/>
          </w:tcPr>
          <w:p>
            <w:r>
              <w:rPr>
                <w:sz w:val="20"/>
              </w:rPr>
              <w:t>≈ 12.7 : 1  (No : Yes)</w:t>
            </w:r>
          </w:p>
        </w:tc>
      </w:tr>
    </w:tbl>
    <w:p>
      <w:pPr>
        <w:spacing w:before="0" w:after="80"/>
      </w:pPr>
    </w:p>
    <w:p>
      <w:pPr>
        <w:keepNext/>
        <w:spacing w:before="120" w:after="80"/>
      </w:pPr>
      <w:r>
        <w:rPr>
          <w:b/>
          <w:color w:val="5818A9"/>
          <w:sz w:val="23"/>
        </w:rPr>
        <w:t>Feature Dictionary (Key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  <w:tblHeader w:val="true"/>
          <w:cantSplit w:val="true"/>
        </w:trP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Unique employee identifier — dropped before modelling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Numeric (int)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Employee_Name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Employee name — dropped before modelling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Categorical (ID)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Male / Female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Categorical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Employee age (22–59 years)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Numeric (int)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Date_of_Joining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Date employee joined the company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Date (string)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Years_at_Company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Tenure at company in years (1–9)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Numeric (int)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Monthly_Income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Monthly salary in INR (₹20,010–₹1,49,985) — no missing values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Numeric (int)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Annual_Income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Yearly salary in INR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Numeric (int)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Finance, HR, Sales, Marketing, IT, Operations, Supply Chain, Customer Support (8 depts)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Categorical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Job_Role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Assistant, Executive, Specialist, Supervisor, Analyst, Technician, Manager, Coordinator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Categorical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Seniority level — Junior, Mid-Level, Senior, Lead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Ordinal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Employment_Type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Full-time, Contract, Part-time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Categorical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Work_Location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HQ or Remote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Binary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10 Indian states (Maharashtra, Gujarat, Tamil Nadu, etc.)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Categorical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50 anonymised cities (City_1...City_50)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Categorical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Distance_from_Home</w:t>
            </w:r>
          </w:p>
        </w:tc>
        <w:tc>
          <w:tcPr>
            <w:tcW w:type="dxa" w:w="3024"/>
          </w:tcPr>
          <w:p>
            <w:r>
              <w:t>Commute distance in km (1–49)</w:t>
            </w:r>
          </w:p>
        </w:tc>
        <w:tc>
          <w:tcPr>
            <w:tcW w:type="dxa" w:w="3024"/>
          </w:tcPr>
          <w:p>
            <w:r>
              <w:t>Numeric (int)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Education_Level</w:t>
            </w:r>
          </w:p>
        </w:tc>
        <w:tc>
          <w:tcPr>
            <w:tcW w:type="dxa" w:w="3024"/>
          </w:tcPr>
          <w:p>
            <w:r>
              <w:t>High School, Diploma, Graduate, Postgraduate, PhD</w:t>
            </w:r>
          </w:p>
        </w:tc>
        <w:tc>
          <w:tcPr>
            <w:tcW w:type="dxa" w:w="3024"/>
          </w:tcPr>
          <w:p>
            <w:r>
              <w:t>Ordinal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Education_Field</w:t>
            </w:r>
          </w:p>
        </w:tc>
        <w:tc>
          <w:tcPr>
            <w:tcW w:type="dxa" w:w="3024"/>
          </w:tcPr>
          <w:p>
            <w:r>
              <w:t>Engineering, Commerce, Arts, Management, Science, Others</w:t>
            </w:r>
          </w:p>
        </w:tc>
        <w:tc>
          <w:tcPr>
            <w:tcW w:type="dxa" w:w="3024"/>
          </w:tcPr>
          <w:p>
            <w:r>
              <w:t>Categorical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Marital_Status</w:t>
            </w:r>
          </w:p>
        </w:tc>
        <w:tc>
          <w:tcPr>
            <w:tcW w:type="dxa" w:w="3024"/>
          </w:tcPr>
          <w:p>
            <w:r>
              <w:t>Single, Married, Divorced</w:t>
            </w:r>
          </w:p>
        </w:tc>
        <w:tc>
          <w:tcPr>
            <w:tcW w:type="dxa" w:w="3024"/>
          </w:tcPr>
          <w:p>
            <w:r>
              <w:t>Categorical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Performance_Score</w:t>
            </w:r>
          </w:p>
        </w:tc>
        <w:tc>
          <w:tcPr>
            <w:tcW w:type="dxa" w:w="3024"/>
          </w:tcPr>
          <w:p>
            <w:r>
              <w:t>Manager-rated grade — A*, A+, A, B</w:t>
            </w:r>
          </w:p>
        </w:tc>
        <w:tc>
          <w:tcPr>
            <w:tcW w:type="dxa" w:w="3024"/>
          </w:tcPr>
          <w:p>
            <w:r>
              <w:t>Ordinal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Last_3_Year_Rating</w:t>
            </w:r>
          </w:p>
        </w:tc>
        <w:tc>
          <w:tcPr>
            <w:tcW w:type="dxa" w:w="3024"/>
          </w:tcPr>
          <w:p>
            <w:r>
              <w:t>Multi-year performance label (9 categories: Future Star, Contributor, etc.)</w:t>
            </w:r>
          </w:p>
        </w:tc>
        <w:tc>
          <w:tcPr>
            <w:tcW w:type="dxa" w:w="3024"/>
          </w:tcPr>
          <w:p>
            <w:r>
              <w:t>Categorical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Attrition_Status</w:t>
            </w:r>
          </w:p>
        </w:tc>
        <w:tc>
          <w:tcPr>
            <w:tcW w:type="dxa" w:w="3024"/>
          </w:tcPr>
          <w:p>
            <w:r>
              <w:t>TARGET — Employee left (Yes / No)</w:t>
            </w:r>
          </w:p>
        </w:tc>
        <w:tc>
          <w:tcPr>
            <w:tcW w:type="dxa" w:w="3024"/>
          </w:tcPr>
          <w:p>
            <w:r>
              <w:t>Binary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Attrition_Reason</w:t>
            </w:r>
          </w:p>
        </w:tc>
        <w:tc>
          <w:tcPr>
            <w:tcW w:type="dxa" w:w="3024"/>
          </w:tcPr>
          <w:p>
            <w:r>
              <w:t>Specific reason for leaving — NaN for retained employees (exclude before model training)</w:t>
            </w:r>
          </w:p>
        </w:tc>
        <w:tc>
          <w:tcPr>
            <w:tcW w:type="dxa" w:w="3024"/>
          </w:tcPr>
          <w:p>
            <w:r>
              <w:t>Categorical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Attrition_Date</w:t>
            </w:r>
          </w:p>
        </w:tc>
        <w:tc>
          <w:tcPr>
            <w:tcW w:type="dxa" w:w="3024"/>
          </w:tcPr>
          <w:p>
            <w:r>
              <w:t>Date of departure — NaN for retained employees (exclude before model training)</w:t>
            </w:r>
          </w:p>
        </w:tc>
        <w:tc>
          <w:tcPr>
            <w:tcW w:type="dxa" w:w="3024"/>
          </w:tcPr>
          <w:p>
            <w:r>
              <w:t>Date (string)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Onboarding_Status</w:t>
            </w:r>
          </w:p>
        </w:tc>
        <w:tc>
          <w:tcPr>
            <w:tcW w:type="dxa" w:w="3024"/>
          </w:tcPr>
          <w:p>
            <w:r>
              <w:t>Accepted, Rejected, Pending, Rolled out</w:t>
            </w:r>
          </w:p>
        </w:tc>
        <w:tc>
          <w:tcPr>
            <w:tcW w:type="dxa" w:w="3024"/>
          </w:tcPr>
          <w:p>
            <w:r>
              <w:t>Categorical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New_Hires_Joining_Month</w:t>
            </w:r>
          </w:p>
        </w:tc>
        <w:tc>
          <w:tcPr>
            <w:tcW w:type="dxa" w:w="3024"/>
          </w:tcPr>
          <w:p>
            <w:r>
              <w:t>Month number of joining (1–12)</w:t>
            </w:r>
          </w:p>
        </w:tc>
        <w:tc>
          <w:tcPr>
            <w:tcW w:type="dxa" w:w="3024"/>
          </w:tcPr>
          <w:p>
            <w:r>
              <w:t>Numeric (int)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Environment_Satisfaction</w:t>
            </w:r>
          </w:p>
        </w:tc>
        <w:tc>
          <w:tcPr>
            <w:tcW w:type="dxa" w:w="3024"/>
          </w:tcPr>
          <w:p>
            <w:r>
              <w:t>Workplace satisfaction — Very High, High, Medium, Low</w:t>
            </w:r>
          </w:p>
        </w:tc>
        <w:tc>
          <w:tcPr>
            <w:tcW w:type="dxa" w:w="3024"/>
          </w:tcPr>
          <w:p>
            <w:r>
              <w:t>Ordinal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Employee_Cost_to_Company</w:t>
            </w:r>
          </w:p>
        </w:tc>
        <w:tc>
          <w:tcPr>
            <w:tcW w:type="dxa" w:w="3024"/>
          </w:tcPr>
          <w:p>
            <w:r>
              <w:t>Total annual CTC in INR (₹5L–₹25L)</w:t>
            </w:r>
          </w:p>
        </w:tc>
        <w:tc>
          <w:tcPr>
            <w:tcW w:type="dxa" w:w="3024"/>
          </w:tcPr>
          <w:p>
            <w:r>
              <w:t>Numeric (int)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Hourly_Rate</w:t>
            </w:r>
          </w:p>
        </w:tc>
        <w:tc>
          <w:tcPr>
            <w:tcW w:type="dxa" w:w="3024"/>
          </w:tcPr>
          <w:p>
            <w:r>
              <w:t>Hourly pay rate (₹200–₹999)</w:t>
            </w:r>
          </w:p>
        </w:tc>
        <w:tc>
          <w:tcPr>
            <w:tcW w:type="dxa" w:w="3024"/>
          </w:tcPr>
          <w:p>
            <w:r>
              <w:t>Numeric (int)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Annual_HR_Feedback_Satisfaction_Score</w:t>
            </w:r>
          </w:p>
        </w:tc>
        <w:tc>
          <w:tcPr>
            <w:tcW w:type="dxa" w:w="3024"/>
          </w:tcPr>
          <w:p>
            <w:r>
              <w:t>Annual HR feedback satisfaction score (1–4)</w:t>
            </w:r>
          </w:p>
        </w:tc>
        <w:tc>
          <w:tcPr>
            <w:tcW w:type="dxa" w:w="3024"/>
          </w:tcPr>
          <w:p>
            <w:r>
              <w:t>Ordinal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t>Yearly_Total_Training_Hours</w:t>
            </w:r>
          </w:p>
        </w:tc>
        <w:tc>
          <w:tcPr>
            <w:tcW w:type="dxa" w:w="3024"/>
          </w:tcPr>
          <w:p>
            <w:r>
              <w:t>Total training hours per year (10–199)</w:t>
            </w:r>
          </w:p>
        </w:tc>
        <w:tc>
          <w:tcPr>
            <w:tcW w:type="dxa" w:w="3024"/>
          </w:tcPr>
          <w:p>
            <w:r>
              <w:t>Numeric (int)</w:t>
            </w:r>
          </w:p>
        </w:tc>
      </w:tr>
    </w:tbl>
    <w:p>
      <w:pPr>
        <w:spacing w:before="280" w:after="100"/>
        <w:keepNext/>
        <w:pageBreakBefore/>
        <w:pBdr>
          <w:bottom w:val="single" w:sz="6" w:space="4" w:color="1F497D"/>
        </w:pBdr>
      </w:pPr>
      <w:r>
        <w:rPr>
          <w:b/>
          <w:color w:val="1F497D"/>
          <w:sz w:val="28"/>
        </w:rPr>
        <w:t>3.  Initial Dataset Understanding</w:t>
      </w:r>
    </w:p>
    <w:p>
      <w:pPr>
        <w:keepNext/>
        <w:spacing w:before="80" w:after="80"/>
      </w:pPr>
      <w:r>
        <w:rPr>
          <w:b/>
          <w:color w:val="5818A9"/>
          <w:sz w:val="23"/>
        </w:rPr>
        <w:t>Observations</w:t>
      </w:r>
    </w:p>
    <w:p>
      <w:pPr>
        <w:pStyle w:val="ListBullet"/>
        <w:keepNext/>
        <w:spacing w:after="60" w:before="0"/>
        <w:ind w:left="403"/>
      </w:pPr>
      <w:r>
        <w:rPr>
          <w:b/>
          <w:sz w:val="21"/>
        </w:rPr>
        <w:t xml:space="preserve">Data Volume: </w:t>
      </w:r>
      <w:r>
        <w:rPr>
          <w:sz w:val="21"/>
        </w:rPr>
        <w:t>9,000 records — sufficient for reliable model training and validation.</w:t>
      </w:r>
    </w:p>
    <w:p>
      <w:pPr>
        <w:pStyle w:val="ListBullet"/>
        <w:keepNext/>
        <w:spacing w:after="60" w:before="0"/>
        <w:ind w:left="403"/>
      </w:pPr>
      <w:r>
        <w:rPr>
          <w:b/>
          <w:sz w:val="21"/>
        </w:rPr>
        <w:t xml:space="preserve">Data Types: </w:t>
      </w:r>
      <w:r>
        <w:rPr>
          <w:sz w:val="21"/>
        </w:rPr>
        <w:t>Features are a mix of numerical, categorical, and ordinal types. Date_of_Joining is object type and needs datetime conversion.</w:t>
      </w:r>
    </w:p>
    <w:p>
      <w:pPr>
        <w:pStyle w:val="ListBullet"/>
        <w:keepNext/>
        <w:spacing w:after="60" w:before="0"/>
        <w:ind w:left="403"/>
      </w:pPr>
      <w:r>
        <w:rPr>
          <w:b/>
          <w:sz w:val="21"/>
        </w:rPr>
        <w:t>Missing Values: Only two columns have missing values — Attrition_Reason and Attrition_Date — both intentionally NaN for retained employees (not a data quality issue).</w:t>
      </w:r>
      <w:r>
        <w:rPr>
          <w:sz w:val="21"/>
        </w:rPr>
      </w:r>
    </w:p>
    <w:p>
      <w:pPr>
        <w:pStyle w:val="ListBullet"/>
        <w:keepNext/>
        <w:spacing w:after="60" w:before="0"/>
        <w:ind w:left="720"/>
      </w:pPr>
      <w:r>
        <w:rPr>
          <w:sz w:val="21"/>
        </w:rPr>
        <w:t>No genuine missing values in predictor columns. Attrition_Reason and Attrition_Date are intentionally NaN for non-attrited employees and will be excluded from model training.</w:t>
      </w:r>
    </w:p>
    <w:p>
      <w:pPr>
        <w:pStyle w:val="ListBullet"/>
        <w:keepNext/>
        <w:spacing w:after="60" w:before="0"/>
        <w:ind w:left="720"/>
      </w:pPr>
      <w:r>
        <w:rPr>
          <w:sz w:val="21"/>
        </w:rPr>
        <w:t>No genuine missing values in predictor columns. Attrition_Reason and Attrition_Date are intentionally NaN for non-attrited employees and will be excluded from model training.</w:t>
      </w:r>
    </w:p>
    <w:p>
      <w:pPr>
        <w:pStyle w:val="ListBullet"/>
        <w:keepNext/>
        <w:spacing w:after="60" w:before="0"/>
        <w:ind w:left="720"/>
      </w:pPr>
      <w:r>
        <w:rPr>
          <w:sz w:val="21"/>
        </w:rPr>
        <w:t>Annual_HR_Feedback_Satisfaction_Score: no missing values — column is complete in the new dataset.</w:t>
      </w:r>
    </w:p>
    <w:p>
      <w:pPr>
        <w:pStyle w:val="ListBullet"/>
        <w:keepNext/>
        <w:spacing w:after="60" w:before="0"/>
        <w:ind w:left="720"/>
      </w:pPr>
      <w:r>
        <w:rPr>
          <w:sz w:val="21"/>
        </w:rPr>
        <w:t>Environment_Satisfaction: no missing values — column is complete in the new dataset.</w:t>
      </w:r>
    </w:p>
    <w:p>
      <w:pPr>
        <w:pStyle w:val="ListBullet"/>
        <w:keepNext/>
        <w:spacing w:after="60" w:before="0"/>
        <w:ind w:left="720"/>
      </w:pPr>
      <w:r>
        <w:rPr>
          <w:sz w:val="21"/>
        </w:rPr>
        <w:t>Attrition_Reason: 8,345 missing (92.7%) and Attrition_Date: 8,345 missing (92.7%) — intentionally NaN for retained employees only; excluded from model training to prevent target leakage.</w:t>
      </w:r>
    </w:p>
    <w:p>
      <w:pPr>
        <w:pStyle w:val="ListBullet"/>
        <w:keepNext/>
        <w:spacing w:after="60" w:before="0"/>
        <w:ind w:left="403"/>
      </w:pPr>
      <w:r>
        <w:rPr>
          <w:b/>
          <w:sz w:val="21"/>
        </w:rPr>
        <w:t xml:space="preserve">Class Imbalance: </w:t>
      </w:r>
      <w:r>
        <w:rPr>
          <w:sz w:val="21"/>
        </w:rPr>
        <w:t>92.72 % No vs 7.28 % Yes (12.7 : 1 ratio). F1-Score and ROC-AUC are preferred over plain accuracy.</w:t>
      </w:r>
    </w:p>
    <w:p>
      <w:pPr>
        <w:keepNext/>
        <w:spacing w:before="160" w:after="80"/>
      </w:pPr>
      <w:r>
        <w:rPr>
          <w:b/>
          <w:color w:val="5818A9"/>
          <w:sz w:val="23"/>
        </w:rPr>
        <w:t>Expected Challenges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Class imbalance must be handled via SMOTE or class_weight='balanced'.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Severe class imbalance (12.7:1) requires SMOTE or class_weight='balanced' carefully tuned to avoid over-sampling noise.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Date_of_Joining requires datetime conversion and feature extraction (Joining_Year, Joining_Month).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Ordinal encoding must preserve natural ordering for Position, Education_Level, Performance_Score, and Environment_Satisfaction.</w:t>
      </w:r>
    </w:p>
    <w:p>
      <w:pPr>
        <w:spacing w:before="280" w:after="100"/>
        <w:keepNext/>
        <w:pageBreakBefore/>
        <w:pBdr>
          <w:bottom w:val="single" w:sz="6" w:space="4" w:color="1F497D"/>
        </w:pBdr>
      </w:pPr>
      <w:r>
        <w:rPr>
          <w:b/>
          <w:color w:val="1F497D"/>
          <w:sz w:val="28"/>
        </w:rPr>
        <w:t>4.  Proposed Workflow</w:t>
      </w:r>
    </w:p>
    <w:p>
      <w:pPr>
        <w:keepNext/>
        <w:spacing w:before="160" w:after="60"/>
      </w:pPr>
      <w:r>
        <w:rPr>
          <w:b/>
          <w:color w:val="5818A9"/>
          <w:sz w:val="23"/>
        </w:rPr>
        <w:t>Step 1 — Data Preprocessing (DPP)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Drop Employee_ID (non-predictive identifier).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Parse Date_of_Joining to datetime; extract Joining_Year and Joining_Month.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Verify data integrity: confirm no missing values in numeric columns (new dataset has none in predictors).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Drop Employee_Name (non-predictive; all values are anonymised as 'Employee_N').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Encode Onboarding_Status (4 categories: Accepted, Rejected, Pending, Rolled out) using One-Hot Encoding.</w:t>
      </w:r>
    </w:p>
    <w:p>
      <w:pPr>
        <w:keepNext/>
        <w:spacing w:before="160" w:after="60"/>
      </w:pPr>
      <w:r>
        <w:rPr>
          <w:b/>
          <w:color w:val="5818A9"/>
          <w:sz w:val="23"/>
        </w:rPr>
        <w:t>Step 2 — Exploratory Data Analysis (EDA)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Univariate analysis: distributions of Age, Monthly_Income, Years_at_Company, Distance_from_Home, Yearly_Total_Training_Hours.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Bivariate analysis: Attrition_Status vs Employment_Type, Department, Job_Role, Work_Location, Position, Distance_from_Home.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Correlation heatmap of all numeric features.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Attrition_Status rate by Department, State, and Work_Location (grouped bar charts and heatmaps).</w:t>
      </w:r>
    </w:p>
    <w:p>
      <w:pPr>
        <w:keepNext/>
        <w:spacing w:before="160" w:after="60"/>
      </w:pPr>
      <w:r>
        <w:rPr>
          <w:b/>
          <w:color w:val="5818A9"/>
          <w:sz w:val="23"/>
        </w:rPr>
        <w:t>Step 3 — Feature Engineering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IncomeToRoleRatio: Monthly_Income / median income of the same Job_Role.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SalaryPerYear: Monthly_Income × 12 / Employee_Cost_to_Company — captures salary-to-CTC efficiency ratio as a retention risk signal.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TenureBand: bin Years_at_Company into groups (1–3, 4–6, 7–9) aligned with the dataset range of 1–9 years.</w:t>
      </w:r>
    </w:p>
    <w:p>
      <w:pPr>
        <w:keepNext/>
        <w:spacing w:before="160" w:after="60"/>
      </w:pPr>
      <w:r>
        <w:rPr>
          <w:b/>
          <w:color w:val="5818A9"/>
          <w:sz w:val="23"/>
        </w:rPr>
        <w:t>Step 4 — Encoding &amp; Scaling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One-Hot Encode nominals: Gender, Department, Job_Role, Employment_Type, Work_Location, Education_Field, Marital_Status, State, Onboarding_Status, Last_3_Year_Rating.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Ordinal Encode: Education_Level (High School &lt; Diploma &lt; Graduate &lt; Postgraduate &lt; PhD), Position (Junior &lt; Mid-Level &lt; Senior &lt; Lead), Performance_Score (B &lt; A &lt; A+ &lt; A*), Environment_Satisfaction (Low &lt; Medium &lt; High &lt; Very High), Annual_HR_Feedback_Satisfaction_Score (1–4 already numeric).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StandardScaler on all numeric features.</w:t>
      </w:r>
    </w:p>
    <w:p>
      <w:pPr>
        <w:keepNext/>
        <w:spacing w:before="160" w:after="60"/>
      </w:pPr>
      <w:r>
        <w:rPr>
          <w:b/>
          <w:color w:val="5818A9"/>
          <w:sz w:val="23"/>
        </w:rPr>
        <w:t>Step 5 — Class Imbalance Handling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Apply SMOTE only on training data using imblearn.pipeline (prevents data leakage).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Alternative: class_weight='balanced' for tree-based models.</w:t>
      </w:r>
    </w:p>
    <w:p>
      <w:pPr>
        <w:keepNext/>
        <w:spacing w:before="160" w:after="60"/>
      </w:pPr>
      <w:r>
        <w:rPr>
          <w:b/>
          <w:color w:val="5818A9"/>
          <w:sz w:val="23"/>
        </w:rPr>
        <w:t>Step 6 — Model Building &amp; Evaluation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Train/test split: 80 % train, 20 % test (stratified by target).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Train all 5 proposed models and record metrics.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Evaluate using F1-Score (Yes class), ROC-AUC, Precision, Recall, Confusion Matrix.</w:t>
      </w:r>
    </w:p>
    <w:p>
      <w:pPr>
        <w:keepNext/>
        <w:spacing w:before="160" w:after="60"/>
      </w:pPr>
      <w:r>
        <w:rPr>
          <w:b/>
          <w:color w:val="5818A9"/>
          <w:sz w:val="23"/>
        </w:rPr>
        <w:t>Step 7 — Hyperparameter Tuning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GridSearchCV for Logistic Regression and Decision Tree.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RandomizedSearchCV for Random Forest and Gradient Boosting.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5-fold Stratified K-Fold cross-validation throughout.</w:t>
      </w:r>
    </w:p>
    <w:p>
      <w:pPr>
        <w:spacing w:before="280" w:after="100"/>
        <w:keepNext/>
        <w:pageBreakBefore/>
        <w:pBdr>
          <w:bottom w:val="single" w:sz="6" w:space="4" w:color="1F497D"/>
        </w:pBdr>
      </w:pPr>
      <w:r>
        <w:rPr>
          <w:b/>
          <w:color w:val="1F497D"/>
          <w:sz w:val="28"/>
        </w:rPr>
        <w:t>5.  Proposed Baseline &amp; Advanced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  <w:tblHeader w:val="true"/>
          <w:cantSplit w:val="true"/>
        </w:trP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Logistic Regression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High interpretability; good linear decision boundary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Decision Tree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Advanced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Captures non-linear relationships; feature importance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Advanced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Ensemble of trees; robust to overfitting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Gradient Boosting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Advanced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Typically best performer on tabular classification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K-Nearest Neighbors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Advanced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Distance-based comparison model</w:t>
            </w:r>
          </w:p>
        </w:tc>
      </w:tr>
    </w:tbl>
    <w:p>
      <w:pPr>
        <w:spacing w:before="280" w:after="100"/>
        <w:keepNext/>
        <w:pBdr>
          <w:bottom w:val="single" w:sz="6" w:space="4" w:color="1F497D"/>
        </w:pBdr>
      </w:pPr>
      <w:r>
        <w:rPr>
          <w:b/>
          <w:color w:val="1F497D"/>
          <w:sz w:val="28"/>
        </w:rPr>
        <w:t>6.  Evaluation Metrics &amp; Tuning Plan</w:t>
      </w:r>
    </w:p>
    <w:p>
      <w:pPr>
        <w:keepNext/>
        <w:spacing w:before="80" w:after="80"/>
      </w:pPr>
      <w:r>
        <w:rPr>
          <w:b/>
          <w:color w:val="5818A9"/>
          <w:sz w:val="23"/>
        </w:rPr>
        <w:t>Evaluation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 w:val="true"/>
          <w:tblHeader w:val="true"/>
          <w:cantSplit w:val="true"/>
        </w:trPr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Why Chosen</w:t>
            </w:r>
          </w:p>
        </w:tc>
      </w:tr>
      <w:tr>
        <w:trPr>
          <w:cantSplit w:val="true"/>
          <w:cantSplit w:val="true"/>
        </w:trPr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F1-Score (Yes class)</w:t>
            </w:r>
          </w:p>
        </w:tc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Balances Precision &amp; Recall under class imbalance</w:t>
            </w:r>
          </w:p>
        </w:tc>
      </w:tr>
      <w:tr>
        <w:trPr>
          <w:cantSplit w:val="true"/>
          <w:cantSplit w:val="true"/>
        </w:trPr>
        <w:tc>
          <w:tcPr>
            <w:tcW w:type="dxa" w:w="4536"/>
          </w:tcPr>
          <w:p>
            <w:r>
              <w:rPr>
                <w:sz w:val="20"/>
              </w:rPr>
              <w:t>ROC-AUC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Discriminative ability across all decision thresholds</w:t>
            </w:r>
          </w:p>
        </w:tc>
      </w:tr>
      <w:tr>
        <w:trPr>
          <w:cantSplit w:val="true"/>
          <w:cantSplit w:val="true"/>
        </w:trPr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Avoids unnecessary HR interventions for stable employees</w:t>
            </w:r>
          </w:p>
        </w:tc>
      </w:tr>
      <w:tr>
        <w:trPr>
          <w:cantSplit w:val="true"/>
          <w:cantSplit w:val="true"/>
        </w:trPr>
        <w:tc>
          <w:tcPr>
            <w:tcW w:type="dxa" w:w="4536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Ensures high-risk employees are not missed</w:t>
            </w:r>
          </w:p>
        </w:tc>
      </w:tr>
      <w:tr>
        <w:trPr>
          <w:cantSplit w:val="true"/>
          <w:cantSplit w:val="true"/>
        </w:trPr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Confusion Matrix</w:t>
            </w:r>
          </w:p>
        </w:tc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Visual TP / FP / TN / FN breakdown</w:t>
            </w:r>
          </w:p>
        </w:tc>
      </w:tr>
    </w:tbl>
    <w:p>
      <w:pPr>
        <w:keepNext/>
        <w:spacing w:before="120" w:after="80"/>
      </w:pPr>
      <w:r>
        <w:rPr>
          <w:b/>
          <w:color w:val="5818A9"/>
          <w:sz w:val="23"/>
        </w:rPr>
        <w:t>Tuning Strategy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Logistic Regression: C, solver, max_iter — GridSearchCV.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Decision Tree: max_depth, min_samples_split, criterion — GridSearchCV.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Random Forest: n_estimators, max_depth, min_samples_leaf — RandomizedSearchCV.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Gradient Boosting: n_estimators, learning_rate, max_depth — RandomizedSearchCV.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All tuning uses 5-fold Stratified K-Fold cross-validation.</w:t>
      </w:r>
    </w:p>
    <w:p>
      <w:pPr>
        <w:spacing w:before="280" w:after="100"/>
        <w:keepNext/>
        <w:pageBreakBefore/>
        <w:pBdr>
          <w:bottom w:val="single" w:sz="6" w:space="4" w:color="1F497D"/>
        </w:pBdr>
      </w:pPr>
      <w:r>
        <w:rPr>
          <w:b/>
          <w:color w:val="1F497D"/>
          <w:sz w:val="28"/>
        </w:rPr>
        <w:t>7.  Tools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  <w:tblHeader w:val="true"/>
          <w:cantSplit w:val="true"/>
        </w:trP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Tool / Library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3.12.12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Core programming language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3.0.3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Data loading, manipulation, and inspection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2.4.6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Numerical operations and array processing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matplotlib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3.10.9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Data visualization and plotting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seaborn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0.13.2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Statistical visualization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1.8.0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Preprocessing, models, evaluation, pipelines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imbalanced-learn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0.14.1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SMOTE for handling class imbalance</w:t>
            </w:r>
          </w:p>
        </w:tc>
      </w:tr>
      <w:tr>
        <w:trPr>
          <w:cantSplit w:val="true"/>
          <w:cantSplit w:val="true"/>
        </w:trPr>
        <w:tc>
          <w:tcPr>
            <w:tcW w:type="dxa" w:w="3024"/>
          </w:tcPr>
          <w:p>
            <w:r>
              <w:rPr>
                <w:sz w:val="20"/>
              </w:rPr>
              <w:t>Jupyter Notebook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7.5.6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Interactive development and documentation</w:t>
            </w:r>
          </w:p>
        </w:tc>
      </w:tr>
    </w:tbl>
    <w:p>
      <w:pPr>
        <w:spacing w:before="280" w:after="100"/>
        <w:keepNext/>
        <w:pBdr>
          <w:bottom w:val="single" w:sz="6" w:space="4" w:color="1F497D"/>
        </w:pBdr>
      </w:pPr>
      <w:r>
        <w:rPr>
          <w:b/>
          <w:color w:val="1F497D"/>
          <w:sz w:val="28"/>
        </w:rPr>
        <w:t>8.  References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Employee_Dataset_Retail by Manu Chopra (Kaggle). URL: https://www.kaggle.com/datasets/carebymanu/employee-dataset-retail (Note: Dataset link may have been updated, but authored by Manu Chopra).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BITS Pilani M.Sc. DS &amp; AI Course Materials — Advanced Apex Project II.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Scikit-learn Documentation: https://scikit-learn.org/stable/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imbalanced-learn (SMOTE): https://imbalanced-learn.org/stable/</w:t>
      </w:r>
    </w:p>
    <w:p>
      <w:pPr>
        <w:pStyle w:val="ListBullet"/>
        <w:keepNext/>
        <w:spacing w:after="60" w:before="0"/>
        <w:ind w:left="403"/>
      </w:pPr>
      <w:r>
        <w:rPr>
          <w:sz w:val="21"/>
        </w:rPr>
        <w:t>Kuhn, M., &amp; Johnson, K. (2013). Applied Predictive Modeling. Springer.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