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Fraud Investigation Risk Copilot</w:t>
      </w:r>
    </w:p>
    <w:p>
      <w:pPr>
        <w:pStyle w:val="Subtitle"/>
      </w:pPr>
      <w:r>
        <w:t xml:space="preserve">Technical Design Proposal | Portfolio Starter Artifact</w:t>
      </w:r>
    </w:p>
    <w:p>
      <w:pPr>
        <w:pStyle w:val="Heading1"/>
      </w:pPr>
      <w:r>
        <w:t xml:space="preserve">Purpose</w:t>
      </w:r>
    </w:p>
    <w:p>
      <w:pPr>
        <w:pStyle w:val="Body"/>
      </w:pPr>
      <w:r>
        <w:t xml:space="preserve">Prioritizes suspicious payment activity and prepares investigator-ready case narratives with traceable evidence.</w:t>
      </w:r>
    </w:p>
    <w:p>
      <w:pPr>
        <w:pStyle w:val="Heading1"/>
      </w:pPr>
      <w:r>
        <w:t xml:space="preserve">Business Scope</w:t>
      </w:r>
    </w:p>
    <w:p>
      <w:pPr>
        <w:pStyle w:val="Body"/>
      </w:pPr>
      <w:r>
        <w:t xml:space="preserve">The solution ingests card authorization events, device telemetry, customer profiles, and transaction history. It creates a governed operational workspace that turns fragmented signals into risk score, evidence summary, and investigation priority while preserving evidence and ownership.</w:t>
      </w:r>
    </w:p>
    <w:p>
      <w:pPr>
        <w:pStyle w:val="Heading1"/>
      </w:pPr>
      <w:r>
        <w:t xml:space="preserve">Architecture</w:t>
      </w:r>
    </w:p>
    <w:p>
      <w:pPr>
        <w:pStyle w:val="Body"/>
      </w:pPr>
      <w:r>
        <w:t xml:space="preserve">The high-level design separates source adapters, a validated ingestion boundary, a domain orchestration service, and an operational decision workspace. Event and evidence records are retained in an immutable audit store; analytics consumes curated operational facts.</w:t>
      </w:r>
    </w:p>
    <w:p>
      <w:pPr>
        <w:pStyle w:val="Heading2"/>
      </w:pPr>
      <w:r>
        <w:t xml:space="preserve">Core Components</w:t>
      </w:r>
    </w:p>
    <w:p>
      <w:pPr>
        <w:pStyle w:val="Body"/>
      </w:pPr>
      <w:r>
        <w:t xml:space="preserve">Source adapters normalize upstream records and attach provenance metadata.</w:t>
      </w:r>
    </w:p>
    <w:p>
      <w:pPr>
        <w:pStyle w:val="Body"/>
      </w:pPr>
      <w:r>
        <w:t xml:space="preserve">The orchestration service applies deterministic policies before presenting any recommendation.</w:t>
      </w:r>
    </w:p>
    <w:p>
      <w:pPr>
        <w:pStyle w:val="Body"/>
      </w:pPr>
      <w:r>
        <w:t xml:space="preserve">The case workspace exposes evidence, recommended actions, approvals, and lifecycle status.</w:t>
      </w:r>
    </w:p>
    <w:p>
      <w:pPr>
        <w:pStyle w:val="Heading1"/>
      </w:pPr>
      <w:r>
        <w:t xml:space="preserve">Control Model</w:t>
      </w:r>
    </w:p>
    <w:p>
      <w:pPr>
        <w:pStyle w:val="Body"/>
      </w:pPr>
      <w:r>
        <w:t xml:space="preserve">Required controls include human disposition controls, model reason capture, data minimization, and immutable case timelines. Recommendations are advisory until an authorized operator records a disposition. Every decision stores inputs, policy version, actor, timestamp, and reason.</w:t>
      </w:r>
    </w:p>
    <w:p>
      <w:pPr>
        <w:pStyle w:val="Heading1"/>
      </w:pPr>
      <w:r>
        <w:t xml:space="preserve">Delivery Plan</w:t>
      </w:r>
    </w:p>
    <w:p>
      <w:pPr>
        <w:pStyle w:val="Body"/>
      </w:pPr>
      <w:r>
        <w:t xml:space="preserve">Phase 1 establishes source contracts, data quality checks, and a read-only operational view. Phase 2 adds policy orchestration and case workflows. Phase 3 introduces monitored recommendations, reporting, and production readiness controls.</w:t>
      </w:r>
    </w:p>
    <w:p>
      <w:pPr>
        <w:pStyle w:val="Heading1"/>
      </w:pPr>
      <w:r>
        <w:t xml:space="preserve">Acceptance Criteria</w:t>
      </w:r>
    </w:p>
    <w:p>
      <w:pPr>
        <w:pStyle w:val="Body"/>
      </w:pPr>
      <w:r>
        <w:t xml:space="preserve">A user can trace every recommendation to source evidence, reproduce its policy outcome, record an approved action, and retrieve the full history for audit and operations review.</w:t>
      </w:r>
    </w:p>
    <w:sectPr>
      <w:pgSz w:w="12240" w:h="15840"/>
      <w:pgMar w:top="1440" w:right="1440" w:bottom="1440" w:left="1440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default="1" w:styleId="Body">
    <w:name w:val="Body"/>
    <w:pPr>
      <w:spacing w:after="160" w:line="264" w:lineRule="auto"/>
    </w:pPr>
  </w:style>
  <w:style w:type="paragraph" w:styleId="Title">
    <w:name w:val="Title"/>
    <w:rPr>
      <w:color w:val="0B2545"/>
      <w:sz w:val="34"/>
      <w:szCs w:val="34"/>
      <w:b/>
    </w:rPr>
    <w:pPr>
      <w:spacing w:after="80"/>
    </w:pPr>
  </w:style>
  <w:style w:type="paragraph" w:styleId="Subtitle">
    <w:name w:val="Subtitle"/>
    <w:rPr>
      <w:color w:val="595959"/>
      <w:sz w:val="20"/>
    </w:rPr>
    <w:pPr>
      <w:spacing w:after="240"/>
    </w:pPr>
  </w:style>
  <w:style w:type="paragraph" w:styleId="Heading1">
    <w:name w:val="Heading 1"/>
    <w:rPr>
      <w:color w:val="2E74B5"/>
      <w:sz w:val="32"/>
      <w:b/>
    </w:rPr>
    <w:pPr>
      <w:spacing w:before="280" w:after="140"/>
    </w:pPr>
  </w:style>
  <w:style w:type="paragraph" w:styleId="Heading2">
    <w:name w:val="Heading 2"/>
    <w:rPr>
      <w:color w:val="1F4D78"/>
      <w:sz w:val="26"/>
      <w:b/>
    </w:rPr>
    <w:pPr>
      <w:spacing w:before="200" w:after="1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Portfolio Artifact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Fraud Investigation Risk Copilot</dc:title>
  <dc:creator>Fintech Portfolio</dc:creator>
  <dcterms:created xsi:type="dcterms:W3CDTF">2026-08-10T00:00:00Z</dcterms:created>
</cp:coreProperties>
</file>