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FCE8" w14:textId="4E13C834" w:rsidR="00A4494F" w:rsidRDefault="007B7C45">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0STATEMENT OF WORK #</w:t>
      </w:r>
      <w:r>
        <w:rPr>
          <w:rFonts w:ascii="Times New Roman" w:eastAsia="Times New Roman" w:hAnsi="Times New Roman" w:cs="Times New Roman"/>
          <w:b/>
          <w:bCs/>
          <w:highlight w:val="yellow"/>
        </w:rPr>
        <w:t xml:space="preserve">16 </w:t>
      </w:r>
    </w:p>
    <w:p w14:paraId="5078FF43" w14:textId="77777777" w:rsidR="00A4494F" w:rsidRDefault="00000000">
      <w:pPr>
        <w:widowControl w:val="0"/>
        <w:spacing w:before="120" w:after="120" w:line="240" w:lineRule="auto"/>
        <w:jc w:val="center"/>
        <w:rPr>
          <w:rFonts w:ascii="Times New Roman" w:eastAsia="Times New Roman" w:hAnsi="Times New Roman" w:cs="Times New Roman"/>
        </w:rPr>
      </w:pPr>
      <w:bookmarkStart w:id="0" w:name="_heading=h.ltfc9hq1kdjh" w:colFirst="0" w:colLast="0"/>
      <w:bookmarkEnd w:id="0"/>
      <w:r>
        <w:rPr>
          <w:rFonts w:ascii="Times New Roman" w:eastAsia="Times New Roman" w:hAnsi="Times New Roman" w:cs="Times New Roman"/>
          <w:b/>
          <w:bCs/>
        </w:rPr>
        <w:t>AGREEMENT #2012ORA001</w:t>
      </w:r>
    </w:p>
    <w:p w14:paraId="4CE582E8" w14:textId="77777777" w:rsidR="00A4494F" w:rsidRDefault="00000000">
      <w:pPr>
        <w:widowControl w:val="0"/>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terms and conditions of the Services Agreement number (“#”) </w:t>
      </w:r>
      <w:r>
        <w:rPr>
          <w:rFonts w:ascii="Times New Roman" w:eastAsia="Times New Roman" w:hAnsi="Times New Roman" w:cs="Times New Roman"/>
          <w:b/>
          <w:bCs/>
        </w:rPr>
        <w:t>2012ORA001</w:t>
      </w:r>
      <w:r>
        <w:rPr>
          <w:rFonts w:ascii="Times New Roman" w:eastAsia="Times New Roman" w:hAnsi="Times New Roman" w:cs="Times New Roman"/>
        </w:rPr>
        <w:t xml:space="preserve"> (“</w:t>
      </w:r>
      <w:r>
        <w:rPr>
          <w:rFonts w:ascii="Times New Roman" w:eastAsia="Times New Roman" w:hAnsi="Times New Roman" w:cs="Times New Roman"/>
          <w:b/>
          <w:bCs/>
        </w:rPr>
        <w:t>Agreement</w:t>
      </w:r>
      <w:r>
        <w:rPr>
          <w:rFonts w:ascii="Times New Roman" w:eastAsia="Times New Roman" w:hAnsi="Times New Roman" w:cs="Times New Roman"/>
        </w:rPr>
        <w:t xml:space="preserve">”) between </w:t>
      </w:r>
      <w:r>
        <w:rPr>
          <w:rFonts w:ascii="Times New Roman" w:eastAsia="Times New Roman" w:hAnsi="Times New Roman" w:cs="Times New Roman"/>
          <w:b/>
          <w:bCs/>
          <w:smallCaps/>
        </w:rPr>
        <w:t>TOYOTA MOTOR SALES, U.S.A., INC.</w:t>
      </w:r>
      <w:r>
        <w:rPr>
          <w:rFonts w:ascii="Times New Roman" w:eastAsia="Times New Roman" w:hAnsi="Times New Roman" w:cs="Times New Roman"/>
        </w:rPr>
        <w:t xml:space="preserve"> (“</w:t>
      </w:r>
      <w:r>
        <w:rPr>
          <w:rFonts w:ascii="Times New Roman" w:eastAsia="Times New Roman" w:hAnsi="Times New Roman" w:cs="Times New Roman"/>
          <w:b/>
          <w:bCs/>
        </w:rPr>
        <w:t>TMS/USA</w:t>
      </w:r>
      <w:r>
        <w:rPr>
          <w:rFonts w:ascii="Times New Roman" w:eastAsia="Times New Roman" w:hAnsi="Times New Roman" w:cs="Times New Roman"/>
        </w:rPr>
        <w:t xml:space="preserve">”) and </w:t>
      </w:r>
      <w:r>
        <w:rPr>
          <w:rFonts w:ascii="Times New Roman" w:eastAsia="Times New Roman" w:hAnsi="Times New Roman" w:cs="Times New Roman"/>
          <w:b/>
          <w:bCs/>
          <w:smallCaps/>
        </w:rPr>
        <w:t>ORANGEPEOPLE, LLC (</w:t>
      </w:r>
      <w:r>
        <w:rPr>
          <w:rFonts w:ascii="Times New Roman" w:eastAsia="Times New Roman" w:hAnsi="Times New Roman" w:cs="Times New Roman"/>
        </w:rPr>
        <w:t>“</w:t>
      </w:r>
      <w:r>
        <w:rPr>
          <w:rFonts w:ascii="Times New Roman" w:eastAsia="Times New Roman" w:hAnsi="Times New Roman" w:cs="Times New Roman"/>
          <w:b/>
          <w:bCs/>
        </w:rPr>
        <w:t>Supplier</w:t>
      </w:r>
      <w:r>
        <w:rPr>
          <w:rFonts w:ascii="Times New Roman" w:eastAsia="Times New Roman" w:hAnsi="Times New Roman" w:cs="Times New Roman"/>
        </w:rPr>
        <w:t>”) (collectively the “</w:t>
      </w:r>
      <w:r>
        <w:rPr>
          <w:rFonts w:ascii="Times New Roman" w:eastAsia="Times New Roman" w:hAnsi="Times New Roman" w:cs="Times New Roman"/>
          <w:b/>
          <w:bCs/>
        </w:rPr>
        <w:t>Parties</w:t>
      </w:r>
      <w:r>
        <w:rPr>
          <w:rFonts w:ascii="Times New Roman" w:eastAsia="Times New Roman" w:hAnsi="Times New Roman" w:cs="Times New Roman"/>
        </w:rPr>
        <w:t>” or individually a “</w:t>
      </w:r>
      <w:r>
        <w:rPr>
          <w:rFonts w:ascii="Times New Roman" w:eastAsia="Times New Roman" w:hAnsi="Times New Roman" w:cs="Times New Roman"/>
          <w:b/>
          <w:bCs/>
        </w:rPr>
        <w:t>Party</w:t>
      </w:r>
      <w:r>
        <w:rPr>
          <w:rFonts w:ascii="Times New Roman" w:eastAsia="Times New Roman" w:hAnsi="Times New Roman" w:cs="Times New Roman"/>
        </w:rPr>
        <w:t>”) dated February 12, 2012, apply to this Statement of Work (“</w:t>
      </w:r>
      <w:r>
        <w:rPr>
          <w:rFonts w:ascii="Times New Roman" w:eastAsia="Times New Roman" w:hAnsi="Times New Roman" w:cs="Times New Roman"/>
          <w:b/>
          <w:bCs/>
        </w:rPr>
        <w:t xml:space="preserve">SOW</w:t>
      </w:r>
      <w:r>
        <w:rPr>
          <w:rFonts w:ascii="Times New Roman" w:eastAsia="Times New Roman" w:hAnsi="Times New Roman" w:cs="Times New Roman"/>
        </w:rPr>
        <w:t xml:space="preserve">”). The effective date of this Statement of Work is as of </w:t>
      </w:r>
      <w:r>
        <w:rPr>
          <w:rFonts w:ascii="Times New Roman" w:eastAsia="Times New Roman" w:hAnsi="Times New Roman" w:cs="Times New Roman"/>
          <w:highlight w:val="yellow"/>
        </w:rPr>
        <w:t xml:space="preserve">2026-01-01 </w:t>
      </w:r>
      <w:r>
        <w:rPr>
          <w:rFonts w:ascii="Times New Roman" w:eastAsia="Times New Roman" w:hAnsi="Times New Roman" w:cs="Times New Roman"/>
        </w:rPr>
        <w:t xml:space="preserve"> (“</w:t>
      </w:r>
      <w:r>
        <w:rPr>
          <w:rFonts w:ascii="Times New Roman" w:eastAsia="Times New Roman" w:hAnsi="Times New Roman" w:cs="Times New Roman"/>
          <w:b/>
          <w:bCs/>
        </w:rPr>
        <w:t>SOW Effective Date</w:t>
      </w:r>
      <w:r>
        <w:rPr>
          <w:rFonts w:ascii="Times New Roman" w:eastAsia="Times New Roman" w:hAnsi="Times New Roman" w:cs="Times New Roman"/>
        </w:rPr>
        <w:t xml:space="preserve">”).  </w:t>
      </w:r>
    </w:p>
    <w:p w14:paraId="1BDBE8C2" w14:textId="77777777" w:rsidR="00A4494F" w:rsidRDefault="00000000">
      <w:pPr>
        <w:widowControl w:val="0"/>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rPr>
        <w:t>NOW, THEREFORE</w:t>
      </w:r>
      <w:r>
        <w:rPr>
          <w:rFonts w:ascii="Times New Roman" w:eastAsia="Times New Roman" w:hAnsi="Times New Roman" w:cs="Times New Roman"/>
        </w:rPr>
        <w:t xml:space="preserve">, in consideration of the mutual covenants and conditions contained herein, TMS/USA and Supplier hereby agree as follows: </w:t>
      </w:r>
    </w:p>
    <w:p w14:paraId="5E7D1239"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ADMINISTRATIVE DATA</w:t>
      </w:r>
    </w:p>
    <w:p w14:paraId="7F30F3F0"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Department ID</w:t>
      </w:r>
      <w:r>
        <w:rPr>
          <w:rFonts w:ascii="Times New Roman" w:eastAsia="Times New Roman" w:hAnsi="Times New Roman" w:cs="Times New Roman"/>
        </w:rPr>
        <w:t>:</w:t>
      </w:r>
      <w:r>
        <w:rPr>
          <w:rFonts w:ascii="Times New Roman" w:eastAsia="Times New Roman" w:hAnsi="Times New Roman" w:cs="Times New Roman"/>
          <w:highlight w:val="yellow"/>
        </w:rPr>
        <w:t xml:space="preserve">D001 .</w:t>
      </w:r>
    </w:p>
    <w:p w14:paraId="140B393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Serial ID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S001.</w:t>
      </w:r>
    </w:p>
    <w:p w14:paraId="0D9EFD14"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 xml:space="preserve">Project ID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P001 </w:t>
      </w:r>
    </w:p>
    <w:p w14:paraId="275F92AD"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Name of project (“</w:t>
      </w:r>
      <w:r>
        <w:rPr>
          <w:rFonts w:ascii="Times New Roman" w:eastAsia="Times New Roman" w:hAnsi="Times New Roman" w:cs="Times New Roman"/>
          <w:b/>
          <w:bCs/>
          <w:u w:val="single"/>
        </w:rPr>
        <w:t>Project</w:t>
      </w:r>
      <w:r>
        <w:rPr>
          <w:rFonts w:ascii="Times New Roman" w:eastAsia="Times New Roman" w:hAnsi="Times New Roman" w:cs="Times New Roman"/>
          <w:u w:val="single"/>
        </w:rPr>
        <w:t xml:space="preserve">”)</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DD365 Platform </w:t>
      </w:r>
    </w:p>
    <w:p w14:paraId="188AC95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 xml:space="preserve">Purpose of this SOW</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Build and enhance DD365 platform. </w:t>
      </w:r>
      <w:r>
        <w:rPr>
          <w:rFonts w:ascii="Times New Roman" w:eastAsia="Times New Roman" w:hAnsi="Times New Roman" w:cs="Times New Roman"/>
        </w:rPr>
        <w:t xml:space="preserve"> .</w:t>
      </w:r>
    </w:p>
    <w:p w14:paraId="1F5B0E4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bookmarkStart w:id="1" w:name="_heading=h.cgfu415x52i9" w:colFirst="0" w:colLast="0"/>
      <w:bookmarkEnd w:id="1"/>
      <w:r>
        <w:rPr>
          <w:rFonts w:ascii="Times New Roman" w:eastAsia="Times New Roman" w:hAnsi="Times New Roman" w:cs="Times New Roman"/>
          <w:u w:val="single"/>
        </w:rPr>
        <w:t xml:space="preserve">Commencement date</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2026-01-01 </w:t>
      </w:r>
    </w:p>
    <w:p w14:paraId="033FCDC8" w14:textId="77777777" w:rsidR="00A4494F" w:rsidRDefault="00000000">
      <w:pPr>
        <w:pStyle w:val="Heading2"/>
        <w:keepNext w:val="0"/>
        <w:keepLines w:val="0"/>
        <w:widowControl w:val="0"/>
        <w:numPr>
          <w:ilvl w:val="0"/>
          <w:numId w:val="2"/>
        </w:numPr>
        <w:spacing w:before="120" w:line="240" w:lineRule="auto"/>
        <w:jc w:val="both"/>
      </w:pPr>
      <w:r>
        <w:rPr>
          <w:rFonts w:ascii="Times New Roman" w:eastAsia="Times New Roman" w:hAnsi="Times New Roman" w:cs="Times New Roman"/>
          <w:b/>
          <w:bCs/>
          <w:smallCaps/>
          <w:sz w:val="22"/>
          <w:szCs w:val="22"/>
          <w:u w:val="single"/>
        </w:rPr>
        <w:t>DEFINITIONS</w:t>
      </w:r>
    </w:p>
    <w:p w14:paraId="41C61B2B"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Blueprint</w:t>
      </w:r>
      <w:r>
        <w:rPr>
          <w:rFonts w:ascii="Times New Roman" w:eastAsia="Times New Roman" w:hAnsi="Times New Roman" w:cs="Times New Roman"/>
        </w:rPr>
        <w:t>” is defined as TMS/USA’s customized version of the Rational Unified Process (“</w:t>
      </w:r>
      <w:r>
        <w:rPr>
          <w:rFonts w:ascii="Times New Roman" w:eastAsia="Times New Roman" w:hAnsi="Times New Roman" w:cs="Times New Roman"/>
          <w:b/>
          <w:bCs/>
        </w:rPr>
        <w:t>RUP</w:t>
      </w:r>
      <w:r>
        <w:rPr>
          <w:rFonts w:ascii="Times New Roman" w:eastAsia="Times New Roman" w:hAnsi="Times New Roman" w:cs="Times New Roman"/>
        </w:rPr>
        <w:t>”) methodology. TMS/USA has internalized the RUP methodology and refers to the process as “Blueprint”.</w:t>
      </w:r>
    </w:p>
    <w:p w14:paraId="680D0C3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Deliverable</w:t>
      </w:r>
      <w:r>
        <w:rPr>
          <w:rFonts w:ascii="Times New Roman" w:eastAsia="Times New Roman" w:hAnsi="Times New Roman" w:cs="Times New Roman"/>
        </w:rPr>
        <w:t>” is defined as collectively Work Products and/or Developed Software as those terms are used in the Agreement.</w:t>
      </w:r>
    </w:p>
    <w:p w14:paraId="579AE21D"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Functional Requirements</w:t>
      </w:r>
      <w:r>
        <w:rPr>
          <w:rFonts w:ascii="Times New Roman" w:eastAsia="Times New Roman" w:hAnsi="Times New Roman" w:cs="Times New Roman"/>
        </w:rPr>
        <w:t xml:space="preserve">” is defined as requirements that specify actions that a system must be able to perform, without taking physical constraints into consideration.  </w:t>
      </w:r>
    </w:p>
    <w:p w14:paraId="6BE15297"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Non-Functional Requirements</w:t>
      </w:r>
      <w:r>
        <w:rPr>
          <w:rFonts w:ascii="Times New Roman" w:eastAsia="Times New Roman" w:hAnsi="Times New Roman" w:cs="Times New Roman"/>
        </w:rPr>
        <w:t xml:space="preserve">” is defined as requirements that are not readily captured in behavioral requirements artifacts, such as use-case specifications. </w:t>
      </w:r>
    </w:p>
    <w:p w14:paraId="3E2A65D0"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Software Requirement</w:t>
      </w:r>
      <w:r>
        <w:rPr>
          <w:rFonts w:ascii="Times New Roman" w:eastAsia="Times New Roman" w:hAnsi="Times New Roman" w:cs="Times New Roman"/>
        </w:rPr>
        <w:t>” is defined as an observable behavior of the system, including inputs into the system, outputs from the system, functions of the system, attributes of the system, or attributes of the system environment. Requirements are categorized into Function and Non-Functional.</w:t>
      </w:r>
    </w:p>
    <w:p w14:paraId="7B90B93F"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Specifications</w:t>
      </w:r>
      <w:r>
        <w:rPr>
          <w:rFonts w:ascii="Times New Roman" w:eastAsia="Times New Roman" w:hAnsi="Times New Roman" w:cs="Times New Roman"/>
        </w:rPr>
        <w:t>” is defined as a detailed, precise, and written measurable description of each particular Deliverable or Service to be provided or performed hereunder. This definition includes Software Requirements, as defined herein.</w:t>
      </w:r>
    </w:p>
    <w:p w14:paraId="7A1F9A2C"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Work Breakdown Structure</w:t>
      </w:r>
      <w:r>
        <w:rPr>
          <w:rFonts w:ascii="Times New Roman" w:eastAsia="Times New Roman" w:hAnsi="Times New Roman" w:cs="Times New Roman"/>
        </w:rPr>
        <w:t>” (“</w:t>
      </w:r>
      <w:r>
        <w:rPr>
          <w:rFonts w:ascii="Times New Roman" w:eastAsia="Times New Roman" w:hAnsi="Times New Roman" w:cs="Times New Roman"/>
          <w:b/>
          <w:bCs/>
        </w:rPr>
        <w:t>WBS</w:t>
      </w:r>
      <w:r>
        <w:rPr>
          <w:rFonts w:ascii="Times New Roman" w:eastAsia="Times New Roman" w:hAnsi="Times New Roman" w:cs="Times New Roman"/>
        </w:rPr>
        <w:t>”) is a RUP artifact that provides a visual deliverable-oriented grouping of Project elements that organizes and defines the total scope of the Project. Each descending level represents an increasingly detailed definition of a Project component. Project components in a WBS may be products or services.</w:t>
      </w:r>
    </w:p>
    <w:p w14:paraId="296A8698"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Other capitalized terms set forth in this SOW shall have the definitions ascribed to them by the Agreement or shall be defined by the terms and conditions set forth herein.</w:t>
      </w:r>
    </w:p>
    <w:p w14:paraId="76BA2B64"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TERM OF THIS STATEMENT OF WORK</w:t>
      </w:r>
    </w:p>
    <w:p w14:paraId="5F1F81AE" w14:textId="12F03AB8" w:rsidR="00A4494F" w:rsidRDefault="00000000">
      <w:pPr>
        <w:pStyle w:val="Heading2"/>
        <w:keepNext w:val="0"/>
        <w:keepLines w:val="0"/>
        <w:widowControl w:val="0"/>
        <w:numPr>
          <w:ilvl w:val="1"/>
          <w:numId w:val="2"/>
        </w:numPr>
        <w:spacing w:before="120" w:line="240" w:lineRule="auto"/>
        <w:ind w:left="720"/>
        <w:jc w:val="both"/>
        <w:rPr>
          <w:rFonts w:ascii="Times New Roman" w:eastAsia="Times New Roman" w:hAnsi="Times New Roman" w:cs="Times New Roman"/>
        </w:rPr>
      </w:pPr>
      <w:r>
        <w:rPr>
          <w:rFonts w:ascii="Times New Roman" w:eastAsia="Times New Roman" w:hAnsi="Times New Roman" w:cs="Times New Roman"/>
          <w:sz w:val="22"/>
          <w:szCs w:val="22"/>
        </w:rPr>
        <w:t>The term of this SOW (“</w:t>
      </w:r>
      <w:r>
        <w:rPr>
          <w:rFonts w:ascii="Times New Roman" w:eastAsia="Times New Roman" w:hAnsi="Times New Roman" w:cs="Times New Roman"/>
          <w:b/>
          <w:bCs/>
          <w:sz w:val="22"/>
          <w:szCs w:val="22"/>
        </w:rPr>
        <w:t>Term</w:t>
      </w:r>
      <w:r>
        <w:rPr>
          <w:rFonts w:ascii="Times New Roman" w:eastAsia="Times New Roman" w:hAnsi="Times New Roman" w:cs="Times New Roman"/>
          <w:sz w:val="22"/>
          <w:szCs w:val="22"/>
        </w:rPr>
        <w:t xml:space="preserve">”) shall commence on the SOW Effective Date </w:t>
      </w:r>
      <w:r w:rsidR="00C92C41" w:rsidRPr="00C92C41">
        <w:rPr>
          <w:rFonts w:ascii="Times New Roman" w:eastAsia="Times New Roman" w:hAnsi="Times New Roman" w:cs="Times New Roman"/>
          <w:sz w:val="22"/>
          <w:szCs w:val="22"/>
          <w:highlight w:val="yellow"/>
        </w:rPr>
        <w:lastRenderedPageBreak/>
        <w:t xml:space="preserve">2026-01-01</w:t>
      </w:r>
      <w:r>
        <w:rPr>
          <w:rFonts w:ascii="Times New Roman" w:eastAsia="Times New Roman" w:hAnsi="Times New Roman" w:cs="Times New Roman"/>
          <w:sz w:val="22"/>
          <w:szCs w:val="22"/>
        </w:rPr>
        <w:t xml:space="preserve">and continue until the earlier of (i) completion of the Services as described herein, or (ii) </w:t>
      </w:r>
      <w:r>
        <w:rPr>
          <w:rFonts w:ascii="Times New Roman" w:eastAsia="Times New Roman" w:hAnsi="Times New Roman" w:cs="Times New Roman"/>
          <w:sz w:val="22"/>
          <w:szCs w:val="22"/>
          <w:highlight w:val="yellow"/>
        </w:rPr>
        <w:t xml:space="preserve">2026-12-31 </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Termination Date</w:t>
      </w:r>
      <w:r>
        <w:rPr>
          <w:rFonts w:ascii="Times New Roman" w:eastAsia="Times New Roman" w:hAnsi="Times New Roman" w:cs="Times New Roman"/>
          <w:sz w:val="22"/>
          <w:szCs w:val="22"/>
        </w:rPr>
        <w:t>”), unless extended or terminated earlier by either Party pursuant to the Agreement, or as otherwise provided in this SOW. Notwithstanding anything to the contrary in this SOW or in the Agreement, the Parties agree that Supplier shall not begin any work hereunder unless and until this SOW is executed by the authorized representatives of the Parties hereto and Supplier has received a TMS/USA Purchase Order.</w:t>
      </w:r>
    </w:p>
    <w:p w14:paraId="56BECED8"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SCOPE OF SERVICES</w:t>
      </w:r>
    </w:p>
    <w:p w14:paraId="71121E1D"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is responsible for the following scope, in the context of the overall Project.</w:t>
      </w:r>
    </w:p>
    <w:p w14:paraId="5F1A4315" w14:textId="419D6132" w:rsidR="00A4494F" w:rsidRDefault="00000000">
      <w:pPr>
        <w:spacing w:before="120" w:after="120" w:line="240" w:lineRule="auto"/>
        <w:ind w:left="2160"/>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4.1.1 Implement API monetization</w:t>
        <w:br/>
        <w:t xml:space="preserve">4.1.2 Marketplace integration</w:t>
        <w:br/>
        <w:t xml:space="preserve">4.1.3 Performance testing</w:t>
      </w:r>
    </w:p>
    <w:p w14:paraId="0D8C62E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bookmarkStart w:id="2" w:name="_heading=h.4fv00px0yzv6" w:colFirst="0" w:colLast="0"/>
      <w:bookmarkEnd w:id="2"/>
      <w:r>
        <w:rPr>
          <w:rFonts w:ascii="Times New Roman" w:eastAsia="Times New Roman" w:hAnsi="Times New Roman" w:cs="Times New Roman"/>
        </w:rPr>
        <w:t>The Project Schedule for this Project is attached hereto and incorporated herein as</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Exhibit #1</w:t>
      </w:r>
      <w:r>
        <w:rPr>
          <w:rFonts w:ascii="Times New Roman" w:eastAsia="Times New Roman" w:hAnsi="Times New Roman" w:cs="Times New Roman"/>
        </w:rPr>
        <w:t>.</w:t>
      </w:r>
    </w:p>
    <w:p w14:paraId="5DBB35CC"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The WBS for the Project referenced in this SOW is attached hereto and incorporated herein by this reference as Exhibit #2. Supplier is responsible for all WBS components, unless otherwise specified herein.</w:t>
      </w:r>
    </w:p>
    <w:p w14:paraId="720BB2F1"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 Deliverables from Supplier to TMS/USA and Services to be performed are defined herein.  </w:t>
      </w:r>
    </w:p>
    <w:p w14:paraId="45DCAD9A"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shall bear no responsibility for failing to provide the Deliverables on a timely basis to the extent that such failure is solely due to TMS/USA’s failure or delay in providing dependent TMS/USA deliverables or otherwise meeting its obligations under the Agreement or this Statement of Work. Supplier shall not be responsible for providing any Deliverables or Services not specified in this SOW or in an executed amendment to this SOW as provided in Section 17.0, Contract Change Management Procedure, herein.</w:t>
      </w:r>
    </w:p>
    <w:p w14:paraId="3DFCD612"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The Project Risk Assessment for this SOW is attached hereto and incorporated herein by this reference as Exhibit #3. Supplier is responsible for mitigating and managing the risks defined therein, as well as, any additional risks that arise during the term of this SOW.</w:t>
      </w:r>
    </w:p>
    <w:p w14:paraId="27AD4450"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is responsible for the timeliness and quality of all Deliverables produced and Services provided hereunder.</w:t>
      </w:r>
    </w:p>
    <w:p w14:paraId="3D226763"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 xml:space="preserve">SERVICES TO BE PERFORMED </w:t>
      </w:r>
    </w:p>
    <w:p w14:paraId="6BE50EE3"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shall perform the following:</w:t>
      </w:r>
    </w:p>
    <w:p w14:paraId="4D791712" w14:textId="6E0C7A59" w:rsidR="00A4494F" w:rsidRDefault="00000000">
      <w:pPr>
        <w:spacing w:before="120" w:after="120" w:line="240" w:lineRule="auto"/>
        <w:ind w:left="2160"/>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5.1.1 Extend DD365 platform</w:t>
        <w:br/>
        <w:t xml:space="preserve">5.1.1.1 UI Screens</w:t>
        <w:br/>
        <w:t xml:space="preserve">5.1.1.2 Infrastructure Services</w:t>
        <w:br/>
        <w:t xml:space="preserve">5.1.1.3 Terraform Scripts</w:t>
        <w:br/>
        <w:t xml:space="preserve">5.1.1.4 Security Checks</w:t>
        <w:br/>
        <w:t xml:space="preserve"/>
      </w:r>
    </w:p>
    <w:p w14:paraId="3976EA14"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DELIVERABLES</w:t>
      </w:r>
    </w:p>
    <w:p w14:paraId="21FEC142"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For the term of this SOW (the “SOW #16 Term”), there are no Deliverables that Supplier shall deliver to TMS/USA.</w:t>
      </w:r>
    </w:p>
    <w:p w14:paraId="4548B919"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The ongoing Services that the Supplier is required to perform shall include the following:</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3585"/>
        <w:gridCol w:w="2340"/>
        <w:gridCol w:w="2340"/>
      </w:tblGrid>
      <w:tr w:rsidR="00A4494F" w14:paraId="04BD852D" w14:textId="77777777">
        <w:trPr>
          <w:trHeight w:val="420"/>
        </w:trPr>
        <w:tc>
          <w:tcPr>
            <w:tcW w:w="9360" w:type="dxa"/>
            <w:gridSpan w:val="4"/>
            <w:tcMar>
              <w:top w:w="100" w:type="dxa"/>
              <w:left w:w="100" w:type="dxa"/>
              <w:bottom w:w="100" w:type="dxa"/>
              <w:right w:w="100" w:type="dxa"/>
            </w:tcMar>
          </w:tcPr>
          <w:p w14:paraId="11F1CFCC"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Table 6.2</w:t>
            </w:r>
          </w:p>
        </w:tc>
      </w:tr>
      <w:tr w:rsidR="00A4494F" w14:paraId="0B26190D" w14:textId="77777777">
        <w:tc>
          <w:tcPr>
            <w:tcW w:w="1095" w:type="dxa"/>
            <w:tcMar>
              <w:top w:w="100" w:type="dxa"/>
              <w:left w:w="100" w:type="dxa"/>
              <w:bottom w:w="100" w:type="dxa"/>
              <w:right w:w="100" w:type="dxa"/>
            </w:tcMar>
          </w:tcPr>
          <w:p w14:paraId="75AACE6F"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Item #</w:t>
            </w:r>
          </w:p>
        </w:tc>
        <w:tc>
          <w:tcPr>
            <w:tcW w:w="3585" w:type="dxa"/>
            <w:tcMar>
              <w:top w:w="100" w:type="dxa"/>
              <w:left w:w="100" w:type="dxa"/>
              <w:bottom w:w="100" w:type="dxa"/>
              <w:right w:w="100" w:type="dxa"/>
            </w:tcMar>
          </w:tcPr>
          <w:p w14:paraId="34BE7648"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SERVICE</w:t>
            </w:r>
          </w:p>
        </w:tc>
        <w:tc>
          <w:tcPr>
            <w:tcW w:w="2340" w:type="dxa"/>
            <w:tcMar>
              <w:top w:w="100" w:type="dxa"/>
              <w:left w:w="100" w:type="dxa"/>
              <w:bottom w:w="100" w:type="dxa"/>
              <w:right w:w="100" w:type="dxa"/>
            </w:tcMar>
          </w:tcPr>
          <w:p w14:paraId="09CC68AC"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Frequency</w:t>
            </w:r>
          </w:p>
        </w:tc>
        <w:tc>
          <w:tcPr>
            <w:tcW w:w="2340" w:type="dxa"/>
            <w:tcMar>
              <w:top w:w="100" w:type="dxa"/>
              <w:left w:w="100" w:type="dxa"/>
              <w:bottom w:w="100" w:type="dxa"/>
              <w:right w:w="100" w:type="dxa"/>
            </w:tcMar>
          </w:tcPr>
          <w:p w14:paraId="01D85106"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Service Level Cross-</w:t>
            </w:r>
          </w:p>
          <w:p w14:paraId="62A9120B"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Reference (Exhibit #5)</w:t>
            </w:r>
          </w:p>
        </w:tc>
      </w:tr>
      <w:tr w:rsidR="00A4494F" w14:paraId="00398C6A" w14:textId="77777777">
        <w:tc>
          <w:tcPr>
            <w:tcW w:w="1095" w:type="dxa"/>
            <w:tcMar>
              <w:top w:w="100" w:type="dxa"/>
              <w:left w:w="100" w:type="dxa"/>
              <w:bottom w:w="100" w:type="dxa"/>
              <w:right w:w="100" w:type="dxa"/>
            </w:tcMar>
          </w:tcPr>
          <w:p w14:paraId="4F9BC52A"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6.2.1</w:t>
            </w:r>
          </w:p>
        </w:tc>
        <w:tc>
          <w:tcPr>
            <w:tcW w:w="3585" w:type="dxa"/>
            <w:tcMar>
              <w:top w:w="100" w:type="dxa"/>
              <w:left w:w="100" w:type="dxa"/>
              <w:bottom w:w="100" w:type="dxa"/>
              <w:right w:w="100" w:type="dxa"/>
            </w:tcMar>
          </w:tcPr>
          <w:p w14:paraId="25E7B400"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On-site Support hours</w:t>
            </w:r>
          </w:p>
        </w:tc>
        <w:tc>
          <w:tcPr>
            <w:tcW w:w="2340" w:type="dxa"/>
            <w:tcMar>
              <w:top w:w="100" w:type="dxa"/>
              <w:left w:w="100" w:type="dxa"/>
              <w:bottom w:w="100" w:type="dxa"/>
              <w:right w:w="100" w:type="dxa"/>
            </w:tcMar>
          </w:tcPr>
          <w:p w14:paraId="44F13260"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Ongoing</w:t>
            </w:r>
          </w:p>
        </w:tc>
        <w:tc>
          <w:tcPr>
            <w:tcW w:w="2340" w:type="dxa"/>
            <w:tcMar>
              <w:top w:w="100" w:type="dxa"/>
              <w:left w:w="100" w:type="dxa"/>
              <w:bottom w:w="100" w:type="dxa"/>
              <w:right w:w="100" w:type="dxa"/>
            </w:tcMar>
          </w:tcPr>
          <w:p w14:paraId="74266690"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A4494F" w14:paraId="26C0AAD1" w14:textId="77777777">
        <w:tc>
          <w:tcPr>
            <w:tcW w:w="1095" w:type="dxa"/>
            <w:tcMar>
              <w:top w:w="100" w:type="dxa"/>
              <w:left w:w="100" w:type="dxa"/>
              <w:bottom w:w="100" w:type="dxa"/>
              <w:right w:w="100" w:type="dxa"/>
            </w:tcMar>
          </w:tcPr>
          <w:p w14:paraId="3ACC79C7"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6.2.2</w:t>
            </w:r>
          </w:p>
        </w:tc>
        <w:tc>
          <w:tcPr>
            <w:tcW w:w="3585" w:type="dxa"/>
            <w:tcMar>
              <w:top w:w="100" w:type="dxa"/>
              <w:left w:w="100" w:type="dxa"/>
              <w:bottom w:w="100" w:type="dxa"/>
              <w:right w:w="100" w:type="dxa"/>
            </w:tcMar>
          </w:tcPr>
          <w:p w14:paraId="516894C5"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Remote Support hours</w:t>
            </w:r>
          </w:p>
        </w:tc>
        <w:tc>
          <w:tcPr>
            <w:tcW w:w="2340" w:type="dxa"/>
            <w:tcMar>
              <w:top w:w="100" w:type="dxa"/>
              <w:left w:w="100" w:type="dxa"/>
              <w:bottom w:w="100" w:type="dxa"/>
              <w:right w:w="100" w:type="dxa"/>
            </w:tcMar>
          </w:tcPr>
          <w:p w14:paraId="34202AC0"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Ongoing</w:t>
            </w:r>
          </w:p>
        </w:tc>
        <w:tc>
          <w:tcPr>
            <w:tcW w:w="2340" w:type="dxa"/>
            <w:tcMar>
              <w:top w:w="100" w:type="dxa"/>
              <w:left w:w="100" w:type="dxa"/>
              <w:bottom w:w="100" w:type="dxa"/>
              <w:right w:w="100" w:type="dxa"/>
            </w:tcMar>
          </w:tcPr>
          <w:p w14:paraId="5114D1C7"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bl>
    <w:p w14:paraId="4865E081" w14:textId="77777777" w:rsidR="00A4494F" w:rsidRDefault="00A4494F">
      <w:pPr>
        <w:widowControl w:val="0"/>
        <w:tabs>
          <w:tab w:val="left" w:pos="720"/>
        </w:tabs>
        <w:spacing w:before="120" w:after="120" w:line="240" w:lineRule="auto"/>
        <w:jc w:val="both"/>
        <w:rPr>
          <w:rFonts w:ascii="Times New Roman" w:eastAsia="Times New Roman" w:hAnsi="Times New Roman" w:cs="Times New Roman"/>
        </w:rPr>
      </w:pPr>
    </w:p>
    <w:p w14:paraId="076280C5"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Transition. Supplier acknowledges that, notwithstanding TMS/USA’s Acceptance of Deliverables as provided herein, the quality and content thereof shall be sufficient to meet the requirements necessary for transition to TMS/USA or TMS/USA’s development maintenance and support provider. Supplier’s error correction responsibilities hereunder shall continue until maintenance responsibilities for the Deliverables provided hereunder are assumed in writing by TMS/USA or its development support provider.</w:t>
      </w:r>
    </w:p>
    <w:p w14:paraId="68F2B91D"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Property, if any, to be provided to support the Project/system includes the following:</w:t>
      </w:r>
    </w:p>
    <w:p w14:paraId="42B48C8A"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The section is intentionally left blank.</w:t>
      </w:r>
    </w:p>
    <w:p w14:paraId="23805F67"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Training of TMS/USA staff.</w:t>
      </w:r>
    </w:p>
    <w:p w14:paraId="0ED8C105"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The section intentionally left blank.</w:t>
      </w:r>
    </w:p>
    <w:p w14:paraId="2C71A50C"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Reports to be provided and meetings to be attended include the following:</w:t>
      </w:r>
    </w:p>
    <w:p w14:paraId="1ED59B19"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Service Level Report. None.</w:t>
      </w:r>
    </w:p>
    <w:p w14:paraId="03ABCA7A"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Weekly Status Report. As requested by TMS/USA.</w:t>
      </w:r>
    </w:p>
    <w:p w14:paraId="70836D3B"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Monthly Status Report. As requested by TMS/USA.</w:t>
      </w:r>
    </w:p>
    <w:p w14:paraId="7D025223"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Meetings required. As requested by TMS/USA.</w:t>
      </w:r>
    </w:p>
    <w:p w14:paraId="5D160385"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Delivery.</w:t>
      </w:r>
    </w:p>
    <w:p w14:paraId="3091FA6E"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Software Deliverables. Software Deliverables shall be provided in both source and executable forms and shall include all relevant test materials including test cases, test results, etc.</w:t>
      </w:r>
    </w:p>
    <w:p w14:paraId="6B412420"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Documentation Deliverables. Documentation Deliverables shall be provided in both hard and soft copies in the quantities and at the quality level and standards specified herein. A soft copy of the documentation shall be provided in an unprotected, editable Microsoft Word format. The documentation shall not be prepared on Supplier’s letterhead nor use Supplier’s logo, but rather the footers of the documentation shall contain the following: (a) SOW #, (b) Project Name, (c) Author identification, and (d) the following language: “TMS/USA Confidential”.</w:t>
      </w:r>
    </w:p>
    <w:p w14:paraId="3D13DB7B"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Form of Delivery. A Deliverable may be provided in interim or final version forms. The quality specifications for any interim version shall be specified herein. Unless otherwise specified herein, each Deliverable shall be provided in its final version form, complete in all material respects as described above and in the Specifications.</w:t>
      </w:r>
    </w:p>
    <w:p w14:paraId="3DD7E144" w14:textId="77777777" w:rsidR="00A4494F" w:rsidRDefault="00A4494F">
      <w:pPr>
        <w:widowControl w:val="0"/>
        <w:tabs>
          <w:tab w:val="left" w:pos="720"/>
        </w:tabs>
        <w:spacing w:before="120" w:after="120" w:line="240" w:lineRule="auto"/>
        <w:jc w:val="both"/>
        <w:rPr>
          <w:rFonts w:ascii="Times New Roman" w:eastAsia="Times New Roman" w:hAnsi="Times New Roman" w:cs="Times New Roman"/>
        </w:rPr>
      </w:pPr>
    </w:p>
    <w:p w14:paraId="1DE9B08B" w14:textId="77777777" w:rsidR="00A4494F" w:rsidRDefault="00000000">
      <w:pPr>
        <w:widowControl w:val="0"/>
        <w:spacing w:before="120" w:after="120" w:line="240" w:lineRule="auto"/>
        <w:jc w:val="center"/>
        <w:rPr>
          <w:rFonts w:ascii="Times New Roman" w:eastAsia="Times New Roman" w:hAnsi="Times New Roman" w:cs="Times New Roman"/>
        </w:rPr>
        <w:sectPr w:rsidR="00A4494F">
          <w:pgSz w:w="12240" w:h="15840"/>
          <w:pgMar w:top="1440" w:right="1440" w:bottom="1440" w:left="1440" w:header="720" w:footer="720" w:gutter="0"/>
          <w:pgNumType w:start="1"/>
          <w:cols w:space="720"/>
        </w:sectPr>
      </w:pPr>
      <w:r>
        <w:rPr>
          <w:rFonts w:ascii="Times New Roman" w:eastAsia="Times New Roman" w:hAnsi="Times New Roman" w:cs="Times New Roman"/>
          <w:b/>
          <w:bCs/>
        </w:rPr>
        <w:t>-REMAINDER OF PAGE INTENTIONALLY LEFT BLANK-</w:t>
      </w:r>
    </w:p>
    <w:p w14:paraId="292678DF"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lastRenderedPageBreak/>
        <w:t>WORK APPROACH AND TECHNICAL ENVIRONMENT</w:t>
      </w:r>
      <w:r>
        <w:rPr>
          <w:rFonts w:ascii="Times New Roman" w:eastAsia="Times New Roman" w:hAnsi="Times New Roman" w:cs="Times New Roman"/>
          <w:b/>
          <w:bCs/>
          <w:u w:val="single"/>
        </w:rPr>
        <w:t xml:space="preserve"> </w:t>
      </w:r>
    </w:p>
    <w:p w14:paraId="43F7DB94"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Applications impacted. Dealer Daily Open Access.</w:t>
      </w:r>
    </w:p>
    <w:p w14:paraId="16AF8B12" w14:textId="77777777" w:rsidR="00A4494F" w:rsidRDefault="00000000">
      <w:pPr>
        <w:widowControl w:val="0"/>
        <w:numPr>
          <w:ilvl w:val="1"/>
          <w:numId w:val="2"/>
        </w:numPr>
        <w:spacing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Tools to be used by the Supplier. N/A.</w:t>
      </w:r>
    </w:p>
    <w:p w14:paraId="6776DDE5"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Systems/environments to be accessed by the Supplier. DDOA.</w:t>
      </w:r>
    </w:p>
    <w:p w14:paraId="562B886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Expected interaction with TMS/USA personnel or third-party personnel. Engels Tang, Raghav Komboor.</w:t>
      </w:r>
    </w:p>
    <w:p w14:paraId="5F1D0566"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TMS/USA Facility Locations impacted or supported. Plano Campus and/or offsite at various locations.</w:t>
      </w:r>
    </w:p>
    <w:p w14:paraId="7765116A" w14:textId="77777777" w:rsidR="00A4494F" w:rsidRDefault="00000000">
      <w:pPr>
        <w:widowControl w:val="0"/>
        <w:numPr>
          <w:ilvl w:val="1"/>
          <w:numId w:val="2"/>
        </w:numPr>
        <w:spacing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Historical and Future volumes. N/A.</w:t>
      </w:r>
    </w:p>
    <w:p w14:paraId="7B59F6E8"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Relevant TMS/USA technology standards (include coding standards, if applicable.). N/A.</w:t>
      </w:r>
    </w:p>
    <w:p w14:paraId="45621599"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SERVICE LEVELS AND REMEDIES</w:t>
      </w:r>
    </w:p>
    <w:p w14:paraId="5EE35709"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This section is intentionally left blank.</w:t>
      </w:r>
    </w:p>
    <w:p w14:paraId="528EE6E9"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TMS/USA RESPONSIBILITIES</w:t>
      </w:r>
    </w:p>
    <w:p w14:paraId="4F3D4F0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 TMS/USA’s Project Manager will be the focal point for Supplier communications relative to this Project and will engage such TMS/USA parties with the authority to act for TMS/USA. The TMS/USA Project Manager’s responsibilities include the following:  </w:t>
      </w:r>
    </w:p>
    <w:p w14:paraId="7E0DF6AA"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Manage the TMS/USA obligations and personnel for this Project.</w:t>
      </w:r>
    </w:p>
    <w:p w14:paraId="78BCD542"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Serve as the interface between Supplier and all TMS/USA departments participating in this Project.</w:t>
      </w:r>
    </w:p>
    <w:p w14:paraId="7F4E4EC4"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Administer the Project Change Control Procedure in collaboration with the Supplier Project Manager.</w:t>
      </w:r>
    </w:p>
    <w:p w14:paraId="7A30B6E7"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Participate in Project status meetings.</w:t>
      </w:r>
    </w:p>
    <w:p w14:paraId="39E5A5F1"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Obtain and provide information, data, and decisions as well as resolve action items and answer questions within ten (10) working days of Supplier’s request unless TMS/USA and Supplier agree in writing to a different response time. </w:t>
      </w:r>
    </w:p>
    <w:p w14:paraId="3A1BE94A"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Help resolve Project issues and escalate issues within TMS/USA, as necessary.</w:t>
      </w:r>
    </w:p>
    <w:p w14:paraId="5BD19472"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Review with the Supplier Project Manager any TMS/USA invoice or billing requirements.  </w:t>
      </w:r>
    </w:p>
    <w:p w14:paraId="1238CE15"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If applicable and contingent upon Supplier’s agreement to comply with TMS/USA policies, provide access to the TMS/USA communication network and communication tools.</w:t>
      </w:r>
    </w:p>
    <w:p w14:paraId="2846A7FD"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If applicable, provide office space, accommodations, and facilities that Supplier may reasonably require to perform the Services including, as applicable, supplies, furniture, computer facilities, telephone/fax communications, analog lines, parking, and other facilities for such Supplier personnel working on the Project at the TMS/USA location.</w:t>
      </w:r>
    </w:p>
    <w:p w14:paraId="39A75CC4"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If applicable, Security badges will be provided for Supplier’s access into the TMS/USA facilities.</w:t>
      </w:r>
    </w:p>
    <w:p w14:paraId="649EAC75" w14:textId="77777777" w:rsidR="00A4494F" w:rsidRDefault="00000000">
      <w:pPr>
        <w:numPr>
          <w:ilvl w:val="0"/>
          <w:numId w:val="8"/>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ab/>
        <w:t>LOCATIONS WHERE SERVICES ARE TO BE PROVIDED</w:t>
      </w:r>
    </w:p>
    <w:p w14:paraId="364AFBDE" w14:textId="77777777" w:rsidR="00A4494F" w:rsidRDefault="00000000">
      <w:pPr>
        <w:numPr>
          <w:ilvl w:val="1"/>
          <w:numId w:val="8"/>
        </w:numPr>
        <w:tabs>
          <w:tab w:val="left" w:pos="720"/>
        </w:tabs>
        <w:spacing w:before="120" w:after="120" w:line="240" w:lineRule="auto"/>
        <w:jc w:val="both"/>
        <w:rPr>
          <w:rFonts w:ascii="Times New Roman" w:eastAsia="Times New Roman" w:hAnsi="Times New Roman" w:cs="Times New Roman"/>
          <w:b/>
          <w:bCs/>
          <w:smallCaps/>
        </w:rPr>
      </w:pPr>
      <w:r>
        <w:rPr>
          <w:rFonts w:ascii="Times New Roman" w:eastAsia="Times New Roman" w:hAnsi="Times New Roman" w:cs="Times New Roman"/>
        </w:rPr>
        <w:t>On-Site Requirement. Toyota Motor Sales, U.S.A., Inc. 6565 Headquarter Dr., Plano, Texas 75024</w:t>
      </w:r>
      <w:r>
        <w:rPr>
          <w:rFonts w:ascii="Times New Roman" w:eastAsia="Times New Roman" w:hAnsi="Times New Roman" w:cs="Times New Roman"/>
          <w:b/>
          <w:bCs/>
          <w:smallCaps/>
        </w:rPr>
        <w:t>.</w:t>
      </w:r>
    </w:p>
    <w:p w14:paraId="75AD34AF" w14:textId="77777777" w:rsidR="00A4494F" w:rsidRDefault="00000000">
      <w:pPr>
        <w:numPr>
          <w:ilvl w:val="1"/>
          <w:numId w:val="8"/>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Off-Site Exceptions. Services will be provided offsite at various locations. </w:t>
      </w:r>
    </w:p>
    <w:p w14:paraId="10CB10E4" w14:textId="77777777" w:rsidR="00A4494F" w:rsidRDefault="00000000">
      <w:pPr>
        <w:numPr>
          <w:ilvl w:val="1"/>
          <w:numId w:val="8"/>
        </w:numPr>
        <w:tabs>
          <w:tab w:val="left" w:pos="720"/>
        </w:tabs>
        <w:rPr>
          <w:rFonts w:ascii="Times New Roman" w:eastAsia="Times New Roman" w:hAnsi="Times New Roman" w:cs="Times New Roman"/>
        </w:rPr>
      </w:pPr>
      <w:r>
        <w:rPr>
          <w:rFonts w:ascii="Times New Roman" w:eastAsia="Times New Roman" w:hAnsi="Times New Roman" w:cs="Times New Roman"/>
        </w:rPr>
        <w:t>Remote Access Requirements. N/A.</w:t>
      </w:r>
    </w:p>
    <w:p w14:paraId="5953C348" w14:textId="77777777" w:rsidR="00A4494F" w:rsidRDefault="00000000">
      <w:pPr>
        <w:widowControl w:val="0"/>
        <w:numPr>
          <w:ilvl w:val="0"/>
          <w:numId w:val="8"/>
        </w:numPr>
        <w:spacing w:before="120" w:after="120" w:line="240" w:lineRule="auto"/>
        <w:ind w:left="720" w:hanging="630"/>
        <w:jc w:val="both"/>
        <w:rPr>
          <w:rFonts w:ascii="Times New Roman" w:eastAsia="Times New Roman" w:hAnsi="Times New Roman" w:cs="Times New Roman"/>
        </w:rPr>
      </w:pPr>
      <w:r>
        <w:rPr>
          <w:rFonts w:ascii="Times New Roman" w:eastAsia="Times New Roman" w:hAnsi="Times New Roman" w:cs="Times New Roman"/>
          <w:b/>
          <w:bCs/>
          <w:smallCaps/>
          <w:u w:val="single"/>
        </w:rPr>
        <w:lastRenderedPageBreak/>
        <w:t>STANDARD HOURS OF OPERATION</w:t>
      </w:r>
    </w:p>
    <w:p w14:paraId="7D7793CB"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Supplier shall perform all on-site Project activities between the hours of 8:00 AM and 5:00 PM (Central Time (“</w:t>
      </w:r>
      <w:r>
        <w:rPr>
          <w:rFonts w:ascii="Times New Roman" w:eastAsia="Times New Roman" w:hAnsi="Times New Roman" w:cs="Times New Roman"/>
          <w:b/>
          <w:bCs/>
        </w:rPr>
        <w:t>CT</w:t>
      </w:r>
      <w:r>
        <w:rPr>
          <w:rFonts w:ascii="Times New Roman" w:eastAsia="Times New Roman" w:hAnsi="Times New Roman" w:cs="Times New Roman"/>
        </w:rPr>
        <w:t>”), Monday through Friday, excluding observed TMS/USA holidays.</w:t>
      </w:r>
    </w:p>
    <w:p w14:paraId="6F6DCF8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Exceptions</w:t>
      </w:r>
      <w:r>
        <w:rPr>
          <w:rFonts w:ascii="Times New Roman" w:eastAsia="Times New Roman" w:hAnsi="Times New Roman" w:cs="Times New Roman"/>
        </w:rPr>
        <w:t xml:space="preserve">. In the event that Supplier has a need to perform on-site Project activities outside of the normal work hours described above, Supplier shall provide a written request to the TMS/USA Project Manager and identify the business need and the additional work hours required. Supplier shall not perform on-site Project activities outside of the normal work hours described above unless and/or until Supplier’s written request is approved by the TMS/USA Project Manager. </w:t>
      </w:r>
    </w:p>
    <w:p w14:paraId="62BE4BF9"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Disclaimer</w:t>
      </w:r>
      <w:r>
        <w:rPr>
          <w:rFonts w:ascii="Times New Roman" w:eastAsia="Times New Roman" w:hAnsi="Times New Roman" w:cs="Times New Roman"/>
        </w:rPr>
        <w:t>. TMS/USA maintains two (2) time period definitions: Core Hours and Business Hours. Core hours are between 9:30 AM and 3:30 PM (CT). During core hours, departments and work groups are full staffed. Business hours are between 8:00 AM and 5:00 PM (CT). All departments and work groups operate during these hours with enough associates to ensure smooth operations.</w:t>
      </w:r>
    </w:p>
    <w:p w14:paraId="39756DA5"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PROJECT OVERSIGHT</w:t>
      </w:r>
    </w:p>
    <w:p w14:paraId="68FC12C7" w14:textId="77777777" w:rsidR="00A4494F"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rPr>
        <w:t xml:space="preserve">Supplier shall develop a single point of contact (“POC”) responsible for issues relating to quality, completion of Deliverables, issue management, accuracy and timeliness of time reporting and invoicing. The Supplier POC for this Project is: </w:t>
      </w:r>
      <w:r>
        <w:rPr>
          <w:rFonts w:ascii="Times New Roman" w:eastAsia="Times New Roman" w:hAnsi="Times New Roman" w:cs="Times New Roman"/>
          <w:b/>
          <w:bCs/>
        </w:rPr>
        <w:t>Stephanie Alterio</w:t>
      </w:r>
      <w:r>
        <w:rPr>
          <w:rFonts w:ascii="Times New Roman" w:eastAsia="Times New Roman" w:hAnsi="Times New Roman" w:cs="Times New Roman"/>
        </w:rPr>
        <w:t xml:space="preserve">.</w:t>
      </w:r>
    </w:p>
    <w:p w14:paraId="29695335" w14:textId="77777777" w:rsidR="00A4494F"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rPr>
        <w:t xml:space="preserve">TMS/USA will develop a single POC responsible for monitoring Supplier performance with regard to the completion of Deliverables and Service Level compliance. The TMS/USA POC may, or may not, be the same individual as the developed TMS/USA Project Manager. The TMS/USA POC for this Project is: </w:t>
      </w:r>
      <w:r>
        <w:rPr>
          <w:rFonts w:ascii="Times New Roman" w:eastAsia="Times New Roman" w:hAnsi="Times New Roman" w:cs="Times New Roman"/>
          <w:b/>
          <w:bCs/>
          <w:highlight w:val="yellow"/>
        </w:rPr>
        <w:t xml:space="preserve">Aniket Kumar </w:t>
      </w:r>
    </w:p>
    <w:p w14:paraId="48A9D5D8"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KEY PERSONNEL</w:t>
      </w:r>
    </w:p>
    <w:p w14:paraId="367DA526"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Supplier Key Person(s)</w:t>
      </w:r>
      <w:r>
        <w:rPr>
          <w:rFonts w:ascii="Times New Roman" w:eastAsia="Times New Roman" w:hAnsi="Times New Roman" w:cs="Times New Roman"/>
        </w:rPr>
        <w:t>.</w:t>
      </w:r>
    </w:p>
    <w:tbl>
      <w:tblPr>
        <w:tblStyle w:val="a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4"/>
        <w:gridCol w:w="3783"/>
        <w:gridCol w:w="2509"/>
      </w:tblGrid>
      <w:tr w:rsidR="00A4494F" w14:paraId="550799A0" w14:textId="77777777">
        <w:tc>
          <w:tcPr>
            <w:tcW w:w="9576" w:type="dxa"/>
            <w:gridSpan w:val="3"/>
            <w:vAlign w:val="center"/>
          </w:tcPr>
          <w:p w14:paraId="0D3568F1"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Table 13.1</w:t>
            </w:r>
          </w:p>
        </w:tc>
      </w:tr>
      <w:tr w:rsidR="00A4494F" w14:paraId="1B80C95E" w14:textId="77777777">
        <w:tc>
          <w:tcPr>
            <w:tcW w:w="3284" w:type="dxa"/>
            <w:vAlign w:val="center"/>
          </w:tcPr>
          <w:p w14:paraId="1F9D722F"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Role</w:t>
            </w:r>
          </w:p>
        </w:tc>
        <w:tc>
          <w:tcPr>
            <w:tcW w:w="3783" w:type="dxa"/>
            <w:vAlign w:val="center"/>
          </w:tcPr>
          <w:p w14:paraId="76322D7E"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Named Individual</w:t>
            </w:r>
          </w:p>
        </w:tc>
        <w:tc>
          <w:tcPr>
            <w:tcW w:w="2509" w:type="dxa"/>
            <w:vAlign w:val="center"/>
          </w:tcPr>
          <w:p w14:paraId="7E08325B"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Telephone #</w:t>
            </w:r>
          </w:p>
        </w:tc>
      </w:tr>
      <w:tr w:rsidR="00A4494F" w14:paraId="2392686A" w14:textId="77777777">
        <w:tc>
          <w:tcPr>
            <w:tcW w:w="3284" w:type="dxa"/>
            <w:vAlign w:val="center"/>
          </w:tcPr>
          <w:p w14:paraId="36B9DBD0" w14:textId="77777777" w:rsidR="00A4494F" w:rsidRDefault="00000000">
            <w:pPr>
              <w:widowControl w:val="0"/>
              <w:spacing w:before="120" w:after="120"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Supplier Point of Contact</w:t>
            </w:r>
          </w:p>
        </w:tc>
        <w:tc>
          <w:tcPr>
            <w:tcW w:w="3783" w:type="dxa"/>
            <w:tcBorders>
              <w:bottom w:val="single" w:sz="8" w:space="0" w:color="000000"/>
            </w:tcBorders>
            <w:vAlign w:val="center"/>
          </w:tcPr>
          <w:p w14:paraId="13328B0A" w14:textId="77777777" w:rsidR="00A4494F" w:rsidRDefault="00000000">
            <w:pPr>
              <w:widowControl w:val="0"/>
              <w:spacing w:before="120" w:after="12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Stephanie Alterio</w:t>
            </w:r>
          </w:p>
        </w:tc>
        <w:tc>
          <w:tcPr>
            <w:tcW w:w="2509" w:type="dxa"/>
            <w:vAlign w:val="center"/>
          </w:tcPr>
          <w:p w14:paraId="150CB542" w14:textId="77777777" w:rsidR="00A4494F" w:rsidRDefault="00000000">
            <w:pPr>
              <w:widowControl w:val="0"/>
              <w:spacing w:before="120" w:after="120"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(975) 835-7050</w:t>
            </w:r>
          </w:p>
        </w:tc>
      </w:tr>
      <w:tr w:rsidR="00A4494F" w14:paraId="38B862FF" w14:textId="77777777">
        <w:tc>
          <w:tcPr>
            <w:tcW w:w="3284" w:type="dxa"/>
          </w:tcPr>
          <w:p w14:paraId="42BC7044" w14:textId="73640149" w:rsidR="00A4494F" w:rsidRDefault="00000000">
            <w:pPr>
              <w:widowControl w:val="0"/>
              <w:spacing w:before="120" w:after="12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Architect </w:t>
            </w:r>
          </w:p>
        </w:tc>
        <w:tc>
          <w:tcPr>
            <w:tcW w:w="3783" w:type="dxa"/>
            <w:tcBorders>
              <w:top w:val="single" w:sz="8" w:space="0" w:color="000000"/>
              <w:bottom w:val="single" w:sz="8" w:space="0" w:color="000000"/>
            </w:tcBorders>
          </w:tcPr>
          <w:p w14:paraId="522BBEAA" w14:textId="77777777" w:rsidR="00A4494F" w:rsidRDefault="00000000">
            <w:pPr>
              <w:widowControl w:val="0"/>
              <w:spacing w:before="120" w:after="120" w:line="240" w:lineRule="auto"/>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1"/>
                <w:szCs w:val="21"/>
                <w:highlight w:val="yellow"/>
              </w:rPr>
              <w:t xml:space="preserve">Jens Kaemmerer </w:t>
            </w:r>
          </w:p>
        </w:tc>
        <w:tc>
          <w:tcPr>
            <w:tcW w:w="2509" w:type="dxa"/>
          </w:tcPr>
          <w:p w14:paraId="733E510D" w14:textId="4B5BBDCC" w:rsidR="00A4494F" w:rsidRDefault="00000000" w:rsidP="007B7C45">
            <w:pPr>
              <w:widowControl w:val="0"/>
              <w:spacing w:before="120" w:after="120" w:line="240" w:lineRule="auto"/>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1234567890</w:t>
            </w:r>
          </w:p>
        </w:tc>
      </w:tr>
    </w:tbl>
    <w:p w14:paraId="14BAB378"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Additional Supplier Resources</w:t>
      </w:r>
      <w:r>
        <w:rPr>
          <w:rFonts w:ascii="Times New Roman" w:eastAsia="Times New Roman" w:hAnsi="Times New Roman" w:cs="Times New Roman"/>
        </w:rPr>
        <w:t>.</w:t>
      </w:r>
    </w:p>
    <w:tbl>
      <w:tblPr>
        <w:tblStyle w:val="a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1"/>
        <w:gridCol w:w="5315"/>
      </w:tblGrid>
      <w:tr w:rsidR="00A4494F" w14:paraId="30481B8B" w14:textId="77777777">
        <w:tc>
          <w:tcPr>
            <w:tcW w:w="9576" w:type="dxa"/>
            <w:gridSpan w:val="2"/>
            <w:vAlign w:val="center"/>
          </w:tcPr>
          <w:p w14:paraId="5983CC79"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Table 13.2</w:t>
            </w:r>
          </w:p>
        </w:tc>
      </w:tr>
      <w:tr w:rsidR="00A4494F" w14:paraId="6C38BCB8" w14:textId="77777777">
        <w:tc>
          <w:tcPr>
            <w:tcW w:w="4261" w:type="dxa"/>
            <w:vAlign w:val="center"/>
          </w:tcPr>
          <w:p w14:paraId="59557850"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Role</w:t>
            </w:r>
          </w:p>
        </w:tc>
        <w:tc>
          <w:tcPr>
            <w:tcW w:w="5315" w:type="dxa"/>
            <w:vAlign w:val="center"/>
          </w:tcPr>
          <w:p w14:paraId="3EF58694"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Named Individual</w:t>
            </w:r>
          </w:p>
        </w:tc>
      </w:tr>
      <w:tr w:rsidR="00A4494F" w14:paraId="6D3F82C2" w14:textId="77777777">
        <w:tc>
          <w:tcPr>
            <w:tcW w:w="4261" w:type="dxa"/>
            <w:vAlign w:val="center"/>
          </w:tcPr>
          <w:p w14:paraId="57ACE0B2"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5315" w:type="dxa"/>
            <w:vAlign w:val="center"/>
          </w:tcPr>
          <w:p w14:paraId="1E34DE43"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bl>
    <w:p w14:paraId="3888453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Minimum Qualifications for Supplier Roles</w:t>
      </w:r>
      <w:r>
        <w:rPr>
          <w:rFonts w:ascii="Times New Roman" w:eastAsia="Times New Roman" w:hAnsi="Times New Roman" w:cs="Times New Roman"/>
        </w:rPr>
        <w:t>.</w:t>
      </w: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92"/>
        <w:gridCol w:w="6284"/>
      </w:tblGrid>
      <w:tr w:rsidR="00A4494F" w14:paraId="61C8BA4B" w14:textId="77777777">
        <w:trPr>
          <w:trHeight w:val="440"/>
        </w:trPr>
        <w:tc>
          <w:tcPr>
            <w:tcW w:w="9576" w:type="dxa"/>
            <w:gridSpan w:val="2"/>
            <w:vAlign w:val="center"/>
          </w:tcPr>
          <w:p w14:paraId="5ED30DE4"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Table 13.3</w:t>
            </w:r>
          </w:p>
        </w:tc>
      </w:tr>
      <w:tr w:rsidR="00A4494F" w14:paraId="56CD6ED0" w14:textId="77777777">
        <w:trPr>
          <w:trHeight w:val="440"/>
        </w:trPr>
        <w:tc>
          <w:tcPr>
            <w:tcW w:w="3292" w:type="dxa"/>
            <w:vAlign w:val="center"/>
          </w:tcPr>
          <w:p w14:paraId="6C9FC09C"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Role</w:t>
            </w:r>
          </w:p>
        </w:tc>
        <w:tc>
          <w:tcPr>
            <w:tcW w:w="6284" w:type="dxa"/>
            <w:vAlign w:val="center"/>
          </w:tcPr>
          <w:p w14:paraId="47AD1A0E"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Qualifications</w:t>
            </w:r>
          </w:p>
        </w:tc>
      </w:tr>
      <w:tr w:rsidR="00A4494F" w14:paraId="7DB9B6FE" w14:textId="77777777">
        <w:tc>
          <w:tcPr>
            <w:tcW w:w="3292" w:type="dxa"/>
            <w:vAlign w:val="center"/>
          </w:tcPr>
          <w:p w14:paraId="222118B3" w14:textId="77777777" w:rsidR="00A4494F" w:rsidRDefault="00000000">
            <w:pPr>
              <w:widowControl w:val="0"/>
              <w:spacing w:before="120" w:after="120" w:line="240" w:lineRule="auto"/>
              <w:jc w:val="center"/>
              <w:rPr>
                <w:rFonts w:ascii="Times New Roman" w:eastAsia="Times New Roman" w:hAnsi="Times New Roman" w:cs="Times New Roman"/>
                <w:highlight w:val="yellow"/>
                <w:u w:val="single"/>
              </w:rPr>
            </w:pPr>
            <w:r>
              <w:rPr>
                <w:rFonts w:ascii="Times New Roman" w:eastAsia="Times New Roman" w:hAnsi="Times New Roman" w:cs="Times New Roman"/>
              </w:rPr>
              <w:t>N/A</w:t>
            </w:r>
          </w:p>
        </w:tc>
        <w:tc>
          <w:tcPr>
            <w:tcW w:w="6284" w:type="dxa"/>
            <w:vAlign w:val="center"/>
          </w:tcPr>
          <w:p w14:paraId="6ABD5D85"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bl>
    <w:p w14:paraId="58AE1BE4"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TMS/USA reserves the right to have any Supplier resource removed from this Project for any reason or no reason. TMS/USA shall inform Supplier of such decision and Supplier shall immediately notify and remove its personnel as required by TMS/USA. In the event that any Supplier personnel poses an immediate threat to any personnel or TMS/USA facility, Supplier agrees that TMS/USA Security personnel may immediately remove or cause the removal of such personnel.  </w:t>
      </w:r>
    </w:p>
    <w:p w14:paraId="2A70F024"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TMS/USA STAFFING</w:t>
      </w:r>
    </w:p>
    <w:tbl>
      <w:tblPr>
        <w:tblStyle w:val="a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4"/>
        <w:gridCol w:w="3783"/>
        <w:gridCol w:w="2509"/>
      </w:tblGrid>
      <w:tr w:rsidR="00A4494F" w14:paraId="68CA2B96" w14:textId="77777777">
        <w:tc>
          <w:tcPr>
            <w:tcW w:w="9576" w:type="dxa"/>
            <w:gridSpan w:val="3"/>
            <w:vAlign w:val="center"/>
          </w:tcPr>
          <w:p w14:paraId="49B967A6"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Table 14.0</w:t>
            </w:r>
          </w:p>
        </w:tc>
      </w:tr>
      <w:tr w:rsidR="00A4494F" w14:paraId="6B76DEA3" w14:textId="77777777">
        <w:tc>
          <w:tcPr>
            <w:tcW w:w="3284" w:type="dxa"/>
            <w:vAlign w:val="center"/>
          </w:tcPr>
          <w:p w14:paraId="2EF702FE"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Role</w:t>
            </w:r>
          </w:p>
        </w:tc>
        <w:tc>
          <w:tcPr>
            <w:tcW w:w="3783" w:type="dxa"/>
            <w:vAlign w:val="center"/>
          </w:tcPr>
          <w:p w14:paraId="553A9A85"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Name</w:t>
            </w:r>
          </w:p>
        </w:tc>
        <w:tc>
          <w:tcPr>
            <w:tcW w:w="2509" w:type="dxa"/>
            <w:vAlign w:val="center"/>
          </w:tcPr>
          <w:p w14:paraId="4446CEC3"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 xml:space="preserve">Telephone</w:t>
            </w:r>
          </w:p>
        </w:tc>
      </w:tr>
      <w:tr w:rsidR="00A4494F" w14:paraId="78958B4E" w14:textId="77777777">
        <w:tc>
          <w:tcPr>
            <w:tcW w:w="3284" w:type="dxa"/>
            <w:vAlign w:val="center"/>
          </w:tcPr>
          <w:p w14:paraId="4A47FE36" w14:textId="654ACFC2" w:rsidR="00A4494F" w:rsidRDefault="00000000">
            <w:pPr>
              <w:widowControl w:val="0"/>
              <w:spacing w:before="120" w:after="120" w:line="240" w:lineRule="auto"/>
              <w:jc w:val="center"/>
              <w:rPr>
                <w:rFonts w:ascii="Times New Roman" w:eastAsia="Times New Roman" w:hAnsi="Times New Roman" w:cs="Times New Roman"/>
                <w:highlight w:val="yellow"/>
              </w:rPr>
            </w:pPr>
            <w:bookmarkStart w:id="3" w:name="_heading=h.gt8naelihaln" w:colFirst="0" w:colLast="0"/>
            <w:bookmarkEnd w:id="3"/>
            <w:r>
              <w:rPr>
                <w:rFonts w:ascii="Times New Roman" w:eastAsia="Times New Roman" w:hAnsi="Times New Roman" w:cs="Times New Roman"/>
                <w:highlight w:val="yellow"/>
              </w:rPr>
              <w:t xml:space="preserve">Project Manager </w:t>
            </w:r>
          </w:p>
        </w:tc>
        <w:tc>
          <w:tcPr>
            <w:tcW w:w="3783" w:type="dxa"/>
            <w:vAlign w:val="center"/>
          </w:tcPr>
          <w:p w14:paraId="46F04624" w14:textId="77777777" w:rsidR="00A4494F" w:rsidRDefault="00000000">
            <w:pPr>
              <w:widowControl w:val="0"/>
              <w:spacing w:before="120" w:after="120" w:line="240" w:lineRule="auto"/>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Raghav Komboor </w:t>
            </w:r>
          </w:p>
        </w:tc>
        <w:tc>
          <w:tcPr>
            <w:tcW w:w="2509" w:type="dxa"/>
            <w:vAlign w:val="center"/>
          </w:tcPr>
          <w:p w14:paraId="0ABFBBD5" w14:textId="17D09F7A" w:rsidR="00A4494F" w:rsidRDefault="00000000" w:rsidP="007B7C45">
            <w:pPr>
              <w:widowControl w:val="0"/>
              <w:spacing w:before="120" w:after="12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9876543210</w:t>
            </w:r>
          </w:p>
        </w:tc>
      </w:tr>
    </w:tbl>
    <w:p w14:paraId="1C0E20A1"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ACCEPTANCE OF DELIVERABLES</w:t>
      </w:r>
    </w:p>
    <w:p w14:paraId="65068C8A"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Except as otherwise indicated in the Project Plan, TMS/USA shall have a minimum period of thirty (30) business days (the “</w:t>
      </w:r>
      <w:r>
        <w:rPr>
          <w:rFonts w:ascii="Times New Roman" w:eastAsia="Times New Roman" w:hAnsi="Times New Roman" w:cs="Times New Roman"/>
          <w:b/>
          <w:bCs/>
        </w:rPr>
        <w:t>Acceptance Period</w:t>
      </w:r>
      <w:r>
        <w:rPr>
          <w:rFonts w:ascii="Times New Roman" w:eastAsia="Times New Roman" w:hAnsi="Times New Roman" w:cs="Times New Roman"/>
        </w:rPr>
        <w:t>”) to determine the acceptability of a Deliverable to TMS/USA provided by Supplier hereunder. Within thirty (30) business days following the end of the Acceptance Period (the “</w:t>
      </w:r>
      <w:r>
        <w:rPr>
          <w:rFonts w:ascii="Times New Roman" w:eastAsia="Times New Roman" w:hAnsi="Times New Roman" w:cs="Times New Roman"/>
          <w:b/>
          <w:bCs/>
        </w:rPr>
        <w:t>Notice Period</w:t>
      </w:r>
      <w:r>
        <w:rPr>
          <w:rFonts w:ascii="Times New Roman" w:eastAsia="Times New Roman" w:hAnsi="Times New Roman" w:cs="Times New Roman"/>
        </w:rPr>
        <w:t>”), TMS/USA shall (a) provide written notification of acceptance to Supplier, in the form of a Certificate of Acceptance, a sample of which is attached hereto as</w:t>
      </w:r>
      <w:r>
        <w:rPr>
          <w:rFonts w:ascii="Times New Roman" w:eastAsia="Times New Roman" w:hAnsi="Times New Roman" w:cs="Times New Roman"/>
          <w:color w:val="0000FF"/>
        </w:rPr>
        <w:t xml:space="preserve"> </w:t>
      </w:r>
      <w:r>
        <w:rPr>
          <w:rFonts w:ascii="Times New Roman" w:eastAsia="Times New Roman" w:hAnsi="Times New Roman" w:cs="Times New Roman"/>
          <w:b/>
          <w:bCs/>
          <w:u w:val="single"/>
        </w:rPr>
        <w:t>Exhibit #6</w:t>
      </w:r>
      <w:r>
        <w:rPr>
          <w:rFonts w:ascii="Times New Roman" w:eastAsia="Times New Roman" w:hAnsi="Times New Roman" w:cs="Times New Roman"/>
        </w:rPr>
        <w:t xml:space="preserve"> via a notice of acceptance or (b) provide written notice of non-acceptance with reasonable written comments to Supplier regarding the deficiencies of the Deliverable(s). If changes or modifications are required by TMS/USA as evidenced by the notice of non-acceptance, Supplier shall have thirty (30) days to correct the deficiency noted therein and resubmit the Deliverable to TMS/USA beginning a new Acceptance Period. This process shall continue until Supplier has corrected all deficiencies and TMS/USA accepts the Deliverable.</w:t>
      </w:r>
    </w:p>
    <w:p w14:paraId="474A71FC"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Deliverable(s) shall be deemed accepted unless TMS/USA provides Supplier a written Notice of Acceptance. </w:t>
      </w:r>
    </w:p>
    <w:p w14:paraId="0E03A0F3"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ESCALATION PROCEDURES</w:t>
      </w:r>
    </w:p>
    <w:p w14:paraId="3C4239EF" w14:textId="77777777" w:rsidR="00A4494F" w:rsidRDefault="00000000">
      <w:pPr>
        <w:widowControl w:val="0"/>
        <w:numPr>
          <w:ilvl w:val="1"/>
          <w:numId w:val="8"/>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following procedure shall be followed to identify, track, and resolve issues that may arise as a result of the operation of this SOW. </w:t>
      </w:r>
    </w:p>
    <w:p w14:paraId="53B54D61"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Issues identified for escalation must first be entered into the issues log for the Project. The result of each step in the following procedure shall be documented in the issues log.</w:t>
      </w:r>
    </w:p>
    <w:p w14:paraId="6D666DFC"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assigned POC for TMS/USA and the Supplier shall meet at the TMS/USA Torrance California facility and attempt to resolve the Issue. If they are unable to </w:t>
      </w:r>
      <w:r>
        <w:rPr>
          <w:rFonts w:ascii="Times New Roman" w:eastAsia="Times New Roman" w:hAnsi="Times New Roman" w:cs="Times New Roman"/>
        </w:rPr>
        <w:lastRenderedPageBreak/>
        <w:t>resolve the Issue within two (2) working days, the Issue shall be escalated to Level 1.</w:t>
      </w:r>
    </w:p>
    <w:p w14:paraId="0D963E08"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Level 1 Escalation</w:t>
      </w:r>
      <w:r>
        <w:rPr>
          <w:rFonts w:ascii="Times New Roman" w:eastAsia="Times New Roman" w:hAnsi="Times New Roman" w:cs="Times New Roman"/>
        </w:rPr>
        <w:t>. The managers of each Party’s POC shall meet at the TMS/USA Torrance, California, facility and attempt to resolve the Issue. If they are unable to resolve the Issue within two (2) working days, the Issue shall be escalated to Level 2.</w:t>
      </w:r>
    </w:p>
    <w:p w14:paraId="57D67885"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Level 2 Escalation</w:t>
      </w:r>
      <w:r>
        <w:rPr>
          <w:rFonts w:ascii="Times New Roman" w:eastAsia="Times New Roman" w:hAnsi="Times New Roman" w:cs="Times New Roman"/>
        </w:rPr>
        <w:t>. The TMS/USA divisional manager for the Project and the Manager for the Supplier’s Account Representative shall meet at the TMS/USA Torrance, California, facility and attempt to resolve the issue. If such individuals are unable to resolve the conflict within three (3) working days, the Issue shall be escalated to Level 3.</w:t>
      </w:r>
    </w:p>
    <w:p w14:paraId="59DA6852"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Level 3 Escalation</w:t>
      </w:r>
      <w:r>
        <w:rPr>
          <w:rFonts w:ascii="Times New Roman" w:eastAsia="Times New Roman" w:hAnsi="Times New Roman" w:cs="Times New Roman"/>
        </w:rPr>
        <w:t>. If the conflict remains unresolved, the issue shall be escalated to the TMS/USA OCIO Supplier Manager for appropriate disposition.</w:t>
      </w:r>
    </w:p>
    <w:p w14:paraId="2AE1021C" w14:textId="77777777" w:rsidR="00A4494F" w:rsidRDefault="00000000">
      <w:pPr>
        <w:widowControl w:val="0"/>
        <w:numPr>
          <w:ilvl w:val="1"/>
          <w:numId w:val="8"/>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During any conflict resolution activity, Supplier shall continue to perform the Services defined in this SOW.</w:t>
      </w:r>
    </w:p>
    <w:p w14:paraId="151AAA5E"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CONTRACT CHANGE MANAGEMENT PROCEDURE</w:t>
      </w:r>
    </w:p>
    <w:p w14:paraId="3B06827C"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Change Management</w:t>
      </w:r>
      <w:r>
        <w:rPr>
          <w:rFonts w:ascii="Times New Roman" w:eastAsia="Times New Roman" w:hAnsi="Times New Roman" w:cs="Times New Roman"/>
        </w:rPr>
        <w:t>. A change request is a proposal to change, modify, or alter this SOW (“</w:t>
      </w:r>
      <w:r>
        <w:rPr>
          <w:rFonts w:ascii="Times New Roman" w:eastAsia="Times New Roman" w:hAnsi="Times New Roman" w:cs="Times New Roman"/>
          <w:b/>
          <w:bCs/>
        </w:rPr>
        <w:t>Change Request</w:t>
      </w:r>
      <w:r>
        <w:rPr>
          <w:rFonts w:ascii="Times New Roman" w:eastAsia="Times New Roman" w:hAnsi="Times New Roman" w:cs="Times New Roman"/>
        </w:rPr>
        <w:t>”). A Change Request affecting the SOW shall not be effective until reviewed and approved in writing by Supplier and TMS/USA as evidenced by a written amendment to this SOW that is executed by the Parties’ authorized representatives. The Change Request shall be documented on a TMS/USA contract change request form (a “</w:t>
      </w:r>
      <w:r>
        <w:rPr>
          <w:rFonts w:ascii="Times New Roman" w:eastAsia="Times New Roman" w:hAnsi="Times New Roman" w:cs="Times New Roman"/>
          <w:b/>
          <w:bCs/>
        </w:rPr>
        <w:t>CCR</w:t>
      </w:r>
      <w:r>
        <w:rPr>
          <w:rFonts w:ascii="Times New Roman" w:eastAsia="Times New Roman" w:hAnsi="Times New Roman" w:cs="Times New Roman"/>
        </w:rPr>
        <w:t>”) or on a TMS/USA amendment template (a “</w:t>
      </w:r>
      <w:r>
        <w:rPr>
          <w:rFonts w:ascii="Times New Roman" w:eastAsia="Times New Roman" w:hAnsi="Times New Roman" w:cs="Times New Roman"/>
          <w:b/>
          <w:bCs/>
        </w:rPr>
        <w:t>TMS/USA Template</w:t>
      </w:r>
      <w:r>
        <w:rPr>
          <w:rFonts w:ascii="Times New Roman" w:eastAsia="Times New Roman" w:hAnsi="Times New Roman" w:cs="Times New Roman"/>
        </w:rPr>
        <w:t xml:space="preserve">”). Additionally, the Change Request shall describe the proposed change, the rationale for such change, the effect such change will have on the charges to TMS/USA (if any), time schedule(s), and other terms and conditions of this Agreement or any applicable Statement(s) of Work and/or related documents. The Parties shall use the Change Request to mutually consider the proposed change. TMS/USA is under no obligation to accept the cost estimates for the proposed changes. If the Parties, </w:t>
      </w:r>
      <w:r>
        <w:rPr>
          <w:rFonts w:ascii="Times New Roman" w:eastAsia="Times New Roman" w:hAnsi="Times New Roman" w:cs="Times New Roman"/>
          <w:u w:val="single"/>
        </w:rPr>
        <w:t>however</w:t>
      </w:r>
      <w:r>
        <w:rPr>
          <w:rFonts w:ascii="Times New Roman" w:eastAsia="Times New Roman" w:hAnsi="Times New Roman" w:cs="Times New Roman"/>
        </w:rPr>
        <w:t>, agree to any proposed changes, such changes shall become binding on the Parties only through an Amendment to the SOW signed by both Parties’ authorized representatives. In no event shall Supplier be required to perform additional work under the SOW, or TMS/USA be required to pay for additional work performed under the SOW without prior written authorization from TMS/USA.</w:t>
      </w:r>
    </w:p>
    <w:p w14:paraId="03C89A94"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Change Procedure</w:t>
      </w:r>
      <w:r>
        <w:rPr>
          <w:rFonts w:ascii="Times New Roman" w:eastAsia="Times New Roman" w:hAnsi="Times New Roman" w:cs="Times New Roman"/>
        </w:rPr>
        <w:t>. Any deviations from the terms and conditions of this SOW shall be addressed via the following Change Control Process:</w:t>
      </w:r>
    </w:p>
    <w:p w14:paraId="41DED6D7"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A Party will submit its request for additions or deviations in writing to the other Party using the standard Change Request.</w:t>
      </w:r>
    </w:p>
    <w:p w14:paraId="1CE4BCFD"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The TMS/USA Project Manager and Supplier’s on-site Manager shall review the proposed change and approve or disapprove it.</w:t>
      </w:r>
    </w:p>
    <w:p w14:paraId="0E33094F"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For Change Requests submitted to the Supplier, Supplier shall use reasonable efforts to respond within five (5) business days with cost estimates and an assessment on how the proposed change will impact the scope and schedule. If it becomes known by Supplier before the fifth (5th) business day that the cost, resource, or schedule estimates will require further investigation and analysis beyond the five (5) business days, Supplier shall submit in writing to TMS/USA a brief explanation and the expected response time to provide such estimate and impacts. If appropriate, Supplier shall continue to provide progress updates to </w:t>
      </w:r>
      <w:r>
        <w:rPr>
          <w:rFonts w:ascii="Times New Roman" w:eastAsia="Times New Roman" w:hAnsi="Times New Roman" w:cs="Times New Roman"/>
        </w:rPr>
        <w:lastRenderedPageBreak/>
        <w:t>TMS/USA on a weekly basis until such estimate and impact is provided.</w:t>
      </w:r>
    </w:p>
    <w:p w14:paraId="56F8D58B"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TMS/USA will approve or reject the Change Request based on its review of the Supplier’s response to the Project impact.</w:t>
      </w:r>
    </w:p>
    <w:p w14:paraId="23251807"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An approved Change Request shall be submitted to TMS/USA and utilized as the basis for the preparation of the appropriate amendment to this Statement of Work and/or related document, or for the creation of a new Statement of Work.</w:t>
      </w:r>
    </w:p>
    <w:p w14:paraId="611798E9"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proposed amendment (or Statement of Work) shall be submitted to the Supplier’s authorized representative for approval. </w:t>
      </w:r>
    </w:p>
    <w:p w14:paraId="615210B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Upon receipt by TMS/USA of the signed amendment (or Statement of Work) from the Supplier, TMS/USA will execute the amendment (or Statement of Work).</w:t>
      </w:r>
    </w:p>
    <w:p w14:paraId="24580FCE"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The amendment (or Statement of Work) shall not become effective or enforceable unless the both Parties’ authorized representatives have signed the corresponding amendment (or new Statement of Work).</w:t>
      </w:r>
    </w:p>
    <w:p w14:paraId="616304B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Supplier shall proceed only after the Parties have executed an amendment to this SOW implementing the proposed changes.</w:t>
      </w:r>
    </w:p>
    <w:p w14:paraId="2EB8A0C5"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WARRANTY</w:t>
      </w:r>
    </w:p>
    <w:p w14:paraId="7BFC798F"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Supplier shall warranty all the Deliverables and provide all necessary best effort support of these Deliverables for a period of ninety (90) days from the implementation (migration to production). This warranty period is applicable solely to this SOW.  </w:t>
      </w:r>
    </w:p>
    <w:p w14:paraId="1FD0548B"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If a deficiency or error occurs, and is resolved during the warranty period, the corrected Deliverable shall remain under warranty for an additional ninety (90) days.</w:t>
      </w:r>
    </w:p>
    <w:p w14:paraId="16481A1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Supplier shall return calls within the time specified in the Response Schedule set out below. Response time shall be measured from the time TMS/USA reports the errors or defects. </w:t>
      </w:r>
    </w:p>
    <w:p w14:paraId="671C88D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Error Reporting</w:t>
      </w:r>
      <w:r>
        <w:rPr>
          <w:rFonts w:ascii="Times New Roman" w:eastAsia="Times New Roman" w:hAnsi="Times New Roman" w:cs="Times New Roman"/>
        </w:rPr>
        <w:t xml:space="preserve">. TMS/USA shall report errors and defects to the Supplier POC for this SOW. </w:t>
      </w:r>
    </w:p>
    <w:p w14:paraId="4CB98BD2"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Error Classification</w:t>
      </w:r>
      <w:r>
        <w:rPr>
          <w:rFonts w:ascii="Times New Roman" w:eastAsia="Times New Roman" w:hAnsi="Times New Roman" w:cs="Times New Roman"/>
        </w:rPr>
        <w:t xml:space="preserve">. TMS/USA will make an initial nonbinding classification of each error or defect in the Deliverable or associated Documentation and will report such error or defect to Supplier based on the criteria set forth below.  </w:t>
      </w:r>
    </w:p>
    <w:p w14:paraId="0535E59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Classification Criteria</w:t>
      </w:r>
      <w:r>
        <w:rPr>
          <w:rFonts w:ascii="Times New Roman" w:eastAsia="Times New Roman" w:hAnsi="Times New Roman" w:cs="Times New Roman"/>
        </w:rPr>
        <w:t>.</w:t>
      </w:r>
    </w:p>
    <w:tbl>
      <w:tblPr>
        <w:tblStyle w:val="a4"/>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5"/>
        <w:gridCol w:w="6611"/>
      </w:tblGrid>
      <w:tr w:rsidR="00A4494F" w14:paraId="6E3108EF" w14:textId="77777777">
        <w:tc>
          <w:tcPr>
            <w:tcW w:w="9576" w:type="dxa"/>
            <w:gridSpan w:val="2"/>
            <w:tcBorders>
              <w:top w:val="single" w:sz="4" w:space="0" w:color="000000"/>
              <w:left w:val="single" w:sz="4" w:space="0" w:color="000000"/>
              <w:bottom w:val="single" w:sz="4" w:space="0" w:color="000000"/>
              <w:right w:val="single" w:sz="4" w:space="0" w:color="000000"/>
            </w:tcBorders>
          </w:tcPr>
          <w:p w14:paraId="7FB56D5A"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Table 18.3.3</w:t>
            </w:r>
          </w:p>
        </w:tc>
      </w:tr>
      <w:tr w:rsidR="00A4494F" w14:paraId="4CCDD9AA" w14:textId="77777777">
        <w:tc>
          <w:tcPr>
            <w:tcW w:w="2965" w:type="dxa"/>
            <w:tcBorders>
              <w:top w:val="single" w:sz="4" w:space="0" w:color="000000"/>
              <w:left w:val="single" w:sz="4" w:space="0" w:color="000000"/>
              <w:bottom w:val="single" w:sz="4" w:space="0" w:color="000000"/>
              <w:right w:val="single" w:sz="4" w:space="0" w:color="000000"/>
            </w:tcBorders>
          </w:tcPr>
          <w:p w14:paraId="6A30A0BF"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rPr>
              <w:t>Error Severity Level</w:t>
            </w:r>
          </w:p>
        </w:tc>
        <w:tc>
          <w:tcPr>
            <w:tcW w:w="6611" w:type="dxa"/>
            <w:tcBorders>
              <w:top w:val="single" w:sz="4" w:space="0" w:color="000000"/>
              <w:left w:val="single" w:sz="4" w:space="0" w:color="000000"/>
              <w:bottom w:val="single" w:sz="4" w:space="0" w:color="000000"/>
              <w:right w:val="single" w:sz="4" w:space="0" w:color="000000"/>
            </w:tcBorders>
          </w:tcPr>
          <w:p w14:paraId="6693BD30"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rPr>
              <w:t>Determination Criteria</w:t>
            </w:r>
          </w:p>
        </w:tc>
      </w:tr>
      <w:tr w:rsidR="00A4494F" w14:paraId="0E47FA45" w14:textId="77777777">
        <w:tc>
          <w:tcPr>
            <w:tcW w:w="2965" w:type="dxa"/>
            <w:tcBorders>
              <w:top w:val="single" w:sz="4" w:space="0" w:color="000000"/>
              <w:left w:val="single" w:sz="4" w:space="0" w:color="000000"/>
              <w:bottom w:val="single" w:sz="4" w:space="0" w:color="000000"/>
              <w:right w:val="single" w:sz="4" w:space="0" w:color="000000"/>
            </w:tcBorders>
          </w:tcPr>
          <w:p w14:paraId="102438EF"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Severity Level 1</w:t>
            </w:r>
          </w:p>
        </w:tc>
        <w:tc>
          <w:tcPr>
            <w:tcW w:w="6611" w:type="dxa"/>
            <w:tcBorders>
              <w:top w:val="single" w:sz="4" w:space="0" w:color="000000"/>
              <w:left w:val="single" w:sz="4" w:space="0" w:color="000000"/>
              <w:bottom w:val="single" w:sz="4" w:space="0" w:color="000000"/>
              <w:right w:val="single" w:sz="4" w:space="0" w:color="000000"/>
            </w:tcBorders>
          </w:tcPr>
          <w:p w14:paraId="58A8EB0F"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Fatal: Errors that meet the following criteria: </w:t>
            </w:r>
          </w:p>
          <w:p w14:paraId="634E8E2A" w14:textId="77777777" w:rsidR="00A4494F" w:rsidRDefault="00000000">
            <w:pPr>
              <w:widowControl w:val="0"/>
              <w:numPr>
                <w:ilvl w:val="0"/>
                <w:numId w:val="5"/>
              </w:numPr>
              <w:spacing w:before="120" w:after="120" w:line="240" w:lineRule="auto"/>
              <w:jc w:val="both"/>
            </w:pPr>
            <w:r>
              <w:rPr>
                <w:rFonts w:ascii="Times New Roman" w:eastAsia="Times New Roman" w:hAnsi="Times New Roman" w:cs="Times New Roman"/>
              </w:rPr>
              <w:t>Errors that prevent all useful work from being done.</w:t>
            </w:r>
          </w:p>
          <w:p w14:paraId="57B0DACA" w14:textId="77777777" w:rsidR="00A4494F" w:rsidRDefault="00000000">
            <w:pPr>
              <w:widowControl w:val="0"/>
              <w:numPr>
                <w:ilvl w:val="0"/>
                <w:numId w:val="1"/>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Material errors in essential functions for which no work around exists.</w:t>
            </w:r>
          </w:p>
          <w:p w14:paraId="36C6690D" w14:textId="77777777" w:rsidR="00A4494F" w:rsidRDefault="00000000">
            <w:pPr>
              <w:widowControl w:val="0"/>
              <w:numPr>
                <w:ilvl w:val="0"/>
                <w:numId w:val="7"/>
              </w:numPr>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pPr>
            <w:r>
              <w:rPr>
                <w:rFonts w:ascii="Times New Roman" w:eastAsia="Times New Roman" w:hAnsi="Times New Roman" w:cs="Times New Roman"/>
              </w:rPr>
              <w:t>Errors that cause a loss of data.</w:t>
            </w:r>
          </w:p>
          <w:p w14:paraId="74B8E040" w14:textId="77777777" w:rsidR="00A4494F" w:rsidRDefault="00000000">
            <w:pPr>
              <w:widowControl w:val="0"/>
              <w:numPr>
                <w:ilvl w:val="0"/>
                <w:numId w:val="7"/>
              </w:numPr>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pPr>
            <w:r>
              <w:rPr>
                <w:rFonts w:ascii="Times New Roman" w:eastAsia="Times New Roman" w:hAnsi="Times New Roman" w:cs="Times New Roman"/>
              </w:rPr>
              <w:t>Any error that permits unauthorized access to Personal Information or any loss thereof.</w:t>
            </w:r>
          </w:p>
          <w:p w14:paraId="737FF0DB" w14:textId="77777777" w:rsidR="00A4494F" w:rsidRDefault="00000000">
            <w:pPr>
              <w:widowControl w:val="0"/>
              <w:numPr>
                <w:ilvl w:val="0"/>
                <w:numId w:val="7"/>
              </w:numPr>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pPr>
            <w:r>
              <w:rPr>
                <w:rFonts w:ascii="Times New Roman" w:eastAsia="Times New Roman" w:hAnsi="Times New Roman" w:cs="Times New Roman"/>
              </w:rPr>
              <w:t>Errors that result in or could result in financial loss.</w:t>
            </w:r>
          </w:p>
        </w:tc>
      </w:tr>
      <w:tr w:rsidR="00A4494F" w14:paraId="4816530A" w14:textId="77777777">
        <w:tc>
          <w:tcPr>
            <w:tcW w:w="2965" w:type="dxa"/>
            <w:tcBorders>
              <w:top w:val="single" w:sz="4" w:space="0" w:color="000000"/>
              <w:left w:val="single" w:sz="4" w:space="0" w:color="000000"/>
              <w:bottom w:val="single" w:sz="4" w:space="0" w:color="000000"/>
              <w:right w:val="single" w:sz="4" w:space="0" w:color="000000"/>
            </w:tcBorders>
          </w:tcPr>
          <w:p w14:paraId="7A58F484"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Severity Level 2</w:t>
            </w:r>
          </w:p>
        </w:tc>
        <w:tc>
          <w:tcPr>
            <w:tcW w:w="6611" w:type="dxa"/>
            <w:tcBorders>
              <w:top w:val="single" w:sz="4" w:space="0" w:color="000000"/>
              <w:left w:val="single" w:sz="4" w:space="0" w:color="000000"/>
              <w:bottom w:val="single" w:sz="4" w:space="0" w:color="000000"/>
              <w:right w:val="single" w:sz="4" w:space="0" w:color="000000"/>
            </w:tcBorders>
          </w:tcPr>
          <w:p w14:paraId="41A968C9"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Severe Impact: Errors that meet the following criteria: </w:t>
            </w:r>
          </w:p>
          <w:p w14:paraId="1B25B22D" w14:textId="77777777" w:rsidR="00A4494F" w:rsidRDefault="00000000">
            <w:pPr>
              <w:widowControl w:val="0"/>
              <w:numPr>
                <w:ilvl w:val="0"/>
                <w:numId w:val="6"/>
              </w:numPr>
              <w:spacing w:before="120" w:after="120" w:line="240" w:lineRule="auto"/>
              <w:jc w:val="both"/>
              <w:rPr>
                <w:rFonts w:ascii="Times New Roman" w:eastAsia="Times New Roman" w:hAnsi="Times New Roman" w:cs="Times New Roman"/>
              </w:rPr>
            </w:pPr>
            <w:bookmarkStart w:id="4" w:name="_heading=h.fy4qecn58y3g" w:colFirst="0" w:colLast="0"/>
            <w:bookmarkEnd w:id="4"/>
            <w:r>
              <w:rPr>
                <w:rFonts w:ascii="Times New Roman" w:eastAsia="Times New Roman" w:hAnsi="Times New Roman" w:cs="Times New Roman"/>
              </w:rPr>
              <w:t>Errors that disable essential functions but for which a work around exists.</w:t>
            </w:r>
            <w:r>
              <w:rPr>
                <w:rFonts w:ascii="Times New Roman" w:eastAsia="Times New Roman" w:hAnsi="Times New Roman" w:cs="Times New Roman"/>
              </w:rPr>
              <w:br/>
            </w:r>
          </w:p>
          <w:p w14:paraId="103122F2" w14:textId="77777777" w:rsidR="00A4494F" w:rsidRDefault="00000000">
            <w:pPr>
              <w:widowControl w:val="0"/>
              <w:numPr>
                <w:ilvl w:val="0"/>
                <w:numId w:val="4"/>
              </w:numPr>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pPr>
            <w:r>
              <w:rPr>
                <w:rFonts w:ascii="Times New Roman" w:eastAsia="Times New Roman" w:hAnsi="Times New Roman" w:cs="Times New Roman"/>
              </w:rPr>
              <w:t>Errors that violate material Specifications.</w:t>
            </w:r>
          </w:p>
        </w:tc>
      </w:tr>
      <w:tr w:rsidR="00A4494F" w14:paraId="3C2DD704" w14:textId="77777777">
        <w:tc>
          <w:tcPr>
            <w:tcW w:w="2965" w:type="dxa"/>
            <w:tcBorders>
              <w:top w:val="single" w:sz="4" w:space="0" w:color="000000"/>
              <w:left w:val="single" w:sz="4" w:space="0" w:color="000000"/>
              <w:bottom w:val="single" w:sz="4" w:space="0" w:color="000000"/>
              <w:right w:val="single" w:sz="4" w:space="0" w:color="000000"/>
            </w:tcBorders>
          </w:tcPr>
          <w:p w14:paraId="1B7C7828"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Severity Level 3</w:t>
            </w:r>
          </w:p>
        </w:tc>
        <w:tc>
          <w:tcPr>
            <w:tcW w:w="6611" w:type="dxa"/>
            <w:tcBorders>
              <w:top w:val="single" w:sz="4" w:space="0" w:color="000000"/>
              <w:left w:val="single" w:sz="4" w:space="0" w:color="000000"/>
              <w:bottom w:val="single" w:sz="4" w:space="0" w:color="000000"/>
              <w:right w:val="single" w:sz="4" w:space="0" w:color="000000"/>
            </w:tcBorders>
          </w:tcPr>
          <w:p w14:paraId="111A61FD"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Non-critical: Errors that disable only nonessential functions identified in the Documentation. </w:t>
            </w:r>
          </w:p>
        </w:tc>
      </w:tr>
      <w:tr w:rsidR="00A4494F" w14:paraId="64DEBE68" w14:textId="77777777">
        <w:tc>
          <w:tcPr>
            <w:tcW w:w="2965" w:type="dxa"/>
            <w:tcBorders>
              <w:top w:val="single" w:sz="4" w:space="0" w:color="000000"/>
              <w:left w:val="single" w:sz="4" w:space="0" w:color="000000"/>
              <w:bottom w:val="single" w:sz="4" w:space="0" w:color="000000"/>
              <w:right w:val="single" w:sz="4" w:space="0" w:color="000000"/>
            </w:tcBorders>
          </w:tcPr>
          <w:p w14:paraId="459E7F75"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Severity Level 4</w:t>
            </w:r>
          </w:p>
        </w:tc>
        <w:tc>
          <w:tcPr>
            <w:tcW w:w="6611" w:type="dxa"/>
            <w:tcBorders>
              <w:top w:val="single" w:sz="4" w:space="0" w:color="000000"/>
              <w:left w:val="single" w:sz="4" w:space="0" w:color="000000"/>
              <w:bottom w:val="single" w:sz="4" w:space="0" w:color="000000"/>
              <w:right w:val="single" w:sz="4" w:space="0" w:color="000000"/>
            </w:tcBorders>
          </w:tcPr>
          <w:p w14:paraId="6C8C7E86"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Minimal Impact: Non-critical problems generally categorized as an enhancement to be prioritized for inclusion in the next version of the Product.</w:t>
            </w:r>
          </w:p>
        </w:tc>
      </w:tr>
    </w:tbl>
    <w:p w14:paraId="503B92FE"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Supplier Warranty Response Schedule</w:t>
      </w:r>
      <w:r>
        <w:rPr>
          <w:rFonts w:ascii="Times New Roman" w:eastAsia="Times New Roman" w:hAnsi="Times New Roman" w:cs="Times New Roman"/>
        </w:rPr>
        <w:t>. Supplier shall use best efforts to respond to reports in accordance with the following Supplier Warranty Response Schedule:</w:t>
      </w:r>
    </w:p>
    <w:tbl>
      <w:tblPr>
        <w:tblStyle w:val="a5"/>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2"/>
        <w:gridCol w:w="2166"/>
        <w:gridCol w:w="2166"/>
        <w:gridCol w:w="2622"/>
      </w:tblGrid>
      <w:tr w:rsidR="00A4494F" w14:paraId="72CD6EDA" w14:textId="77777777">
        <w:tc>
          <w:tcPr>
            <w:tcW w:w="9576" w:type="dxa"/>
            <w:gridSpan w:val="4"/>
            <w:tcBorders>
              <w:top w:val="single" w:sz="4" w:space="0" w:color="000000"/>
              <w:left w:val="single" w:sz="4" w:space="0" w:color="000000"/>
              <w:bottom w:val="single" w:sz="4" w:space="0" w:color="000000"/>
              <w:right w:val="single" w:sz="4" w:space="0" w:color="000000"/>
            </w:tcBorders>
          </w:tcPr>
          <w:p w14:paraId="1882F3BE" w14:textId="77777777" w:rsidR="00A4494F" w:rsidRDefault="00000000">
            <w:pPr>
              <w:pStyle w:val="Heading2"/>
              <w:keepNext w:val="0"/>
              <w:keepLines w:val="0"/>
              <w:widowControl w:val="0"/>
              <w:spacing w:before="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Table 18.3.4</w:t>
            </w:r>
          </w:p>
        </w:tc>
      </w:tr>
      <w:tr w:rsidR="00A4494F" w14:paraId="7E9DAE60" w14:textId="77777777">
        <w:tc>
          <w:tcPr>
            <w:tcW w:w="2622" w:type="dxa"/>
            <w:tcBorders>
              <w:top w:val="single" w:sz="4" w:space="0" w:color="000000"/>
              <w:left w:val="single" w:sz="4" w:space="0" w:color="000000"/>
              <w:bottom w:val="single" w:sz="4" w:space="0" w:color="000000"/>
              <w:right w:val="single" w:sz="4" w:space="0" w:color="000000"/>
            </w:tcBorders>
          </w:tcPr>
          <w:p w14:paraId="4E228F31"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sz w:val="22"/>
                <w:szCs w:val="22"/>
              </w:rPr>
              <w:t>Error Classification</w:t>
            </w:r>
          </w:p>
        </w:tc>
        <w:tc>
          <w:tcPr>
            <w:tcW w:w="2166" w:type="dxa"/>
            <w:tcBorders>
              <w:top w:val="single" w:sz="4" w:space="0" w:color="000000"/>
              <w:left w:val="single" w:sz="4" w:space="0" w:color="000000"/>
              <w:bottom w:val="single" w:sz="4" w:space="0" w:color="000000"/>
              <w:right w:val="single" w:sz="4" w:space="0" w:color="000000"/>
            </w:tcBorders>
          </w:tcPr>
          <w:p w14:paraId="1EDC1728" w14:textId="77777777" w:rsidR="00A4494F" w:rsidRDefault="00000000">
            <w:pPr>
              <w:pStyle w:val="Heading2"/>
              <w:keepNext w:val="0"/>
              <w:keepLines w:val="0"/>
              <w:widowControl w:val="0"/>
              <w:spacing w:before="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1st Level Response</w:t>
            </w:r>
          </w:p>
        </w:tc>
        <w:tc>
          <w:tcPr>
            <w:tcW w:w="2166" w:type="dxa"/>
            <w:tcBorders>
              <w:top w:val="single" w:sz="4" w:space="0" w:color="000000"/>
              <w:left w:val="single" w:sz="4" w:space="0" w:color="000000"/>
              <w:bottom w:val="single" w:sz="4" w:space="0" w:color="000000"/>
              <w:right w:val="single" w:sz="4" w:space="0" w:color="000000"/>
            </w:tcBorders>
          </w:tcPr>
          <w:p w14:paraId="7C711086" w14:textId="77777777" w:rsidR="00A4494F" w:rsidRDefault="00000000">
            <w:pPr>
              <w:pStyle w:val="Heading2"/>
              <w:keepNext w:val="0"/>
              <w:keepLines w:val="0"/>
              <w:widowControl w:val="0"/>
              <w:spacing w:before="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2nd Level Response</w:t>
            </w:r>
          </w:p>
        </w:tc>
        <w:tc>
          <w:tcPr>
            <w:tcW w:w="2622" w:type="dxa"/>
            <w:tcBorders>
              <w:top w:val="single" w:sz="4" w:space="0" w:color="000000"/>
              <w:left w:val="single" w:sz="4" w:space="0" w:color="000000"/>
              <w:bottom w:val="single" w:sz="4" w:space="0" w:color="000000"/>
              <w:right w:val="single" w:sz="4" w:space="0" w:color="000000"/>
            </w:tcBorders>
          </w:tcPr>
          <w:p w14:paraId="1893F153" w14:textId="77777777" w:rsidR="00A4494F" w:rsidRDefault="00000000">
            <w:pPr>
              <w:pStyle w:val="Heading2"/>
              <w:keepNext w:val="0"/>
              <w:keepLines w:val="0"/>
              <w:widowControl w:val="0"/>
              <w:spacing w:before="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3rd Level Response</w:t>
            </w:r>
          </w:p>
        </w:tc>
      </w:tr>
      <w:tr w:rsidR="00A4494F" w14:paraId="58F35728" w14:textId="77777777">
        <w:tc>
          <w:tcPr>
            <w:tcW w:w="2622" w:type="dxa"/>
            <w:tcBorders>
              <w:top w:val="single" w:sz="4" w:space="0" w:color="000000"/>
              <w:left w:val="single" w:sz="4" w:space="0" w:color="000000"/>
              <w:bottom w:val="single" w:sz="4" w:space="0" w:color="000000"/>
              <w:right w:val="single" w:sz="4" w:space="0" w:color="000000"/>
            </w:tcBorders>
          </w:tcPr>
          <w:p w14:paraId="0237A60B"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Severity Level 1</w:t>
            </w:r>
          </w:p>
        </w:tc>
        <w:tc>
          <w:tcPr>
            <w:tcW w:w="2166" w:type="dxa"/>
            <w:tcBorders>
              <w:top w:val="single" w:sz="4" w:space="0" w:color="000000"/>
              <w:left w:val="single" w:sz="4" w:space="0" w:color="000000"/>
              <w:bottom w:val="single" w:sz="4" w:space="0" w:color="000000"/>
              <w:right w:val="single" w:sz="4" w:space="0" w:color="000000"/>
            </w:tcBorders>
          </w:tcPr>
          <w:p w14:paraId="2BE9AF91"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business hours</w:t>
            </w:r>
          </w:p>
        </w:tc>
        <w:tc>
          <w:tcPr>
            <w:tcW w:w="2166" w:type="dxa"/>
            <w:tcBorders>
              <w:top w:val="single" w:sz="4" w:space="0" w:color="000000"/>
              <w:left w:val="single" w:sz="4" w:space="0" w:color="000000"/>
              <w:bottom w:val="single" w:sz="4" w:space="0" w:color="000000"/>
              <w:right w:val="single" w:sz="4" w:space="0" w:color="000000"/>
            </w:tcBorders>
          </w:tcPr>
          <w:p w14:paraId="3F0110AA"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business day</w:t>
            </w:r>
          </w:p>
        </w:tc>
        <w:tc>
          <w:tcPr>
            <w:tcW w:w="2622" w:type="dxa"/>
            <w:tcBorders>
              <w:top w:val="single" w:sz="4" w:space="0" w:color="000000"/>
              <w:left w:val="single" w:sz="4" w:space="0" w:color="000000"/>
              <w:bottom w:val="single" w:sz="4" w:space="0" w:color="000000"/>
              <w:right w:val="single" w:sz="4" w:space="0" w:color="000000"/>
            </w:tcBorders>
          </w:tcPr>
          <w:p w14:paraId="26E92313"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business days</w:t>
            </w:r>
          </w:p>
        </w:tc>
      </w:tr>
      <w:tr w:rsidR="00A4494F" w14:paraId="726F911A" w14:textId="77777777">
        <w:tc>
          <w:tcPr>
            <w:tcW w:w="2622" w:type="dxa"/>
            <w:tcBorders>
              <w:top w:val="single" w:sz="4" w:space="0" w:color="000000"/>
              <w:left w:val="single" w:sz="4" w:space="0" w:color="000000"/>
              <w:bottom w:val="single" w:sz="4" w:space="0" w:color="000000"/>
              <w:right w:val="single" w:sz="4" w:space="0" w:color="000000"/>
            </w:tcBorders>
          </w:tcPr>
          <w:p w14:paraId="0A638FC6"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Severity Level 2</w:t>
            </w:r>
          </w:p>
        </w:tc>
        <w:tc>
          <w:tcPr>
            <w:tcW w:w="2166" w:type="dxa"/>
            <w:tcBorders>
              <w:top w:val="single" w:sz="4" w:space="0" w:color="000000"/>
              <w:left w:val="single" w:sz="4" w:space="0" w:color="000000"/>
              <w:bottom w:val="single" w:sz="4" w:space="0" w:color="000000"/>
              <w:right w:val="single" w:sz="4" w:space="0" w:color="000000"/>
            </w:tcBorders>
          </w:tcPr>
          <w:p w14:paraId="288F442C"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8 business hours</w:t>
            </w:r>
          </w:p>
        </w:tc>
        <w:tc>
          <w:tcPr>
            <w:tcW w:w="2166" w:type="dxa"/>
            <w:tcBorders>
              <w:top w:val="single" w:sz="4" w:space="0" w:color="000000"/>
              <w:left w:val="single" w:sz="4" w:space="0" w:color="000000"/>
              <w:bottom w:val="single" w:sz="4" w:space="0" w:color="000000"/>
              <w:right w:val="single" w:sz="4" w:space="0" w:color="000000"/>
            </w:tcBorders>
          </w:tcPr>
          <w:p w14:paraId="1B370A07"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business days</w:t>
            </w:r>
          </w:p>
        </w:tc>
        <w:tc>
          <w:tcPr>
            <w:tcW w:w="2622" w:type="dxa"/>
            <w:tcBorders>
              <w:top w:val="single" w:sz="4" w:space="0" w:color="000000"/>
              <w:left w:val="single" w:sz="4" w:space="0" w:color="000000"/>
              <w:bottom w:val="single" w:sz="4" w:space="0" w:color="000000"/>
              <w:right w:val="single" w:sz="4" w:space="0" w:color="000000"/>
            </w:tcBorders>
          </w:tcPr>
          <w:p w14:paraId="2988714E"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business days</w:t>
            </w:r>
          </w:p>
        </w:tc>
      </w:tr>
      <w:tr w:rsidR="00A4494F" w14:paraId="0A371A86" w14:textId="77777777">
        <w:tc>
          <w:tcPr>
            <w:tcW w:w="2622" w:type="dxa"/>
            <w:tcBorders>
              <w:top w:val="single" w:sz="4" w:space="0" w:color="000000"/>
              <w:left w:val="single" w:sz="4" w:space="0" w:color="000000"/>
              <w:bottom w:val="single" w:sz="4" w:space="0" w:color="000000"/>
              <w:right w:val="single" w:sz="4" w:space="0" w:color="000000"/>
            </w:tcBorders>
          </w:tcPr>
          <w:p w14:paraId="3D1E957F"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Severity Level 3</w:t>
            </w:r>
          </w:p>
        </w:tc>
        <w:tc>
          <w:tcPr>
            <w:tcW w:w="2166" w:type="dxa"/>
            <w:tcBorders>
              <w:top w:val="single" w:sz="4" w:space="0" w:color="000000"/>
              <w:left w:val="single" w:sz="4" w:space="0" w:color="000000"/>
              <w:bottom w:val="single" w:sz="4" w:space="0" w:color="000000"/>
              <w:right w:val="single" w:sz="4" w:space="0" w:color="000000"/>
            </w:tcBorders>
          </w:tcPr>
          <w:p w14:paraId="5959F723"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business days</w:t>
            </w:r>
          </w:p>
        </w:tc>
        <w:tc>
          <w:tcPr>
            <w:tcW w:w="2166" w:type="dxa"/>
            <w:tcBorders>
              <w:top w:val="single" w:sz="4" w:space="0" w:color="000000"/>
              <w:left w:val="single" w:sz="4" w:space="0" w:color="000000"/>
              <w:bottom w:val="single" w:sz="4" w:space="0" w:color="000000"/>
              <w:right w:val="single" w:sz="4" w:space="0" w:color="000000"/>
            </w:tcBorders>
          </w:tcPr>
          <w:p w14:paraId="6B6AD6EC"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business days</w:t>
            </w:r>
          </w:p>
        </w:tc>
        <w:tc>
          <w:tcPr>
            <w:tcW w:w="2622" w:type="dxa"/>
            <w:tcBorders>
              <w:top w:val="single" w:sz="4" w:space="0" w:color="000000"/>
              <w:left w:val="single" w:sz="4" w:space="0" w:color="000000"/>
              <w:bottom w:val="single" w:sz="4" w:space="0" w:color="000000"/>
              <w:right w:val="single" w:sz="4" w:space="0" w:color="000000"/>
            </w:tcBorders>
          </w:tcPr>
          <w:p w14:paraId="7CC41A6F"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5 business days</w:t>
            </w:r>
          </w:p>
        </w:tc>
      </w:tr>
      <w:tr w:rsidR="00A4494F" w14:paraId="03548D86" w14:textId="77777777">
        <w:tc>
          <w:tcPr>
            <w:tcW w:w="2622" w:type="dxa"/>
            <w:tcBorders>
              <w:top w:val="single" w:sz="4" w:space="0" w:color="000000"/>
              <w:left w:val="single" w:sz="4" w:space="0" w:color="000000"/>
              <w:bottom w:val="single" w:sz="4" w:space="0" w:color="000000"/>
              <w:right w:val="single" w:sz="4" w:space="0" w:color="000000"/>
            </w:tcBorders>
          </w:tcPr>
          <w:p w14:paraId="7F014671"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Severity Level 4</w:t>
            </w:r>
          </w:p>
        </w:tc>
        <w:tc>
          <w:tcPr>
            <w:tcW w:w="2166" w:type="dxa"/>
            <w:tcBorders>
              <w:top w:val="single" w:sz="4" w:space="0" w:color="000000"/>
              <w:left w:val="single" w:sz="4" w:space="0" w:color="000000"/>
              <w:bottom w:val="single" w:sz="4" w:space="0" w:color="000000"/>
              <w:right w:val="single" w:sz="4" w:space="0" w:color="000000"/>
            </w:tcBorders>
          </w:tcPr>
          <w:p w14:paraId="6EF84CFE"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business days</w:t>
            </w:r>
          </w:p>
        </w:tc>
        <w:tc>
          <w:tcPr>
            <w:tcW w:w="2166" w:type="dxa"/>
            <w:tcBorders>
              <w:top w:val="single" w:sz="4" w:space="0" w:color="000000"/>
              <w:left w:val="single" w:sz="4" w:space="0" w:color="000000"/>
              <w:bottom w:val="single" w:sz="4" w:space="0" w:color="000000"/>
              <w:right w:val="single" w:sz="4" w:space="0" w:color="000000"/>
            </w:tcBorders>
          </w:tcPr>
          <w:p w14:paraId="46AE9480"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4 business days</w:t>
            </w:r>
          </w:p>
        </w:tc>
        <w:tc>
          <w:tcPr>
            <w:tcW w:w="2622" w:type="dxa"/>
            <w:tcBorders>
              <w:top w:val="single" w:sz="4" w:space="0" w:color="000000"/>
              <w:left w:val="single" w:sz="4" w:space="0" w:color="000000"/>
              <w:bottom w:val="single" w:sz="4" w:space="0" w:color="000000"/>
              <w:right w:val="single" w:sz="4" w:space="0" w:color="000000"/>
            </w:tcBorders>
          </w:tcPr>
          <w:p w14:paraId="3283BF74"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7 business days</w:t>
            </w:r>
          </w:p>
        </w:tc>
      </w:tr>
    </w:tbl>
    <w:p w14:paraId="5DC612FD"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Response Levels</w:t>
      </w:r>
      <w:r>
        <w:rPr>
          <w:rFonts w:ascii="Times New Roman" w:eastAsia="Times New Roman" w:hAnsi="Times New Roman" w:cs="Times New Roman"/>
        </w:rPr>
        <w:t xml:space="preserve">. </w:t>
      </w:r>
    </w:p>
    <w:p w14:paraId="12D34E6E"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1st Level Response - Acknowledge receipt of error report. </w:t>
      </w:r>
    </w:p>
    <w:p w14:paraId="4F748643" w14:textId="77777777" w:rsidR="00A4494F" w:rsidRDefault="00000000">
      <w:pPr>
        <w:widowControl w:val="0"/>
        <w:numPr>
          <w:ilvl w:val="3"/>
          <w:numId w:val="8"/>
        </w:numPr>
        <w:tabs>
          <w:tab w:val="left" w:pos="25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2nd Level Response – Identify root cause and document resolution plan. </w:t>
      </w:r>
    </w:p>
    <w:p w14:paraId="444F89F0"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3rd and 4th Level Response – Errors or deficiencies corrected and reflected in the updated Documentation </w:t>
      </w:r>
    </w:p>
    <w:p w14:paraId="3A6B8E9C"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For a Severity Level 1 Error, within the response time, Supplier agrees to assign sufficient on-site personnel on a twenty-four (24) hour per day basis to work on the error. </w:t>
      </w:r>
    </w:p>
    <w:p w14:paraId="4B4AC905"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For a Severity Level 2 Error, within the response time, Supplier agrees to assign sufficient on-site personnel on a sixteen (16) hour per day basis to work on the error.  </w:t>
      </w:r>
    </w:p>
    <w:p w14:paraId="0F0E9033"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For a Severity Level 3 and 4 Error, within the response time, Supplier agrees to assign sufficient personnel on an eight (8) hour per day basis to work on the error.</w:t>
      </w:r>
    </w:p>
    <w:p w14:paraId="3CBE9DAA"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TMS/USA Intervention</w:t>
      </w:r>
      <w:r>
        <w:rPr>
          <w:rFonts w:ascii="Times New Roman" w:eastAsia="Times New Roman" w:hAnsi="Times New Roman" w:cs="Times New Roman"/>
        </w:rPr>
        <w:t xml:space="preserve">. For a Severity Level 1 and 2 Error, in the event that Supplier exceeds the specified response times, TMS/USA may at its sole discretion, take direct action to correct the error. If action is taken by TMS/USA to correct the error, the Supplier’s obligation to </w:t>
      </w:r>
      <w:r>
        <w:rPr>
          <w:rFonts w:ascii="Times New Roman" w:eastAsia="Times New Roman" w:hAnsi="Times New Roman" w:cs="Times New Roman"/>
        </w:rPr>
        <w:lastRenderedPageBreak/>
        <w:t xml:space="preserve">correct will be waived, however, the Supplier will be required to credit TMS/USA for the cost incurred by TMS/USA to correct the error. </w:t>
      </w:r>
    </w:p>
    <w:p w14:paraId="77B351E1"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On-Site Support</w:t>
      </w:r>
      <w:r>
        <w:rPr>
          <w:rFonts w:ascii="Times New Roman" w:eastAsia="Times New Roman" w:hAnsi="Times New Roman" w:cs="Times New Roman"/>
        </w:rPr>
        <w:t xml:space="preserve">. For a Severity Level 3 and 4 Error, in the event that the Supplier exceeds the specified response time, Supplier shall provide on-site support upon request from TMS/USA. </w:t>
      </w:r>
    </w:p>
    <w:p w14:paraId="35591DC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TMS/USA Responsibilities</w:t>
      </w:r>
      <w:r>
        <w:rPr>
          <w:rFonts w:ascii="Times New Roman" w:eastAsia="Times New Roman" w:hAnsi="Times New Roman" w:cs="Times New Roman"/>
        </w:rPr>
        <w:t xml:space="preserve">. TMS/USA agrees to furnish Supplier with all information and materials requested by Supplier that are available and reasonably required for use in replicating, diagnosing, and correcting a Product(s) problem reported by TMS/USA. </w:t>
      </w:r>
    </w:p>
    <w:p w14:paraId="36D70FB7" w14:textId="77777777" w:rsidR="00A4494F" w:rsidRDefault="00000000">
      <w:pPr>
        <w:widowControl w:val="0"/>
        <w:numPr>
          <w:ilvl w:val="1"/>
          <w:numId w:val="8"/>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Remedies</w:t>
      </w:r>
      <w:r>
        <w:rPr>
          <w:rFonts w:ascii="Times New Roman" w:eastAsia="Times New Roman" w:hAnsi="Times New Roman" w:cs="Times New Roman"/>
        </w:rPr>
        <w:t>. If a Product does not conform to the warranties made by Supplier or is otherwise defective, Supplier shall correct such non-conformities within ten (10) days of notice from TMS/USA. If Supplier does not remedy any and all defects in the Deliverables within such period, TMS/USA may elect to terminate the SOW.</w:t>
      </w:r>
    </w:p>
    <w:p w14:paraId="7382A576"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FEES AND INVOICES</w:t>
      </w:r>
    </w:p>
    <w:p w14:paraId="761292BB"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bookmarkStart w:id="5" w:name="_heading=h.khbk2mf2si7o" w:colFirst="0" w:colLast="0"/>
      <w:bookmarkEnd w:id="5"/>
      <w:r>
        <w:rPr>
          <w:rFonts w:ascii="Times New Roman" w:eastAsia="Times New Roman" w:hAnsi="Times New Roman" w:cs="Times New Roman"/>
        </w:rPr>
        <w:t>Invoices shall not be issued unless and until the Deliverables have been accepted by TMS/USA as evidenced by a written Notice of Acceptance.</w:t>
      </w:r>
    </w:p>
    <w:p w14:paraId="4193FB4E"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bookmarkStart w:id="6" w:name="_heading=h.d46afscigycx" w:colFirst="0" w:colLast="0"/>
      <w:bookmarkEnd w:id="6"/>
      <w:r>
        <w:rPr>
          <w:rFonts w:ascii="Times New Roman" w:eastAsia="Times New Roman" w:hAnsi="Times New Roman" w:cs="Times New Roman"/>
        </w:rPr>
        <w:t xml:space="preserve">In consideration of Supplier’s performance of the Services, TMS/USA shall pay to Supplier the Fee in the amounts or at the Rates and manner specified below. The Fee is inclusive of all costs and expenses.</w:t>
      </w:r>
    </w:p>
    <w:p w14:paraId="651CC46A"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7" w:name="_heading=h.hc5rd6wu7jqg" w:colFirst="0" w:colLast="0"/>
      <w:bookmarkEnd w:id="7"/>
      <w:r>
        <w:rPr>
          <w:rFonts w:ascii="Times New Roman" w:eastAsia="Times New Roman" w:hAnsi="Times New Roman" w:cs="Times New Roman"/>
        </w:rPr>
        <w:t xml:space="preserve">The purchase order for this SOW itemizes </w:t>
      </w:r>
      <w:r>
        <w:rPr>
          <w:rFonts w:ascii="Times New Roman" w:eastAsia="Times New Roman" w:hAnsi="Times New Roman" w:cs="Times New Roman"/>
          <w:highlight w:val="yellow"/>
        </w:rPr>
        <w:t xml:space="preserve">Five Million Dollars ($500,000) </w:t>
      </w:r>
      <w:r>
        <w:rPr>
          <w:rFonts w:ascii="Times New Roman" w:eastAsia="Times New Roman" w:hAnsi="Times New Roman" w:cs="Times New Roman"/>
        </w:rPr>
        <w:t xml:space="preserve"> to cover the Services and Zero U.S. Dollars ($0.00 USD) to cover expenses. Total fees for Services rendered under this SOW are Not-To-</w:t>
      </w:r>
      <w:r>
        <w:rPr>
          <w:rFonts w:ascii="Times New Roman" w:eastAsia="Times New Roman" w:hAnsi="Times New Roman" w:cs="Times New Roman"/>
          <w:highlight w:val="white"/>
        </w:rPr>
        <w:t xml:space="preserve">Exceed</w:t>
      </w:r>
      <w:r>
        <w:rPr>
          <w:rFonts w:ascii="Times New Roman" w:eastAsia="Times New Roman" w:hAnsi="Times New Roman" w:cs="Times New Roman"/>
          <w:highlight w:val="yellow"/>
        </w:rPr>
        <w:t xml:space="preserve"> Five Million Dollars ($500,000)</w:t>
      </w:r>
      <w:r>
        <w:rPr>
          <w:rFonts w:ascii="Times New Roman" w:eastAsia="Times New Roman" w:hAnsi="Times New Roman" w:cs="Times New Roman"/>
        </w:rPr>
        <w:t xml:space="preserve"> (the “Allocation”). In no event shall Service Provider invoice nor shall TMS/USA be responsible for any amount in excess of the Allocation, unless an increase in the Allocation is authorized by TMS/USA by a fully executed written amendment to this SOW accompanied by a purchase order allocating the additional funding.</w:t>
      </w:r>
    </w:p>
    <w:p w14:paraId="1BA7F1A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8" w:name="_heading=h.zexe6gl8pahs" w:colFirst="0" w:colLast="0"/>
      <w:bookmarkEnd w:id="8"/>
      <w:r>
        <w:rPr>
          <w:rFonts w:ascii="Times New Roman" w:eastAsia="Times New Roman" w:hAnsi="Times New Roman" w:cs="Times New Roman"/>
        </w:rPr>
        <w:t>In addition to any periodic financial status reports that may be required of Service Provider by TMS/USA, at such time that the cumulative fees and expenses invoiced shall have reached eighty percent (80%) of the Allocation, Service Provider agrees to notify TMS/USA and confirm if the funds remaining in the Allocation are or are not sufficient to complete the work effort and associated expenses (the “Service Provider Review”). Should the Service Provider Review indicate that additional funds are projected, beyond those remaining in the Allocation, to complete the work effort, Service Provider shall coordinate with TMS/USA such that at the sole direction of TMS/USA, TMS/USA may elect to either (a) terminate this SOW at such time as the funds in the current Allocation are exhausted or (b) increase the Allocation by an amount sufficient to cover the fees and expenses for the work effort remaining for this SOW and TMS/USA shall document such increased Allocation to Service Provider in the form of a valid purchase order or extension thereto.</w:t>
      </w:r>
    </w:p>
    <w:p w14:paraId="14ED35CF"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9" w:name="_heading=h.88fak63687l1" w:colFirst="0" w:colLast="0"/>
      <w:bookmarkEnd w:id="9"/>
      <w:r>
        <w:rPr>
          <w:rFonts w:ascii="Times New Roman" w:eastAsia="Times New Roman" w:hAnsi="Times New Roman" w:cs="Times New Roman"/>
        </w:rPr>
        <w:t>The total Fees payable under this SOW are based on forty (40) hour workweeks for the period from Project initiation through completion. Unless Services are being performed for a fixed fee, any hours worked in excess of forty (40) hours per week must be pre-approved in writing (e-mail is acceptable) by TMS/USA.</w:t>
      </w:r>
    </w:p>
    <w:p w14:paraId="6B35FFE4"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0" w:name="_heading=h.bhd370iow6jj" w:colFirst="0" w:colLast="0"/>
      <w:bookmarkEnd w:id="10"/>
      <w:r>
        <w:rPr>
          <w:rFonts w:ascii="Times New Roman" w:eastAsia="Times New Roman" w:hAnsi="Times New Roman" w:cs="Times New Roman"/>
        </w:rPr>
        <w:t>The Fees identified herein are based upon the following resources, rates and estimated duration.</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1545"/>
        <w:gridCol w:w="1950"/>
        <w:gridCol w:w="1275"/>
        <w:gridCol w:w="1890"/>
      </w:tblGrid>
      <w:tr w:rsidR="00A4494F" w14:paraId="4671A3B5" w14:textId="77777777">
        <w:trPr>
          <w:trHeight w:val="420"/>
        </w:trPr>
        <w:tc>
          <w:tcPr>
            <w:tcW w:w="9360" w:type="dxa"/>
            <w:gridSpan w:val="5"/>
            <w:tcMar>
              <w:top w:w="100" w:type="dxa"/>
              <w:left w:w="100" w:type="dxa"/>
              <w:bottom w:w="100" w:type="dxa"/>
              <w:right w:w="100" w:type="dxa"/>
            </w:tcMar>
          </w:tcPr>
          <w:p w14:paraId="11A6C8CA"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lastRenderedPageBreak/>
              <w:t>Table 19.2.4</w:t>
            </w:r>
          </w:p>
        </w:tc>
      </w:tr>
      <w:tr w:rsidR="00A4494F" w14:paraId="06FF039B" w14:textId="77777777">
        <w:tc>
          <w:tcPr>
            <w:tcW w:w="2700" w:type="dxa"/>
            <w:tcMar>
              <w:top w:w="100" w:type="dxa"/>
              <w:left w:w="100" w:type="dxa"/>
              <w:bottom w:w="100" w:type="dxa"/>
              <w:right w:w="100" w:type="dxa"/>
            </w:tcMar>
          </w:tcPr>
          <w:p w14:paraId="10A224AF"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Consultant Name</w:t>
            </w:r>
          </w:p>
        </w:tc>
        <w:tc>
          <w:tcPr>
            <w:tcW w:w="1545" w:type="dxa"/>
            <w:tcMar>
              <w:top w:w="100" w:type="dxa"/>
              <w:left w:w="100" w:type="dxa"/>
              <w:bottom w:w="100" w:type="dxa"/>
              <w:right w:w="100" w:type="dxa"/>
            </w:tcMar>
          </w:tcPr>
          <w:p w14:paraId="3765FD74"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Role</w:t>
            </w:r>
          </w:p>
        </w:tc>
        <w:tc>
          <w:tcPr>
            <w:tcW w:w="1950" w:type="dxa"/>
            <w:tcMar>
              <w:top w:w="100" w:type="dxa"/>
              <w:left w:w="100" w:type="dxa"/>
              <w:bottom w:w="100" w:type="dxa"/>
              <w:right w:w="100" w:type="dxa"/>
            </w:tcMar>
          </w:tcPr>
          <w:p w14:paraId="5EB9279A"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Hourly Rate</w:t>
            </w:r>
          </w:p>
        </w:tc>
        <w:tc>
          <w:tcPr>
            <w:tcW w:w="1275" w:type="dxa"/>
            <w:tcMar>
              <w:top w:w="100" w:type="dxa"/>
              <w:left w:w="100" w:type="dxa"/>
              <w:bottom w:w="100" w:type="dxa"/>
              <w:right w:w="100" w:type="dxa"/>
            </w:tcMar>
          </w:tcPr>
          <w:p w14:paraId="00311E55"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Hours</w:t>
            </w:r>
          </w:p>
        </w:tc>
        <w:tc>
          <w:tcPr>
            <w:tcW w:w="1890" w:type="dxa"/>
            <w:tcMar>
              <w:top w:w="100" w:type="dxa"/>
              <w:left w:w="100" w:type="dxa"/>
              <w:bottom w:w="100" w:type="dxa"/>
              <w:right w:w="100" w:type="dxa"/>
            </w:tcMar>
          </w:tcPr>
          <w:p w14:paraId="77655F1E"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Fee</w:t>
            </w:r>
          </w:p>
        </w:tc>
      </w:tr>
      <w:tr w:rsidR="00A4494F" w14:paraId="55EFDFBD" w14:textId="77777777">
        <w:tc>
          <w:tcPr>
            <w:tcW w:w="2700" w:type="dxa"/>
            <w:tcMar>
              <w:top w:w="100" w:type="dxa"/>
              <w:left w:w="100" w:type="dxa"/>
              <w:bottom w:w="100" w:type="dxa"/>
              <w:right w:w="100" w:type="dxa"/>
            </w:tcMar>
          </w:tcPr>
          <w:p w14:paraId="4BAB7224"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Aniket Kaemmerer </w:t>
            </w:r>
          </w:p>
        </w:tc>
        <w:tc>
          <w:tcPr>
            <w:tcW w:w="1545" w:type="dxa"/>
            <w:tcMar>
              <w:top w:w="100" w:type="dxa"/>
              <w:left w:w="100" w:type="dxa"/>
              <w:bottom w:w="100" w:type="dxa"/>
              <w:right w:w="100" w:type="dxa"/>
            </w:tcMar>
          </w:tcPr>
          <w:p w14:paraId="0B46AF11"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Architect </w:t>
            </w:r>
          </w:p>
        </w:tc>
        <w:tc>
          <w:tcPr>
            <w:tcW w:w="1950" w:type="dxa"/>
            <w:tcMar>
              <w:top w:w="100" w:type="dxa"/>
              <w:left w:w="100" w:type="dxa"/>
              <w:bottom w:w="100" w:type="dxa"/>
              <w:right w:w="100" w:type="dxa"/>
            </w:tcMar>
          </w:tcPr>
          <w:p w14:paraId="31B6D4D3"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160 </w:t>
            </w:r>
          </w:p>
        </w:tc>
        <w:tc>
          <w:tcPr>
            <w:tcW w:w="1275" w:type="dxa"/>
            <w:tcMar>
              <w:top w:w="100" w:type="dxa"/>
              <w:left w:w="100" w:type="dxa"/>
              <w:bottom w:w="100" w:type="dxa"/>
              <w:right w:w="100" w:type="dxa"/>
            </w:tcMar>
          </w:tcPr>
          <w:p w14:paraId="4E0F7E97" w14:textId="77777777" w:rsidR="00A4494F" w:rsidRDefault="00000000">
            <w:pPr>
              <w:widowControl w:val="0"/>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100 </w:t>
            </w:r>
          </w:p>
        </w:tc>
        <w:tc>
          <w:tcPr>
            <w:tcW w:w="1890" w:type="dxa"/>
            <w:tcMar>
              <w:top w:w="100" w:type="dxa"/>
              <w:left w:w="100" w:type="dxa"/>
              <w:bottom w:w="100" w:type="dxa"/>
              <w:right w:w="100" w:type="dxa"/>
            </w:tcMar>
          </w:tcPr>
          <w:p w14:paraId="43783BD3" w14:textId="77777777" w:rsidR="00A4494F" w:rsidRDefault="00000000">
            <w:pPr>
              <w:widowControl w:val="0"/>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16000</w:t>
            </w:r>
          </w:p>
          <w:p w14:paraId="769BE6BD" w14:textId="04E7989A" w:rsidR="00A4494F" w:rsidRDefault="00A4494F">
            <w:pPr>
              <w:widowControl w:val="0"/>
              <w:spacing w:line="240" w:lineRule="auto"/>
              <w:jc w:val="center"/>
              <w:rPr>
                <w:rFonts w:ascii="Times New Roman" w:eastAsia="Times New Roman" w:hAnsi="Times New Roman" w:cs="Times New Roman"/>
                <w:highlight w:val="yellow"/>
              </w:rPr>
            </w:pPr>
          </w:p>
        </w:tc>
      </w:tr>
      <w:tr w:rsidR="00A4494F" w14:paraId="55EFDFBD" w14:textId="77777777">
        <w:tc>
          <w:tcPr>
            <w:tcW w:w="2700" w:type="dxa"/>
            <w:tcMar>
              <w:top w:w="100" w:type="dxa"/>
              <w:left w:w="100" w:type="dxa"/>
              <w:bottom w:w="100" w:type="dxa"/>
              <w:right w:w="100" w:type="dxa"/>
            </w:tcMar>
          </w:tcPr>
          <w:p w14:paraId="4BAB7224"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Susanthi </w:t>
            </w:r>
          </w:p>
        </w:tc>
        <w:tc>
          <w:tcPr>
            <w:tcW w:w="1545" w:type="dxa"/>
            <w:tcMar>
              <w:top w:w="100" w:type="dxa"/>
              <w:left w:w="100" w:type="dxa"/>
              <w:bottom w:w="100" w:type="dxa"/>
              <w:right w:w="100" w:type="dxa"/>
            </w:tcMar>
          </w:tcPr>
          <w:p w14:paraId="0B46AF11"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UX Developer </w:t>
            </w:r>
          </w:p>
        </w:tc>
        <w:tc>
          <w:tcPr>
            <w:tcW w:w="1950" w:type="dxa"/>
            <w:tcMar>
              <w:top w:w="100" w:type="dxa"/>
              <w:left w:w="100" w:type="dxa"/>
              <w:bottom w:w="100" w:type="dxa"/>
              <w:right w:w="100" w:type="dxa"/>
            </w:tcMar>
          </w:tcPr>
          <w:p w14:paraId="31B6D4D3"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80 </w:t>
            </w:r>
          </w:p>
        </w:tc>
        <w:tc>
          <w:tcPr>
            <w:tcW w:w="1275" w:type="dxa"/>
            <w:tcMar>
              <w:top w:w="100" w:type="dxa"/>
              <w:left w:w="100" w:type="dxa"/>
              <w:bottom w:w="100" w:type="dxa"/>
              <w:right w:w="100" w:type="dxa"/>
            </w:tcMar>
          </w:tcPr>
          <w:p w14:paraId="4E0F7E97" w14:textId="77777777" w:rsidR="00A4494F" w:rsidRDefault="00000000">
            <w:pPr>
              <w:widowControl w:val="0"/>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100 </w:t>
            </w:r>
          </w:p>
        </w:tc>
        <w:tc>
          <w:tcPr>
            <w:tcW w:w="1890" w:type="dxa"/>
            <w:tcMar>
              <w:top w:w="100" w:type="dxa"/>
              <w:left w:w="100" w:type="dxa"/>
              <w:bottom w:w="100" w:type="dxa"/>
              <w:right w:w="100" w:type="dxa"/>
            </w:tcMar>
          </w:tcPr>
          <w:p w14:paraId="43783BD3" w14:textId="77777777" w:rsidR="00A4494F" w:rsidRDefault="00000000">
            <w:pPr>
              <w:widowControl w:val="0"/>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8000</w:t>
            </w:r>
          </w:p>
          <w:p w14:paraId="769BE6BD" w14:textId="04E7989A" w:rsidR="00A4494F" w:rsidRDefault="00A4494F">
            <w:pPr>
              <w:widowControl w:val="0"/>
              <w:spacing w:line="240" w:lineRule="auto"/>
              <w:jc w:val="center"/>
              <w:rPr>
                <w:rFonts w:ascii="Times New Roman" w:eastAsia="Times New Roman" w:hAnsi="Times New Roman" w:cs="Times New Roman"/>
                <w:highlight w:val="yellow"/>
              </w:rPr>
            </w:pPr>
          </w:p>
        </w:tc>
      </w:tr>
      <w:tr w:rsidR="00A4494F" w14:paraId="55EFDFBD" w14:textId="77777777">
        <w:tc>
          <w:tcPr>
            <w:tcW w:w="2700" w:type="dxa"/>
            <w:tcMar>
              <w:top w:w="100" w:type="dxa"/>
              <w:left w:w="100" w:type="dxa"/>
              <w:bottom w:w="100" w:type="dxa"/>
              <w:right w:w="100" w:type="dxa"/>
            </w:tcMar>
          </w:tcPr>
          <w:p w14:paraId="4BAB7224"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Yash Govind </w:t>
            </w:r>
          </w:p>
        </w:tc>
        <w:tc>
          <w:tcPr>
            <w:tcW w:w="1545" w:type="dxa"/>
            <w:tcMar>
              <w:top w:w="100" w:type="dxa"/>
              <w:left w:w="100" w:type="dxa"/>
              <w:bottom w:w="100" w:type="dxa"/>
              <w:right w:w="100" w:type="dxa"/>
            </w:tcMar>
          </w:tcPr>
          <w:p w14:paraId="0B46AF11"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UX Developer </w:t>
            </w:r>
          </w:p>
        </w:tc>
        <w:tc>
          <w:tcPr>
            <w:tcW w:w="1950" w:type="dxa"/>
            <w:tcMar>
              <w:top w:w="100" w:type="dxa"/>
              <w:left w:w="100" w:type="dxa"/>
              <w:bottom w:w="100" w:type="dxa"/>
              <w:right w:w="100" w:type="dxa"/>
            </w:tcMar>
          </w:tcPr>
          <w:p w14:paraId="31B6D4D3"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90 </w:t>
            </w:r>
          </w:p>
        </w:tc>
        <w:tc>
          <w:tcPr>
            <w:tcW w:w="1275" w:type="dxa"/>
            <w:tcMar>
              <w:top w:w="100" w:type="dxa"/>
              <w:left w:w="100" w:type="dxa"/>
              <w:bottom w:w="100" w:type="dxa"/>
              <w:right w:w="100" w:type="dxa"/>
            </w:tcMar>
          </w:tcPr>
          <w:p w14:paraId="4E0F7E97" w14:textId="77777777" w:rsidR="00A4494F" w:rsidRDefault="00000000">
            <w:pPr>
              <w:widowControl w:val="0"/>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100 </w:t>
            </w:r>
          </w:p>
        </w:tc>
        <w:tc>
          <w:tcPr>
            <w:tcW w:w="1890" w:type="dxa"/>
            <w:tcMar>
              <w:top w:w="100" w:type="dxa"/>
              <w:left w:w="100" w:type="dxa"/>
              <w:bottom w:w="100" w:type="dxa"/>
              <w:right w:w="100" w:type="dxa"/>
            </w:tcMar>
          </w:tcPr>
          <w:p w14:paraId="43783BD3" w14:textId="77777777" w:rsidR="00A4494F" w:rsidRDefault="00000000">
            <w:pPr>
              <w:widowControl w:val="0"/>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8000</w:t>
            </w:r>
          </w:p>
          <w:p w14:paraId="769BE6BD" w14:textId="04E7989A" w:rsidR="00A4494F" w:rsidRDefault="00A4494F">
            <w:pPr>
              <w:widowControl w:val="0"/>
              <w:spacing w:line="240" w:lineRule="auto"/>
              <w:jc w:val="center"/>
              <w:rPr>
                <w:rFonts w:ascii="Times New Roman" w:eastAsia="Times New Roman" w:hAnsi="Times New Roman" w:cs="Times New Roman"/>
                <w:highlight w:val="yellow"/>
              </w:rPr>
            </w:pPr>
          </w:p>
        </w:tc>
      </w:tr>
      <w:tr w:rsidR="00A4494F" w14:paraId="6C379506" w14:textId="77777777">
        <w:trPr>
          <w:trHeight w:val="420"/>
        </w:trPr>
        <w:tc>
          <w:tcPr>
            <w:tcW w:w="7470" w:type="dxa"/>
            <w:gridSpan w:val="4"/>
            <w:tcMar>
              <w:top w:w="100" w:type="dxa"/>
              <w:left w:w="100" w:type="dxa"/>
              <w:bottom w:w="100" w:type="dxa"/>
              <w:right w:w="100" w:type="dxa"/>
            </w:tcMar>
          </w:tcPr>
          <w:p w14:paraId="6E6731E5" w14:textId="77777777" w:rsidR="00A4494F" w:rsidRDefault="00000000">
            <w:pPr>
              <w:widowControl w:val="0"/>
              <w:spacing w:line="240" w:lineRule="auto"/>
              <w:jc w:val="right"/>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Total (Not to Exceed)</w:t>
            </w:r>
          </w:p>
        </w:tc>
        <w:tc>
          <w:tcPr>
            <w:tcW w:w="1890" w:type="dxa"/>
            <w:tcMar>
              <w:top w:w="100" w:type="dxa"/>
              <w:left w:w="100" w:type="dxa"/>
              <w:bottom w:w="100" w:type="dxa"/>
              <w:right w:w="100" w:type="dxa"/>
            </w:tcMar>
          </w:tcPr>
          <w:p w14:paraId="07F20F0A" w14:textId="77777777" w:rsidR="00A4494F" w:rsidRDefault="00000000">
            <w:pPr>
              <w:widowControl w:val="0"/>
              <w:spacing w:line="240" w:lineRule="auto"/>
              <w:jc w:val="center"/>
              <w:rPr>
                <w:rFonts w:ascii="Times New Roman" w:eastAsia="Times New Roman" w:hAnsi="Times New Roman" w:cs="Times New Roman"/>
                <w:b/>
                <w:bCs/>
                <w:highlight w:val="yellow"/>
              </w:rPr>
            </w:pPr>
            <w:r>
              <w:rPr>
                <w:rFonts w:ascii="Times New Roman" w:eastAsia="Times New Roman" w:hAnsi="Times New Roman" w:cs="Times New Roman"/>
                <w:b/>
                <w:bCs/>
                <w:highlight w:val="yellow"/>
              </w:rPr>
              <w:t xml:space="preserve">32000 </w:t>
            </w:r>
          </w:p>
        </w:tc>
      </w:tr>
    </w:tbl>
    <w:p w14:paraId="2B5CEF55"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bookmarkStart w:id="11" w:name="_heading=h.ip2jfwq5haer" w:colFirst="0" w:colLast="0"/>
      <w:bookmarkEnd w:id="11"/>
      <w:r>
        <w:rPr>
          <w:rFonts w:ascii="Times New Roman" w:eastAsia="Times New Roman" w:hAnsi="Times New Roman" w:cs="Times New Roman"/>
        </w:rPr>
        <w:t>Invoice Requirements. A Correct Invoice must reference a valid TMS/USA Purchase Order and include the following supporting detail:</w:t>
      </w:r>
    </w:p>
    <w:p w14:paraId="275655F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2" w:name="_heading=h.kgeghbeu2b9c" w:colFirst="0" w:colLast="0"/>
      <w:bookmarkEnd w:id="12"/>
      <w:r>
        <w:rPr>
          <w:rFonts w:ascii="Times New Roman" w:eastAsia="Times New Roman" w:hAnsi="Times New Roman" w:cs="Times New Roman"/>
        </w:rPr>
        <w:t>Totals by Deliverable/Service.</w:t>
      </w:r>
    </w:p>
    <w:p w14:paraId="362BABA9"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3" w:name="_heading=h.w0j5qb3h2r3v" w:colFirst="0" w:colLast="0"/>
      <w:bookmarkEnd w:id="13"/>
      <w:r>
        <w:rPr>
          <w:rFonts w:ascii="Times New Roman" w:eastAsia="Times New Roman" w:hAnsi="Times New Roman" w:cs="Times New Roman"/>
        </w:rPr>
        <w:t>Invoice Date.</w:t>
      </w:r>
    </w:p>
    <w:p w14:paraId="44653335"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4" w:name="_heading=h.1eymbuw0z36" w:colFirst="0" w:colLast="0"/>
      <w:bookmarkEnd w:id="14"/>
      <w:r>
        <w:rPr>
          <w:rFonts w:ascii="Times New Roman" w:eastAsia="Times New Roman" w:hAnsi="Times New Roman" w:cs="Times New Roman"/>
        </w:rPr>
        <w:t>Start and End Date of Deliverable/Services.</w:t>
      </w:r>
    </w:p>
    <w:p w14:paraId="796A56A9"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5" w:name="_heading=h.7ftfz62zrfv2" w:colFirst="0" w:colLast="0"/>
      <w:bookmarkEnd w:id="15"/>
      <w:r>
        <w:rPr>
          <w:rFonts w:ascii="Times New Roman" w:eastAsia="Times New Roman" w:hAnsi="Times New Roman" w:cs="Times New Roman"/>
        </w:rPr>
        <w:t>Credit Amount, if Any.</w:t>
      </w:r>
    </w:p>
    <w:p w14:paraId="7F8B8C8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6" w:name="_heading=h.zpb3e35dmkl" w:colFirst="0" w:colLast="0"/>
      <w:bookmarkEnd w:id="16"/>
      <w:r>
        <w:rPr>
          <w:rFonts w:ascii="Times New Roman" w:eastAsia="Times New Roman" w:hAnsi="Times New Roman" w:cs="Times New Roman"/>
        </w:rPr>
        <w:t>Net Amount Due.</w:t>
      </w:r>
    </w:p>
    <w:p w14:paraId="2799F52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bookmarkStart w:id="17" w:name="_heading=h.p6l37tq3lc9c" w:colFirst="0" w:colLast="0"/>
      <w:bookmarkEnd w:id="17"/>
      <w:r>
        <w:rPr>
          <w:rFonts w:ascii="Times New Roman" w:eastAsia="Times New Roman" w:hAnsi="Times New Roman" w:cs="Times New Roman"/>
        </w:rPr>
        <w:t>SOP98 Reporting Requirements. Supplier shall specify on its invoice any amounts that meet SOP98-1 accounting rules for capitalizing software developed for internal TMS/USA use. Activities or tasks that can be capitalized include:</w:t>
      </w:r>
    </w:p>
    <w:p w14:paraId="585D9262"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8" w:name="_heading=h.6jnxoilhprpe" w:colFirst="0" w:colLast="0"/>
      <w:bookmarkEnd w:id="18"/>
      <w:r>
        <w:rPr>
          <w:rFonts w:ascii="Times New Roman" w:eastAsia="Times New Roman" w:hAnsi="Times New Roman" w:cs="Times New Roman"/>
        </w:rPr>
        <w:t>System development including analysis, development, modeling, and documentation.</w:t>
      </w:r>
    </w:p>
    <w:p w14:paraId="18C5979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9" w:name="_heading=h.9641nw6llw8o" w:colFirst="0" w:colLast="0"/>
      <w:bookmarkEnd w:id="19"/>
      <w:r>
        <w:rPr>
          <w:rFonts w:ascii="Times New Roman" w:eastAsia="Times New Roman" w:hAnsi="Times New Roman" w:cs="Times New Roman"/>
        </w:rPr>
        <w:t>Software development (coding), and unit testing.</w:t>
      </w:r>
    </w:p>
    <w:p w14:paraId="6F54409B"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20" w:name="_heading=h.gpgqwmz2pnte" w:colFirst="0" w:colLast="0"/>
      <w:bookmarkEnd w:id="20"/>
      <w:r>
        <w:rPr>
          <w:rFonts w:ascii="Times New Roman" w:eastAsia="Times New Roman" w:hAnsi="Times New Roman" w:cs="Times New Roman"/>
        </w:rPr>
        <w:t>System testing and verification/approval.</w:t>
      </w:r>
    </w:p>
    <w:p w14:paraId="0E3F7D9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21" w:name="_heading=h.e4jkfe6jysho" w:colFirst="0" w:colLast="0"/>
      <w:bookmarkEnd w:id="21"/>
      <w:r>
        <w:rPr>
          <w:rFonts w:ascii="Times New Roman" w:eastAsia="Times New Roman" w:hAnsi="Times New Roman" w:cs="Times New Roman"/>
        </w:rPr>
        <w:t>User acceptance testing.</w:t>
      </w:r>
    </w:p>
    <w:p w14:paraId="34C19FF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22" w:name="_heading=h.q2eqmgoetqgi" w:colFirst="0" w:colLast="0"/>
      <w:bookmarkEnd w:id="22"/>
      <w:r>
        <w:rPr>
          <w:rFonts w:ascii="Times New Roman" w:eastAsia="Times New Roman" w:hAnsi="Times New Roman" w:cs="Times New Roman"/>
        </w:rPr>
        <w:t>System installation, local, and remote.</w:t>
      </w:r>
    </w:p>
    <w:p w14:paraId="03226A4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23" w:name="_heading=h.fta8py3j45c9" w:colFirst="0" w:colLast="0"/>
      <w:bookmarkEnd w:id="23"/>
      <w:r>
        <w:rPr>
          <w:rFonts w:ascii="Times New Roman" w:eastAsia="Times New Roman" w:hAnsi="Times New Roman" w:cs="Times New Roman"/>
        </w:rPr>
        <w:t>System enhancements that add function and are considered permanent (not short-term fixes or changes).</w:t>
      </w:r>
    </w:p>
    <w:p w14:paraId="5A52D079" w14:textId="77777777" w:rsidR="00A4494F" w:rsidRDefault="00000000">
      <w:pPr>
        <w:widowControl w:val="0"/>
        <w:spacing w:before="120" w:after="120" w:line="240" w:lineRule="auto"/>
        <w:ind w:left="720" w:hanging="630"/>
        <w:jc w:val="both"/>
        <w:rPr>
          <w:rFonts w:ascii="Times New Roman" w:eastAsia="Times New Roman" w:hAnsi="Times New Roman" w:cs="Times New Roman"/>
          <w:b/>
          <w:bCs/>
          <w:u w:val="single"/>
        </w:rPr>
      </w:pPr>
      <w:r>
        <w:rPr>
          <w:rFonts w:ascii="Times New Roman" w:eastAsia="Times New Roman" w:hAnsi="Times New Roman" w:cs="Times New Roman"/>
          <w:b/>
          <w:bCs/>
        </w:rPr>
        <w:t xml:space="preserve">20.0 </w:t>
      </w:r>
      <w:r>
        <w:rPr>
          <w:rFonts w:ascii="Times New Roman" w:eastAsia="Times New Roman" w:hAnsi="Times New Roman" w:cs="Times New Roman"/>
          <w:b/>
          <w:bCs/>
        </w:rPr>
        <w:tab/>
      </w:r>
      <w:r>
        <w:rPr>
          <w:rFonts w:ascii="Times New Roman" w:eastAsia="Times New Roman" w:hAnsi="Times New Roman" w:cs="Times New Roman"/>
          <w:b/>
          <w:bCs/>
          <w:u w:val="single"/>
        </w:rPr>
        <w:t>CONFLICT</w:t>
      </w:r>
    </w:p>
    <w:p w14:paraId="361486C7" w14:textId="77777777" w:rsidR="00A4494F" w:rsidRDefault="00000000">
      <w:pPr>
        <w:widowControl w:val="0"/>
        <w:spacing w:before="120" w:after="120" w:line="240" w:lineRule="auto"/>
        <w:ind w:left="1170" w:hanging="450"/>
        <w:jc w:val="both"/>
        <w:rPr>
          <w:rFonts w:ascii="Times New Roman" w:eastAsia="Times New Roman" w:hAnsi="Times New Roman" w:cs="Times New Roman"/>
        </w:rPr>
      </w:pPr>
      <w:r>
        <w:rPr>
          <w:rFonts w:ascii="Times New Roman" w:eastAsia="Times New Roman" w:hAnsi="Times New Roman" w:cs="Times New Roman"/>
          <w:b/>
          <w:bCs/>
        </w:rPr>
        <w:t xml:space="preserve">20.1 </w:t>
      </w:r>
      <w:r>
        <w:rPr>
          <w:rFonts w:ascii="Times New Roman" w:eastAsia="Times New Roman" w:hAnsi="Times New Roman" w:cs="Times New Roman"/>
          <w:b/>
          <w:bCs/>
        </w:rPr>
        <w:tab/>
      </w:r>
      <w:r>
        <w:rPr>
          <w:rFonts w:ascii="Times New Roman" w:eastAsia="Times New Roman" w:hAnsi="Times New Roman" w:cs="Times New Roman"/>
        </w:rPr>
        <w:t>In the event of any conflict between the terms of this SOW and the Agreement, the terms set forth in this SOW shall control. Any terms of purchase orders, or other similar documents relating to the Services called for by this Statement of Work which conflict with, or are in addition to, the terms and conditions of this Statement of Work or the Agreement shall be of no effect unless Supplier and TMS/USA expressly agree otherwise in a writing executed by both Parties hereto.</w:t>
      </w:r>
    </w:p>
    <w:p w14:paraId="4C836273"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-SIGNATURE LINES FOLLOW ON NEXT PAGE-</w:t>
      </w:r>
    </w:p>
    <w:p w14:paraId="6764ADAB" w14:textId="77777777" w:rsidR="00A4494F" w:rsidRDefault="00000000">
      <w:pPr>
        <w:widowControl w:val="0"/>
        <w:spacing w:before="120" w:after="12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IN WITNESS WHEREOF</w:t>
      </w:r>
      <w:r>
        <w:rPr>
          <w:rFonts w:ascii="Times New Roman" w:eastAsia="Times New Roman" w:hAnsi="Times New Roman" w:cs="Times New Roman"/>
        </w:rPr>
        <w:t>, the Parties hereto have executed this Statement of Work as of the SOW Effective Date.</w:t>
      </w:r>
    </w:p>
    <w:tbl>
      <w:tblPr>
        <w:tblStyle w:val="a7"/>
        <w:tblW w:w="9576" w:type="dxa"/>
        <w:jc w:val="center"/>
        <w:tblInd w:w="0" w:type="dxa"/>
        <w:tblLayout w:type="fixed"/>
        <w:tblLook w:val="0000" w:firstRow="0" w:lastRow="0" w:firstColumn="0" w:lastColumn="0" w:noHBand="0" w:noVBand="0"/>
      </w:tblPr>
      <w:tblGrid>
        <w:gridCol w:w="4788"/>
        <w:gridCol w:w="4788"/>
      </w:tblGrid>
      <w:tr w:rsidR="00A4494F" w14:paraId="55D1F46A" w14:textId="77777777">
        <w:trPr>
          <w:jc w:val="center"/>
        </w:trPr>
        <w:tc>
          <w:tcPr>
            <w:tcW w:w="4788" w:type="dxa"/>
            <w:vAlign w:val="center"/>
          </w:tcPr>
          <w:p w14:paraId="1C67556F" w14:textId="77777777" w:rsidR="00A4494F" w:rsidRDefault="00000000">
            <w:pPr>
              <w:spacing w:before="120" w:after="120" w:line="240" w:lineRule="auto"/>
              <w:rPr>
                <w:rFonts w:ascii="Times New Roman" w:eastAsia="Times New Roman" w:hAnsi="Times New Roman" w:cs="Times New Roman"/>
              </w:rPr>
            </w:pPr>
            <w:r>
              <w:rPr>
                <w:rFonts w:ascii="Times New Roman" w:eastAsia="Times New Roman" w:hAnsi="Times New Roman" w:cs="Times New Roman"/>
                <w:b/>
                <w:bCs/>
                <w:smallCaps/>
              </w:rPr>
              <w:t>ORANGEPEOPLE, LLC</w:t>
            </w:r>
          </w:p>
        </w:tc>
        <w:tc>
          <w:tcPr>
            <w:tcW w:w="4788" w:type="dxa"/>
            <w:vAlign w:val="center"/>
          </w:tcPr>
          <w:p w14:paraId="434554C5" w14:textId="77777777" w:rsidR="00A4494F" w:rsidRDefault="00000000">
            <w:pPr>
              <w:spacing w:before="120" w:after="120" w:line="240" w:lineRule="auto"/>
              <w:rPr>
                <w:rFonts w:ascii="Times New Roman" w:eastAsia="Times New Roman" w:hAnsi="Times New Roman" w:cs="Times New Roman"/>
              </w:rPr>
            </w:pPr>
            <w:r>
              <w:rPr>
                <w:rFonts w:ascii="Times New Roman" w:eastAsia="Times New Roman" w:hAnsi="Times New Roman" w:cs="Times New Roman"/>
                <w:b/>
                <w:bCs/>
                <w:smallCaps/>
              </w:rPr>
              <w:t>TOYOTA MOTOR SALES, U.S.A., INC.</w:t>
            </w:r>
          </w:p>
        </w:tc>
      </w:tr>
      <w:tr w:rsidR="00A4494F" w14:paraId="1F09300D" w14:textId="77777777">
        <w:trPr>
          <w:trHeight w:val="756"/>
          <w:jc w:val="center"/>
        </w:trPr>
        <w:tc>
          <w:tcPr>
            <w:tcW w:w="4788" w:type="dxa"/>
            <w:vAlign w:val="center"/>
          </w:tcPr>
          <w:p w14:paraId="729A6118" w14:textId="77777777" w:rsidR="00A4494F" w:rsidRDefault="00A4494F">
            <w:pPr>
              <w:spacing w:before="120" w:after="120" w:line="240" w:lineRule="auto"/>
              <w:rPr>
                <w:rFonts w:ascii="Times New Roman" w:eastAsia="Times New Roman" w:hAnsi="Times New Roman" w:cs="Times New Roman"/>
                <w:color w:val="FFFFFF"/>
              </w:rPr>
            </w:pPr>
          </w:p>
          <w:p w14:paraId="278BC6B6" w14:textId="77777777" w:rsidR="00A4494F" w:rsidRDefault="00000000">
            <w:pPr>
              <w:spacing w:before="120" w:after="120" w:line="240" w:lineRule="auto"/>
              <w:rPr>
                <w:rFonts w:ascii="Times New Roman" w:eastAsia="Times New Roman" w:hAnsi="Times New Roman" w:cs="Times New Roman"/>
                <w:color w:val="FFFFFF"/>
              </w:rPr>
            </w:pPr>
            <w:r>
              <w:rPr>
                <w:rFonts w:ascii="Times New Roman" w:eastAsia="Times New Roman" w:hAnsi="Times New Roman" w:cs="Times New Roman"/>
                <w:color w:val="FFFFFF"/>
              </w:rPr>
              <w:t>SIGNATURE_0001</w:t>
            </w:r>
          </w:p>
        </w:tc>
        <w:tc>
          <w:tcPr>
            <w:tcW w:w="4788" w:type="dxa"/>
            <w:vAlign w:val="center"/>
          </w:tcPr>
          <w:p w14:paraId="38530AA9" w14:textId="77777777" w:rsidR="00A4494F" w:rsidRDefault="00A4494F">
            <w:pPr>
              <w:spacing w:before="120" w:after="120" w:line="240" w:lineRule="auto"/>
              <w:rPr>
                <w:rFonts w:ascii="Times New Roman" w:eastAsia="Times New Roman" w:hAnsi="Times New Roman" w:cs="Times New Roman"/>
                <w:color w:val="FFFFFF"/>
              </w:rPr>
            </w:pPr>
          </w:p>
          <w:p w14:paraId="64CCC75D" w14:textId="77777777" w:rsidR="00A4494F" w:rsidRDefault="00000000">
            <w:pPr>
              <w:spacing w:before="120" w:after="120" w:line="240" w:lineRule="auto"/>
              <w:rPr>
                <w:rFonts w:ascii="Times New Roman" w:eastAsia="Times New Roman" w:hAnsi="Times New Roman" w:cs="Times New Roman"/>
                <w:color w:val="FFFFFF"/>
              </w:rPr>
            </w:pPr>
            <w:r>
              <w:rPr>
                <w:rFonts w:ascii="Times New Roman" w:eastAsia="Times New Roman" w:hAnsi="Times New Roman" w:cs="Times New Roman"/>
                <w:color w:val="FFFFFF"/>
              </w:rPr>
              <w:t>SIGNATURE_0002</w:t>
            </w:r>
          </w:p>
        </w:tc>
      </w:tr>
      <w:tr w:rsidR="00A4494F" w14:paraId="40724CF0" w14:textId="77777777">
        <w:trPr>
          <w:trHeight w:val="657"/>
          <w:jc w:val="center"/>
        </w:trPr>
        <w:tc>
          <w:tcPr>
            <w:tcW w:w="4788" w:type="dxa"/>
            <w:vAlign w:val="center"/>
          </w:tcPr>
          <w:p w14:paraId="3E852077" w14:textId="77777777" w:rsidR="00A4494F" w:rsidRDefault="00A4494F">
            <w:pPr>
              <w:spacing w:before="120" w:after="120" w:line="240" w:lineRule="auto"/>
              <w:rPr>
                <w:rFonts w:ascii="Times New Roman" w:eastAsia="Times New Roman" w:hAnsi="Times New Roman" w:cs="Times New Roman"/>
              </w:rPr>
            </w:pPr>
          </w:p>
        </w:tc>
        <w:tc>
          <w:tcPr>
            <w:tcW w:w="4788" w:type="dxa"/>
            <w:vAlign w:val="center"/>
          </w:tcPr>
          <w:p w14:paraId="143B427C" w14:textId="77777777" w:rsidR="00A4494F" w:rsidRDefault="00A4494F">
            <w:pPr>
              <w:spacing w:before="120" w:after="120" w:line="240" w:lineRule="auto"/>
              <w:rPr>
                <w:rFonts w:ascii="Times New Roman" w:eastAsia="Times New Roman" w:hAnsi="Times New Roman" w:cs="Times New Roman"/>
              </w:rPr>
            </w:pPr>
          </w:p>
        </w:tc>
      </w:tr>
      <w:tr w:rsidR="00A4494F" w14:paraId="4342C467" w14:textId="77777777">
        <w:trPr>
          <w:jc w:val="center"/>
        </w:trPr>
        <w:tc>
          <w:tcPr>
            <w:tcW w:w="4788" w:type="dxa"/>
            <w:vAlign w:val="center"/>
          </w:tcPr>
          <w:p w14:paraId="7BFE6E5F" w14:textId="77777777" w:rsidR="00A4494F" w:rsidRDefault="00000000">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Name:</w:t>
            </w:r>
          </w:p>
        </w:tc>
        <w:tc>
          <w:tcPr>
            <w:tcW w:w="4788" w:type="dxa"/>
            <w:vAlign w:val="center"/>
          </w:tcPr>
          <w:p w14:paraId="6ADD34E2" w14:textId="77777777" w:rsidR="00A4494F" w:rsidRDefault="00000000">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 xml:space="preserve">Name: </w:t>
            </w:r>
          </w:p>
        </w:tc>
      </w:tr>
      <w:tr w:rsidR="00A4494F" w14:paraId="673126D7" w14:textId="77777777">
        <w:trPr>
          <w:jc w:val="center"/>
        </w:trPr>
        <w:tc>
          <w:tcPr>
            <w:tcW w:w="4788" w:type="dxa"/>
            <w:vAlign w:val="center"/>
          </w:tcPr>
          <w:p w14:paraId="73757875"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 xml:space="preserve">Title: </w:t>
            </w:r>
          </w:p>
        </w:tc>
        <w:tc>
          <w:tcPr>
            <w:tcW w:w="4788" w:type="dxa"/>
            <w:vAlign w:val="center"/>
          </w:tcPr>
          <w:p w14:paraId="7C9B26EC"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 xml:space="preserve">Title: </w:t>
            </w:r>
          </w:p>
        </w:tc>
      </w:tr>
      <w:tr w:rsidR="00A4494F" w14:paraId="5EB9D8BF" w14:textId="77777777">
        <w:trPr>
          <w:jc w:val="center"/>
        </w:trPr>
        <w:tc>
          <w:tcPr>
            <w:tcW w:w="4788" w:type="dxa"/>
            <w:vAlign w:val="center"/>
          </w:tcPr>
          <w:p w14:paraId="63ABF0BA" w14:textId="77777777" w:rsidR="00A4494F" w:rsidRDefault="00A4494F">
            <w:pPr>
              <w:spacing w:before="120" w:after="120" w:line="240" w:lineRule="auto"/>
              <w:ind w:left="522"/>
              <w:rPr>
                <w:rFonts w:ascii="Times New Roman" w:eastAsia="Times New Roman" w:hAnsi="Times New Roman" w:cs="Times New Roman"/>
              </w:rPr>
            </w:pPr>
          </w:p>
        </w:tc>
        <w:tc>
          <w:tcPr>
            <w:tcW w:w="4788" w:type="dxa"/>
            <w:vAlign w:val="center"/>
          </w:tcPr>
          <w:p w14:paraId="563EFB9E" w14:textId="77777777" w:rsidR="00A4494F" w:rsidRDefault="00A4494F">
            <w:pPr>
              <w:spacing w:before="120" w:after="120" w:line="240" w:lineRule="auto"/>
              <w:ind w:left="522"/>
              <w:rPr>
                <w:rFonts w:ascii="Times New Roman" w:eastAsia="Times New Roman" w:hAnsi="Times New Roman" w:cs="Times New Roman"/>
              </w:rPr>
            </w:pPr>
          </w:p>
          <w:p w14:paraId="4947B364"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b/>
                <w:bCs/>
              </w:rPr>
              <w:t>Procurement Authorization</w:t>
            </w:r>
          </w:p>
        </w:tc>
      </w:tr>
      <w:tr w:rsidR="00A4494F" w14:paraId="7072A979" w14:textId="77777777">
        <w:trPr>
          <w:jc w:val="center"/>
        </w:trPr>
        <w:tc>
          <w:tcPr>
            <w:tcW w:w="4788" w:type="dxa"/>
            <w:vAlign w:val="center"/>
          </w:tcPr>
          <w:p w14:paraId="1ABCF3ED" w14:textId="77777777" w:rsidR="00A4494F" w:rsidRDefault="00A4494F">
            <w:pPr>
              <w:spacing w:before="120" w:after="120" w:line="240" w:lineRule="auto"/>
              <w:ind w:left="522"/>
              <w:rPr>
                <w:rFonts w:ascii="Times New Roman" w:eastAsia="Times New Roman" w:hAnsi="Times New Roman" w:cs="Times New Roman"/>
              </w:rPr>
            </w:pPr>
          </w:p>
        </w:tc>
        <w:tc>
          <w:tcPr>
            <w:tcW w:w="4788" w:type="dxa"/>
            <w:vAlign w:val="center"/>
          </w:tcPr>
          <w:p w14:paraId="5DE68B16"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b/>
                <w:bCs/>
                <w:smallCaps/>
              </w:rPr>
              <w:t>TOYOTA MOTOR SALES, U.S.A., INC.</w:t>
            </w:r>
          </w:p>
        </w:tc>
      </w:tr>
      <w:tr w:rsidR="00A4494F" w14:paraId="26559C58" w14:textId="77777777">
        <w:trPr>
          <w:jc w:val="center"/>
        </w:trPr>
        <w:tc>
          <w:tcPr>
            <w:tcW w:w="4788" w:type="dxa"/>
            <w:vAlign w:val="center"/>
          </w:tcPr>
          <w:p w14:paraId="79DC8908" w14:textId="77777777" w:rsidR="00A4494F" w:rsidRDefault="00A4494F">
            <w:pPr>
              <w:spacing w:before="120" w:after="120" w:line="240" w:lineRule="auto"/>
              <w:rPr>
                <w:rFonts w:ascii="Times New Roman" w:eastAsia="Times New Roman" w:hAnsi="Times New Roman" w:cs="Times New Roman"/>
                <w:color w:val="FFFFFF"/>
              </w:rPr>
            </w:pPr>
          </w:p>
          <w:p w14:paraId="1C81DE56" w14:textId="77777777" w:rsidR="00A4494F" w:rsidRDefault="00000000">
            <w:pPr>
              <w:spacing w:before="120" w:after="120" w:line="240" w:lineRule="auto"/>
              <w:rPr>
                <w:rFonts w:ascii="Times New Roman" w:eastAsia="Times New Roman" w:hAnsi="Times New Roman" w:cs="Times New Roman"/>
                <w:color w:val="FFFFFF"/>
              </w:rPr>
            </w:pPr>
            <w:r>
              <w:rPr>
                <w:rFonts w:ascii="Times New Roman" w:eastAsia="Times New Roman" w:hAnsi="Times New Roman" w:cs="Times New Roman"/>
                <w:color w:val="FFFFFF"/>
              </w:rPr>
              <w:t>SIGNATURE_0003</w:t>
            </w:r>
          </w:p>
        </w:tc>
        <w:tc>
          <w:tcPr>
            <w:tcW w:w="4788" w:type="dxa"/>
            <w:vAlign w:val="center"/>
          </w:tcPr>
          <w:p w14:paraId="3D3B4868" w14:textId="77777777" w:rsidR="00A4494F" w:rsidRDefault="00A4494F">
            <w:pPr>
              <w:spacing w:before="120" w:after="120" w:line="240" w:lineRule="auto"/>
              <w:rPr>
                <w:rFonts w:ascii="Times New Roman" w:eastAsia="Times New Roman" w:hAnsi="Times New Roman" w:cs="Times New Roman"/>
                <w:color w:val="FFFFFF"/>
              </w:rPr>
            </w:pPr>
          </w:p>
        </w:tc>
      </w:tr>
      <w:tr w:rsidR="00A4494F" w14:paraId="3022267B" w14:textId="77777777">
        <w:trPr>
          <w:jc w:val="center"/>
        </w:trPr>
        <w:tc>
          <w:tcPr>
            <w:tcW w:w="4788" w:type="dxa"/>
            <w:vAlign w:val="center"/>
          </w:tcPr>
          <w:p w14:paraId="3D5B9849" w14:textId="77777777" w:rsidR="00A4494F" w:rsidRDefault="00A4494F">
            <w:pPr>
              <w:spacing w:before="120" w:after="120" w:line="240" w:lineRule="auto"/>
              <w:rPr>
                <w:rFonts w:ascii="Times New Roman" w:eastAsia="Times New Roman" w:hAnsi="Times New Roman" w:cs="Times New Roman"/>
                <w:color w:val="FFFFFF"/>
              </w:rPr>
            </w:pPr>
          </w:p>
        </w:tc>
        <w:tc>
          <w:tcPr>
            <w:tcW w:w="4788" w:type="dxa"/>
            <w:vAlign w:val="center"/>
          </w:tcPr>
          <w:p w14:paraId="7DEE0AD2" w14:textId="77777777" w:rsidR="00A4494F" w:rsidRDefault="00A4494F">
            <w:pPr>
              <w:spacing w:before="120" w:after="120" w:line="240" w:lineRule="auto"/>
              <w:rPr>
                <w:rFonts w:ascii="Times New Roman" w:eastAsia="Times New Roman" w:hAnsi="Times New Roman" w:cs="Times New Roman"/>
                <w:color w:val="FFFFFF"/>
              </w:rPr>
            </w:pPr>
          </w:p>
        </w:tc>
      </w:tr>
      <w:tr w:rsidR="00A4494F" w14:paraId="39E9F1EB" w14:textId="77777777">
        <w:trPr>
          <w:jc w:val="center"/>
        </w:trPr>
        <w:tc>
          <w:tcPr>
            <w:tcW w:w="4788" w:type="dxa"/>
            <w:vAlign w:val="center"/>
          </w:tcPr>
          <w:p w14:paraId="292B10D4" w14:textId="77777777" w:rsidR="00A4494F" w:rsidRDefault="00A4494F">
            <w:pPr>
              <w:widowControl w:val="0"/>
              <w:rPr>
                <w:rFonts w:ascii="Times New Roman" w:eastAsia="Times New Roman" w:hAnsi="Times New Roman" w:cs="Times New Roman"/>
                <w:color w:val="FFFFFF"/>
              </w:rPr>
            </w:pPr>
          </w:p>
          <w:tbl>
            <w:tblPr>
              <w:tblStyle w:val="a8"/>
              <w:tblW w:w="1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5"/>
            </w:tblGrid>
            <w:tr w:rsidR="00A4494F" w14:paraId="2B678CE2" w14:textId="77777777">
              <w:trPr>
                <w:trHeight w:val="318"/>
              </w:trPr>
              <w:tc>
                <w:tcPr>
                  <w:tcW w:w="1615" w:type="dxa"/>
                  <w:vAlign w:val="center"/>
                </w:tcPr>
                <w:p w14:paraId="74316E2D" w14:textId="77777777" w:rsidR="00A4494F" w:rsidRDefault="00000000">
                  <w:pPr>
                    <w:spacing w:line="240" w:lineRule="auto"/>
                    <w:ind w:left="518"/>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TMS/USA</w:t>
                  </w:r>
                </w:p>
                <w:p w14:paraId="275CBA65" w14:textId="77777777" w:rsidR="00A4494F" w:rsidRDefault="00000000">
                  <w:pPr>
                    <w:spacing w:line="240" w:lineRule="auto"/>
                    <w:ind w:left="518"/>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CONTRACTS</w:t>
                  </w:r>
                </w:p>
              </w:tc>
            </w:tr>
            <w:tr w:rsidR="00A4494F" w14:paraId="63C8C40F" w14:textId="77777777">
              <w:trPr>
                <w:trHeight w:val="318"/>
              </w:trPr>
              <w:tc>
                <w:tcPr>
                  <w:tcW w:w="1615" w:type="dxa"/>
                  <w:vAlign w:val="center"/>
                </w:tcPr>
                <w:p w14:paraId="3E948BEC" w14:textId="77777777" w:rsidR="00A4494F" w:rsidRDefault="00000000">
                  <w:pPr>
                    <w:spacing w:before="120" w:after="120" w:line="240" w:lineRule="auto"/>
                    <w:ind w:left="522"/>
                    <w:jc w:val="center"/>
                    <w:rPr>
                      <w:rFonts w:ascii="Times New Roman" w:eastAsia="Times New Roman" w:hAnsi="Times New Roman" w:cs="Times New Roman"/>
                      <w:sz w:val="16"/>
                      <w:szCs w:val="16"/>
                    </w:rPr>
                  </w:pPr>
                  <w:r>
                    <w:rPr>
                      <w:rFonts w:ascii="Times New Roman" w:eastAsia="Times New Roman" w:hAnsi="Times New Roman" w:cs="Times New Roman"/>
                      <w:b/>
                      <w:bCs/>
                      <w:smallCaps/>
                      <w:sz w:val="16"/>
                      <w:szCs w:val="16"/>
                    </w:rPr>
                    <w:t>REVIEWED</w:t>
                  </w:r>
                </w:p>
              </w:tc>
            </w:tr>
            <w:tr w:rsidR="00A4494F" w14:paraId="488D08F8" w14:textId="77777777">
              <w:trPr>
                <w:trHeight w:val="437"/>
              </w:trPr>
              <w:tc>
                <w:tcPr>
                  <w:tcW w:w="1615" w:type="dxa"/>
                  <w:vAlign w:val="center"/>
                </w:tcPr>
                <w:p w14:paraId="28165FCC" w14:textId="77777777" w:rsidR="00A4494F" w:rsidRDefault="00A4494F">
                  <w:pPr>
                    <w:spacing w:before="120" w:after="120" w:line="240" w:lineRule="auto"/>
                    <w:jc w:val="center"/>
                    <w:rPr>
                      <w:rFonts w:ascii="Times New Roman" w:eastAsia="Times New Roman" w:hAnsi="Times New Roman" w:cs="Times New Roman"/>
                      <w:color w:val="FFFFFF"/>
                      <w:sz w:val="16"/>
                      <w:szCs w:val="16"/>
                    </w:rPr>
                  </w:pPr>
                </w:p>
                <w:p w14:paraId="7D65E19C" w14:textId="77777777" w:rsidR="00A4494F" w:rsidRDefault="00000000">
                  <w:pPr>
                    <w:spacing w:before="120" w:after="12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SIGNATURE_0002</w:t>
                  </w:r>
                </w:p>
              </w:tc>
            </w:tr>
            <w:tr w:rsidR="00A4494F" w14:paraId="7711FA40" w14:textId="77777777">
              <w:trPr>
                <w:trHeight w:val="203"/>
              </w:trPr>
              <w:tc>
                <w:tcPr>
                  <w:tcW w:w="1615" w:type="dxa"/>
                  <w:vAlign w:val="center"/>
                </w:tcPr>
                <w:p w14:paraId="659DF020" w14:textId="77777777" w:rsidR="00A4494F" w:rsidRDefault="00A4494F">
                  <w:pPr>
                    <w:spacing w:before="120" w:after="120" w:line="240" w:lineRule="auto"/>
                    <w:jc w:val="center"/>
                    <w:rPr>
                      <w:rFonts w:ascii="Times New Roman" w:eastAsia="Times New Roman" w:hAnsi="Times New Roman" w:cs="Times New Roman"/>
                      <w:sz w:val="16"/>
                      <w:szCs w:val="16"/>
                    </w:rPr>
                  </w:pPr>
                </w:p>
              </w:tc>
            </w:tr>
          </w:tbl>
          <w:p w14:paraId="07BA6868" w14:textId="77777777" w:rsidR="00A4494F" w:rsidRDefault="00A4494F">
            <w:pPr>
              <w:spacing w:before="120" w:after="120" w:line="240" w:lineRule="auto"/>
              <w:ind w:left="522"/>
              <w:rPr>
                <w:rFonts w:ascii="Times New Roman" w:eastAsia="Times New Roman" w:hAnsi="Times New Roman" w:cs="Times New Roman"/>
              </w:rPr>
            </w:pPr>
          </w:p>
        </w:tc>
        <w:tc>
          <w:tcPr>
            <w:tcW w:w="4788" w:type="dxa"/>
            <w:vAlign w:val="center"/>
          </w:tcPr>
          <w:p w14:paraId="15441AB3"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Name:</w:t>
            </w:r>
          </w:p>
          <w:p w14:paraId="70C1125A"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 xml:space="preserve">Title: </w:t>
            </w:r>
          </w:p>
        </w:tc>
      </w:tr>
      <w:tr w:rsidR="00A4494F" w14:paraId="1783BF36" w14:textId="77777777">
        <w:trPr>
          <w:jc w:val="center"/>
        </w:trPr>
        <w:tc>
          <w:tcPr>
            <w:tcW w:w="4788" w:type="dxa"/>
            <w:vAlign w:val="center"/>
          </w:tcPr>
          <w:p w14:paraId="5EF29B83" w14:textId="77777777" w:rsidR="00A4494F" w:rsidRDefault="00A4494F">
            <w:pPr>
              <w:spacing w:before="120" w:after="120" w:line="240" w:lineRule="auto"/>
              <w:ind w:left="522"/>
              <w:rPr>
                <w:rFonts w:ascii="Times New Roman" w:eastAsia="Times New Roman" w:hAnsi="Times New Roman" w:cs="Times New Roman"/>
              </w:rPr>
            </w:pPr>
          </w:p>
        </w:tc>
        <w:tc>
          <w:tcPr>
            <w:tcW w:w="4788" w:type="dxa"/>
            <w:vAlign w:val="center"/>
          </w:tcPr>
          <w:p w14:paraId="1C44D3F2"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 xml:space="preserve">  </w:t>
            </w:r>
          </w:p>
        </w:tc>
      </w:tr>
    </w:tbl>
    <w:p w14:paraId="344B3B5B" w14:textId="77777777" w:rsidR="00A4494F" w:rsidRDefault="00000000">
      <w:pPr>
        <w:widowControl w:val="0"/>
        <w:spacing w:before="120" w:after="120" w:line="240" w:lineRule="auto"/>
        <w:jc w:val="center"/>
        <w:rPr>
          <w:rFonts w:ascii="Times New Roman" w:eastAsia="Times New Roman" w:hAnsi="Times New Roman" w:cs="Times New Roman"/>
          <w:b/>
          <w:bCs/>
        </w:rPr>
      </w:pPr>
      <w:r>
        <w:br w:type="page"/>
      </w:r>
      <w:r>
        <w:rPr>
          <w:rFonts w:ascii="Times New Roman" w:eastAsia="Times New Roman" w:hAnsi="Times New Roman" w:cs="Times New Roman"/>
          <w:b/>
          <w:bCs/>
        </w:rPr>
        <w:lastRenderedPageBreak/>
        <w:t>EXHIBIT #1</w:t>
      </w:r>
    </w:p>
    <w:p w14:paraId="4530E980"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STATEMENT OF WORK #</w:t>
      </w:r>
      <w:r>
        <w:rPr>
          <w:rFonts w:ascii="Times New Roman" w:eastAsia="Times New Roman" w:hAnsi="Times New Roman" w:cs="Times New Roman"/>
          <w:b/>
          <w:bCs/>
          <w:highlight w:val="yellow"/>
        </w:rPr>
        <w:t xml:space="preserve">16 </w:t>
      </w:r>
      <w:r>
        <w:rPr>
          <w:rFonts w:ascii="Times New Roman" w:eastAsia="Times New Roman" w:hAnsi="Times New Roman" w:cs="Times New Roman"/>
          <w:b/>
          <w:bCs/>
        </w:rPr>
        <w:t xml:space="preserve"> </w:t>
      </w:r>
    </w:p>
    <w:p w14:paraId="007AAC5F"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#2012ORA001</w:t>
      </w:r>
    </w:p>
    <w:p w14:paraId="7D3355F5"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PROJECT SCHEDULE</w:t>
      </w:r>
    </w:p>
    <w:p w14:paraId="3575809B"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p w14:paraId="77D38F33" w14:textId="77777777" w:rsidR="00A4494F" w:rsidRDefault="00A4494F">
      <w:pPr>
        <w:widowControl w:val="0"/>
        <w:spacing w:before="120" w:after="120" w:line="240" w:lineRule="auto"/>
        <w:jc w:val="center"/>
        <w:rPr>
          <w:rFonts w:ascii="Times New Roman" w:eastAsia="Times New Roman" w:hAnsi="Times New Roman" w:cs="Times New Roman"/>
        </w:rPr>
      </w:pPr>
    </w:p>
    <w:p w14:paraId="0A299004" w14:textId="77777777" w:rsidR="00A4494F" w:rsidRDefault="00A4494F">
      <w:pPr>
        <w:widowControl w:val="0"/>
        <w:spacing w:before="120" w:after="120" w:line="240" w:lineRule="auto"/>
        <w:rPr>
          <w:rFonts w:ascii="Times New Roman" w:eastAsia="Times New Roman" w:hAnsi="Times New Roman" w:cs="Times New Roman"/>
        </w:rPr>
      </w:pPr>
    </w:p>
    <w:p w14:paraId="77869FEC" w14:textId="77777777" w:rsidR="00A4494F" w:rsidRDefault="00A4494F">
      <w:pPr>
        <w:widowControl w:val="0"/>
        <w:spacing w:before="120" w:after="120" w:line="240" w:lineRule="auto"/>
        <w:jc w:val="center"/>
        <w:rPr>
          <w:rFonts w:ascii="Times New Roman" w:eastAsia="Times New Roman" w:hAnsi="Times New Roman" w:cs="Times New Roman"/>
        </w:rPr>
      </w:pPr>
    </w:p>
    <w:p w14:paraId="02B222F7" w14:textId="77777777" w:rsidR="00A4494F" w:rsidRDefault="00A4494F">
      <w:pPr>
        <w:widowControl w:val="0"/>
        <w:spacing w:before="120" w:after="120" w:line="240" w:lineRule="auto"/>
        <w:jc w:val="center"/>
        <w:rPr>
          <w:rFonts w:ascii="Times New Roman" w:eastAsia="Times New Roman" w:hAnsi="Times New Roman" w:cs="Times New Roman"/>
        </w:rPr>
      </w:pPr>
    </w:p>
    <w:p w14:paraId="06F40585" w14:textId="77777777" w:rsidR="00A4494F" w:rsidRDefault="00A4494F">
      <w:pPr>
        <w:widowControl w:val="0"/>
        <w:spacing w:before="120" w:after="120" w:line="240" w:lineRule="auto"/>
        <w:jc w:val="center"/>
        <w:rPr>
          <w:rFonts w:ascii="Times New Roman" w:eastAsia="Times New Roman" w:hAnsi="Times New Roman" w:cs="Times New Roman"/>
        </w:rPr>
      </w:pPr>
    </w:p>
    <w:p w14:paraId="5A84841A"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-EXHIBIT INTENTIONALLY LEFT BLANK-</w:t>
      </w:r>
      <w:r>
        <w:br w:type="page"/>
      </w:r>
      <w:r>
        <w:rPr>
          <w:rFonts w:ascii="Times New Roman" w:eastAsia="Times New Roman" w:hAnsi="Times New Roman" w:cs="Times New Roman"/>
          <w:b/>
          <w:bCs/>
        </w:rPr>
        <w:lastRenderedPageBreak/>
        <w:t>EXHIBIT #2</w:t>
      </w:r>
    </w:p>
    <w:p w14:paraId="28CCC08A"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STATEMENT OF WORK #</w:t>
      </w:r>
      <w:r>
        <w:rPr>
          <w:rFonts w:ascii="Times New Roman" w:eastAsia="Times New Roman" w:hAnsi="Times New Roman" w:cs="Times New Roman"/>
          <w:b/>
          <w:bCs/>
          <w:highlight w:val="yellow"/>
        </w:rPr>
        <w:t xml:space="preserve">16 </w:t>
      </w:r>
    </w:p>
    <w:p w14:paraId="5203364A"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#2012ORA001</w:t>
      </w:r>
    </w:p>
    <w:p w14:paraId="60468BA6"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WORK BREAKDOWN STRUCTURE (WBS)</w:t>
      </w:r>
    </w:p>
    <w:p w14:paraId="0D68462F" w14:textId="77777777" w:rsidR="00A4494F" w:rsidRDefault="00000000">
      <w:pPr>
        <w:widowControl w:val="0"/>
        <w:spacing w:before="120" w:after="120" w:line="240" w:lineRule="auto"/>
        <w:jc w:val="center"/>
        <w:rPr>
          <w:rFonts w:ascii="Times New Roman" w:eastAsia="Times New Roman" w:hAnsi="Times New Roman" w:cs="Times New Roman"/>
        </w:rPr>
      </w:pPr>
      <w:bookmarkStart w:id="24" w:name="_heading=h.8oq6uu4zc9" w:colFirst="0" w:colLast="0"/>
      <w:bookmarkEnd w:id="24"/>
      <w:r>
        <w:rPr>
          <w:rFonts w:ascii="Times New Roman" w:eastAsia="Times New Roman" w:hAnsi="Times New Roman" w:cs="Times New Roman"/>
        </w:rPr>
        <w:t>DD365 and DDOA Inventory Management</w:t>
      </w:r>
    </w:p>
    <w:p w14:paraId="74593B9C" w14:textId="77777777" w:rsidR="00A4494F" w:rsidRDefault="00A4494F">
      <w:pPr>
        <w:widowControl w:val="0"/>
        <w:spacing w:before="120" w:after="120" w:line="240" w:lineRule="auto"/>
        <w:jc w:val="center"/>
        <w:rPr>
          <w:rFonts w:ascii="Times New Roman" w:eastAsia="Times New Roman" w:hAnsi="Times New Roman" w:cs="Times New Roman"/>
        </w:rPr>
      </w:pPr>
    </w:p>
    <w:p w14:paraId="1E50B4E7" w14:textId="77777777" w:rsidR="00A4494F" w:rsidRDefault="00A4494F">
      <w:pPr>
        <w:widowControl w:val="0"/>
        <w:spacing w:before="120" w:after="120" w:line="240" w:lineRule="auto"/>
        <w:rPr>
          <w:rFonts w:ascii="Times New Roman" w:eastAsia="Times New Roman" w:hAnsi="Times New Roman" w:cs="Times New Roman"/>
        </w:rPr>
      </w:pPr>
    </w:p>
    <w:p w14:paraId="1938C4AF" w14:textId="77777777" w:rsidR="00A4494F" w:rsidRDefault="00A4494F">
      <w:pPr>
        <w:widowControl w:val="0"/>
        <w:spacing w:before="120" w:after="120" w:line="240" w:lineRule="auto"/>
        <w:jc w:val="center"/>
        <w:rPr>
          <w:rFonts w:ascii="Times New Roman" w:eastAsia="Times New Roman" w:hAnsi="Times New Roman" w:cs="Times New Roman"/>
        </w:rPr>
      </w:pPr>
    </w:p>
    <w:p w14:paraId="31DE1AFB" w14:textId="77777777" w:rsidR="00A4494F" w:rsidRDefault="00A4494F">
      <w:pPr>
        <w:widowControl w:val="0"/>
        <w:spacing w:before="120" w:after="120" w:line="240" w:lineRule="auto"/>
        <w:jc w:val="center"/>
        <w:rPr>
          <w:rFonts w:ascii="Times New Roman" w:eastAsia="Times New Roman" w:hAnsi="Times New Roman" w:cs="Times New Roman"/>
        </w:rPr>
      </w:pPr>
    </w:p>
    <w:p w14:paraId="30BDEBDF" w14:textId="77777777" w:rsidR="00A4494F" w:rsidRDefault="00A4494F">
      <w:pPr>
        <w:widowControl w:val="0"/>
        <w:spacing w:before="120" w:after="120" w:line="240" w:lineRule="auto"/>
        <w:jc w:val="center"/>
        <w:rPr>
          <w:rFonts w:ascii="Times New Roman" w:eastAsia="Times New Roman" w:hAnsi="Times New Roman" w:cs="Times New Roman"/>
        </w:rPr>
      </w:pPr>
    </w:p>
    <w:p w14:paraId="010E97F1" w14:textId="77777777" w:rsidR="00A4494F" w:rsidRDefault="00A4494F">
      <w:pPr>
        <w:widowControl w:val="0"/>
        <w:spacing w:before="120" w:after="120" w:line="240" w:lineRule="auto"/>
        <w:jc w:val="center"/>
        <w:rPr>
          <w:rFonts w:ascii="Times New Roman" w:eastAsia="Times New Roman" w:hAnsi="Times New Roman" w:cs="Times New Roman"/>
        </w:rPr>
      </w:pPr>
    </w:p>
    <w:p w14:paraId="27E7A86F"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-EXHIBIT INTENTIONALLY LEFT BLANK-</w:t>
      </w:r>
      <w:r>
        <w:br w:type="page"/>
      </w:r>
      <w:r>
        <w:rPr>
          <w:rFonts w:ascii="Times New Roman" w:eastAsia="Times New Roman" w:hAnsi="Times New Roman" w:cs="Times New Roman"/>
          <w:b/>
          <w:bCs/>
        </w:rPr>
        <w:lastRenderedPageBreak/>
        <w:t>EXHIBIT #3</w:t>
      </w:r>
    </w:p>
    <w:p w14:paraId="7D35606C"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STATEMENT OF WORK #</w:t>
      </w:r>
      <w:r>
        <w:rPr>
          <w:rFonts w:ascii="Times New Roman" w:eastAsia="Times New Roman" w:hAnsi="Times New Roman" w:cs="Times New Roman"/>
          <w:b/>
          <w:bCs/>
          <w:highlight w:val="yellow"/>
        </w:rPr>
        <w:t xml:space="preserve">16 </w:t>
      </w:r>
      <w:r>
        <w:rPr>
          <w:rFonts w:ascii="Times New Roman" w:eastAsia="Times New Roman" w:hAnsi="Times New Roman" w:cs="Times New Roman"/>
          <w:b/>
          <w:bCs/>
        </w:rPr>
        <w:t xml:space="preserve"> </w:t>
      </w:r>
    </w:p>
    <w:p w14:paraId="03C0FA20"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#2012ORA001</w:t>
      </w:r>
    </w:p>
    <w:p w14:paraId="1D484244"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RISK ASSESSMENT</w:t>
      </w:r>
    </w:p>
    <w:p w14:paraId="7822FDB8"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p w14:paraId="716C85EF" w14:textId="77777777" w:rsidR="00A4494F" w:rsidRDefault="00A4494F">
      <w:pPr>
        <w:widowControl w:val="0"/>
        <w:spacing w:before="120" w:after="120" w:line="240" w:lineRule="auto"/>
        <w:jc w:val="center"/>
        <w:rPr>
          <w:rFonts w:ascii="Times New Roman" w:eastAsia="Times New Roman" w:hAnsi="Times New Roman" w:cs="Times New Roman"/>
        </w:rPr>
      </w:pPr>
    </w:p>
    <w:p w14:paraId="6B5B1908" w14:textId="77777777" w:rsidR="00A4494F" w:rsidRDefault="00A4494F">
      <w:pPr>
        <w:widowControl w:val="0"/>
        <w:spacing w:before="120" w:after="120" w:line="240" w:lineRule="auto"/>
        <w:jc w:val="center"/>
        <w:rPr>
          <w:rFonts w:ascii="Times New Roman" w:eastAsia="Times New Roman" w:hAnsi="Times New Roman" w:cs="Times New Roman"/>
        </w:rPr>
      </w:pPr>
    </w:p>
    <w:p w14:paraId="20DC47D0" w14:textId="77777777" w:rsidR="00A4494F" w:rsidRDefault="00A4494F">
      <w:pPr>
        <w:widowControl w:val="0"/>
        <w:spacing w:before="120" w:after="120" w:line="240" w:lineRule="auto"/>
        <w:jc w:val="center"/>
        <w:rPr>
          <w:rFonts w:ascii="Times New Roman" w:eastAsia="Times New Roman" w:hAnsi="Times New Roman" w:cs="Times New Roman"/>
        </w:rPr>
      </w:pPr>
    </w:p>
    <w:p w14:paraId="3DBBAC70" w14:textId="77777777" w:rsidR="00A4494F" w:rsidRDefault="00A4494F">
      <w:pPr>
        <w:widowControl w:val="0"/>
        <w:spacing w:before="120" w:after="120" w:line="240" w:lineRule="auto"/>
        <w:jc w:val="center"/>
        <w:rPr>
          <w:rFonts w:ascii="Times New Roman" w:eastAsia="Times New Roman" w:hAnsi="Times New Roman" w:cs="Times New Roman"/>
        </w:rPr>
      </w:pPr>
    </w:p>
    <w:p w14:paraId="63D30F2A" w14:textId="77777777" w:rsidR="00A4494F" w:rsidRDefault="00A4494F">
      <w:pPr>
        <w:widowControl w:val="0"/>
        <w:spacing w:before="120" w:after="120" w:line="240" w:lineRule="auto"/>
        <w:jc w:val="center"/>
        <w:rPr>
          <w:rFonts w:ascii="Times New Roman" w:eastAsia="Times New Roman" w:hAnsi="Times New Roman" w:cs="Times New Roman"/>
        </w:rPr>
      </w:pPr>
    </w:p>
    <w:p w14:paraId="32F9AD3A" w14:textId="77777777" w:rsidR="00A4494F" w:rsidRDefault="00A4494F">
      <w:pPr>
        <w:widowControl w:val="0"/>
        <w:spacing w:before="120" w:after="120" w:line="240" w:lineRule="auto"/>
        <w:jc w:val="center"/>
        <w:rPr>
          <w:rFonts w:ascii="Times New Roman" w:eastAsia="Times New Roman" w:hAnsi="Times New Roman" w:cs="Times New Roman"/>
        </w:rPr>
      </w:pPr>
    </w:p>
    <w:p w14:paraId="2F776449"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-EXHIBIT INTENTIONALLY LEFT BLANK-.</w:t>
      </w:r>
    </w:p>
    <w:p w14:paraId="124F12AC" w14:textId="77777777" w:rsidR="00A4494F" w:rsidRDefault="00A4494F">
      <w:pPr>
        <w:widowControl w:val="0"/>
        <w:spacing w:before="120" w:after="120" w:line="240" w:lineRule="auto"/>
        <w:jc w:val="both"/>
        <w:rPr>
          <w:rFonts w:ascii="Times New Roman" w:eastAsia="Times New Roman" w:hAnsi="Times New Roman" w:cs="Times New Roman"/>
        </w:rPr>
      </w:pPr>
    </w:p>
    <w:p w14:paraId="7E8C1544" w14:textId="77777777" w:rsidR="00A4494F" w:rsidRDefault="00000000">
      <w:pPr>
        <w:widowControl w:val="0"/>
        <w:spacing w:before="120" w:after="120" w:line="240" w:lineRule="auto"/>
        <w:jc w:val="center"/>
        <w:rPr>
          <w:rFonts w:ascii="Times New Roman" w:eastAsia="Times New Roman" w:hAnsi="Times New Roman" w:cs="Times New Roman"/>
        </w:rPr>
      </w:pPr>
      <w:r>
        <w:br w:type="page"/>
      </w:r>
      <w:r>
        <w:rPr>
          <w:rFonts w:ascii="Times New Roman" w:eastAsia="Times New Roman" w:hAnsi="Times New Roman" w:cs="Times New Roman"/>
          <w:b/>
          <w:bCs/>
        </w:rPr>
        <w:lastRenderedPageBreak/>
        <w:t>EXHIBIT #4</w:t>
      </w:r>
    </w:p>
    <w:p w14:paraId="5F18C82A"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STATEMENT OF WORK #</w:t>
      </w:r>
      <w:r>
        <w:rPr>
          <w:rFonts w:ascii="Times New Roman" w:eastAsia="Times New Roman" w:hAnsi="Times New Roman" w:cs="Times New Roman"/>
          <w:b/>
          <w:bCs/>
          <w:highlight w:val="yellow"/>
        </w:rPr>
        <w:t xml:space="preserve">16 </w:t>
      </w:r>
    </w:p>
    <w:p w14:paraId="54C3D3D7"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#2012ORA001</w:t>
      </w:r>
    </w:p>
    <w:p w14:paraId="77A2BE1D"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SUPPLEMENTARY MATERIALS</w:t>
      </w:r>
    </w:p>
    <w:p w14:paraId="396444AA"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p w14:paraId="56AAF769" w14:textId="77777777" w:rsidR="00A4494F" w:rsidRDefault="00A4494F">
      <w:pPr>
        <w:widowControl w:val="0"/>
        <w:spacing w:before="120" w:after="120" w:line="240" w:lineRule="auto"/>
        <w:jc w:val="center"/>
        <w:rPr>
          <w:rFonts w:ascii="Times New Roman" w:eastAsia="Times New Roman" w:hAnsi="Times New Roman" w:cs="Times New Roman"/>
        </w:rPr>
      </w:pPr>
    </w:p>
    <w:p w14:paraId="77E2662F" w14:textId="77777777" w:rsidR="00A4494F" w:rsidRDefault="00A4494F">
      <w:pPr>
        <w:widowControl w:val="0"/>
        <w:spacing w:before="120" w:after="120" w:line="240" w:lineRule="auto"/>
        <w:jc w:val="center"/>
        <w:rPr>
          <w:rFonts w:ascii="Times New Roman" w:eastAsia="Times New Roman" w:hAnsi="Times New Roman" w:cs="Times New Roman"/>
        </w:rPr>
      </w:pPr>
    </w:p>
    <w:p w14:paraId="4377209F" w14:textId="77777777" w:rsidR="00A4494F" w:rsidRDefault="00A4494F">
      <w:pPr>
        <w:widowControl w:val="0"/>
        <w:spacing w:before="120" w:after="120" w:line="240" w:lineRule="auto"/>
        <w:jc w:val="center"/>
        <w:rPr>
          <w:rFonts w:ascii="Times New Roman" w:eastAsia="Times New Roman" w:hAnsi="Times New Roman" w:cs="Times New Roman"/>
        </w:rPr>
      </w:pPr>
    </w:p>
    <w:p w14:paraId="4C2B3DDE" w14:textId="77777777" w:rsidR="00A4494F" w:rsidRDefault="00A4494F">
      <w:pPr>
        <w:widowControl w:val="0"/>
        <w:spacing w:before="120" w:after="120" w:line="240" w:lineRule="auto"/>
        <w:jc w:val="center"/>
        <w:rPr>
          <w:rFonts w:ascii="Times New Roman" w:eastAsia="Times New Roman" w:hAnsi="Times New Roman" w:cs="Times New Roman"/>
        </w:rPr>
      </w:pPr>
    </w:p>
    <w:p w14:paraId="31F139C7" w14:textId="77777777" w:rsidR="00A4494F" w:rsidRDefault="00A4494F">
      <w:pPr>
        <w:widowControl w:val="0"/>
        <w:spacing w:before="120" w:after="120" w:line="240" w:lineRule="auto"/>
        <w:jc w:val="center"/>
        <w:rPr>
          <w:rFonts w:ascii="Times New Roman" w:eastAsia="Times New Roman" w:hAnsi="Times New Roman" w:cs="Times New Roman"/>
        </w:rPr>
      </w:pPr>
    </w:p>
    <w:p w14:paraId="0E424FC1" w14:textId="77777777" w:rsidR="00A4494F" w:rsidRDefault="00A4494F">
      <w:pPr>
        <w:widowControl w:val="0"/>
        <w:spacing w:before="120" w:after="120" w:line="240" w:lineRule="auto"/>
        <w:jc w:val="center"/>
        <w:rPr>
          <w:rFonts w:ascii="Times New Roman" w:eastAsia="Times New Roman" w:hAnsi="Times New Roman" w:cs="Times New Roman"/>
        </w:rPr>
      </w:pPr>
    </w:p>
    <w:p w14:paraId="20FA4507" w14:textId="77777777" w:rsidR="00A4494F" w:rsidRDefault="00A4494F">
      <w:pPr>
        <w:widowControl w:val="0"/>
        <w:spacing w:before="120" w:after="120" w:line="240" w:lineRule="auto"/>
        <w:jc w:val="center"/>
        <w:rPr>
          <w:rFonts w:ascii="Times New Roman" w:eastAsia="Times New Roman" w:hAnsi="Times New Roman" w:cs="Times New Roman"/>
        </w:rPr>
      </w:pPr>
    </w:p>
    <w:p w14:paraId="3C36F3F0"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-EXHIBIT INTENTIONALLY LEFT BLANK-.</w:t>
      </w:r>
    </w:p>
    <w:p w14:paraId="23390239" w14:textId="77777777" w:rsidR="00A4494F" w:rsidRDefault="00A4494F">
      <w:pPr>
        <w:widowControl w:val="0"/>
        <w:spacing w:before="120" w:after="120" w:line="240" w:lineRule="auto"/>
        <w:jc w:val="both"/>
        <w:rPr>
          <w:rFonts w:ascii="Times New Roman" w:eastAsia="Times New Roman" w:hAnsi="Times New Roman" w:cs="Times New Roman"/>
        </w:rPr>
      </w:pPr>
    </w:p>
    <w:p w14:paraId="5D171BD9" w14:textId="77777777" w:rsidR="00A4494F" w:rsidRDefault="00000000">
      <w:pPr>
        <w:widowControl w:val="0"/>
        <w:spacing w:before="120" w:after="120" w:line="240" w:lineRule="auto"/>
        <w:jc w:val="center"/>
        <w:rPr>
          <w:rFonts w:ascii="Times New Roman" w:eastAsia="Times New Roman" w:hAnsi="Times New Roman" w:cs="Times New Roman"/>
        </w:rPr>
      </w:pPr>
      <w:r>
        <w:br w:type="page"/>
      </w:r>
      <w:r>
        <w:rPr>
          <w:rFonts w:ascii="Times New Roman" w:eastAsia="Times New Roman" w:hAnsi="Times New Roman" w:cs="Times New Roman"/>
          <w:b/>
          <w:bCs/>
        </w:rPr>
        <w:lastRenderedPageBreak/>
        <w:t>EXHIBIT #5</w:t>
      </w:r>
    </w:p>
    <w:p w14:paraId="5A943730"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STATEMENT OF WORK #</w:t>
      </w:r>
      <w:r>
        <w:rPr>
          <w:rFonts w:ascii="Times New Roman" w:eastAsia="Times New Roman" w:hAnsi="Times New Roman" w:cs="Times New Roman"/>
          <w:b/>
          <w:bCs/>
          <w:highlight w:val="yellow"/>
        </w:rPr>
        <w:t xml:space="preserve">16 </w:t>
      </w:r>
    </w:p>
    <w:p w14:paraId="031600BC"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w:t>
      </w:r>
      <w:r>
        <w:rPr>
          <w:rFonts w:ascii="Times New Roman" w:eastAsia="Times New Roman" w:hAnsi="Times New Roman" w:cs="Times New Roman"/>
          <w:sz w:val="24"/>
          <w:szCs w:val="24"/>
        </w:rPr>
        <w:t>2012ORA001</w:t>
      </w:r>
    </w:p>
    <w:p w14:paraId="7E26ED08"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SERVICE LEVELS AND REMEDIES</w:t>
      </w:r>
    </w:p>
    <w:p w14:paraId="366049B7"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p w14:paraId="26F8BAFD" w14:textId="77777777" w:rsidR="00A4494F" w:rsidRDefault="00000000">
      <w:pPr>
        <w:pStyle w:val="Heading3"/>
        <w:keepNext w:val="0"/>
        <w:keepLines w:val="0"/>
        <w:widowControl w:val="0"/>
        <w:numPr>
          <w:ilvl w:val="0"/>
          <w:numId w:val="3"/>
        </w:numPr>
        <w:spacing w:before="120" w:after="120" w:line="240" w:lineRule="auto"/>
        <w:rPr>
          <w:u w:val="single"/>
        </w:rPr>
      </w:pPr>
      <w:r>
        <w:rPr>
          <w:rFonts w:ascii="Times New Roman" w:eastAsia="Times New Roman" w:hAnsi="Times New Roman" w:cs="Times New Roman"/>
          <w:b/>
          <w:bCs/>
          <w:smallCaps/>
          <w:color w:val="000000"/>
          <w:sz w:val="22"/>
          <w:szCs w:val="22"/>
          <w:u w:val="single"/>
        </w:rPr>
        <w:t>INTRODUCTION</w:t>
      </w:r>
    </w:p>
    <w:p w14:paraId="2F2A36A8"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In general, a service level is a qualitative statement of performance for the Services and Deliverables that TMS/USA requires and expects and which the Supplier is committed to provide. Service levels are generally described as a “</w:t>
      </w:r>
      <w:r>
        <w:rPr>
          <w:rFonts w:ascii="Times New Roman" w:eastAsia="Times New Roman" w:hAnsi="Times New Roman" w:cs="Times New Roman"/>
          <w:b/>
          <w:bCs/>
        </w:rPr>
        <w:t>Critical Service Level</w:t>
      </w:r>
      <w:r>
        <w:rPr>
          <w:rFonts w:ascii="Times New Roman" w:eastAsia="Times New Roman" w:hAnsi="Times New Roman" w:cs="Times New Roman"/>
        </w:rPr>
        <w:t>”, “</w:t>
      </w:r>
      <w:r>
        <w:rPr>
          <w:rFonts w:ascii="Times New Roman" w:eastAsia="Times New Roman" w:hAnsi="Times New Roman" w:cs="Times New Roman"/>
          <w:b/>
          <w:bCs/>
        </w:rPr>
        <w:t>Critical Deliverable</w:t>
      </w:r>
      <w:r>
        <w:rPr>
          <w:rFonts w:ascii="Times New Roman" w:eastAsia="Times New Roman" w:hAnsi="Times New Roman" w:cs="Times New Roman"/>
        </w:rPr>
        <w:t>” and “</w:t>
      </w:r>
      <w:r>
        <w:rPr>
          <w:rFonts w:ascii="Times New Roman" w:eastAsia="Times New Roman" w:hAnsi="Times New Roman" w:cs="Times New Roman"/>
          <w:b/>
          <w:bCs/>
        </w:rPr>
        <w:t>Key Measurement</w:t>
      </w:r>
      <w:r>
        <w:rPr>
          <w:rFonts w:ascii="Times New Roman" w:eastAsia="Times New Roman" w:hAnsi="Times New Roman" w:cs="Times New Roman"/>
        </w:rPr>
        <w:t xml:space="preserve">”. </w:t>
      </w:r>
    </w:p>
    <w:p w14:paraId="017F8E19"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A “</w:t>
      </w:r>
      <w:r>
        <w:rPr>
          <w:rFonts w:ascii="Times New Roman" w:eastAsia="Times New Roman" w:hAnsi="Times New Roman" w:cs="Times New Roman"/>
          <w:b/>
          <w:bCs/>
        </w:rPr>
        <w:t>Critical</w:t>
      </w:r>
      <w:r>
        <w:rPr>
          <w:rFonts w:ascii="Times New Roman" w:eastAsia="Times New Roman" w:hAnsi="Times New Roman" w:cs="Times New Roman"/>
        </w:rPr>
        <w:t xml:space="preserve"> </w:t>
      </w:r>
      <w:r>
        <w:rPr>
          <w:rFonts w:ascii="Times New Roman" w:eastAsia="Times New Roman" w:hAnsi="Times New Roman" w:cs="Times New Roman"/>
          <w:b/>
          <w:bCs/>
        </w:rPr>
        <w:t>Service Level</w:t>
      </w:r>
      <w:r>
        <w:rPr>
          <w:rFonts w:ascii="Times New Roman" w:eastAsia="Times New Roman" w:hAnsi="Times New Roman" w:cs="Times New Roman"/>
        </w:rPr>
        <w:t xml:space="preserve">” typically identifies a particular Service required of Supplier and the measurement of Supplier’s performance of such Service, the failure of which will have a significant impact on the conduct of TMS/USA’s business operations. A Critical Service Level is typically applied against a ‘service’ such as initiating a job on the host computer, responding to questions on the help desk, maintaining the application’s on-line availability, or implementing an upgrade to the system – all activities that are essential for the continuing operation of the business. </w:t>
      </w:r>
    </w:p>
    <w:p w14:paraId="157AF800"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A “</w:t>
      </w:r>
      <w:r>
        <w:rPr>
          <w:rFonts w:ascii="Times New Roman" w:eastAsia="Times New Roman" w:hAnsi="Times New Roman" w:cs="Times New Roman"/>
          <w:b/>
          <w:bCs/>
        </w:rPr>
        <w:t>Critical Deliverable</w:t>
      </w:r>
      <w:r>
        <w:rPr>
          <w:rFonts w:ascii="Times New Roman" w:eastAsia="Times New Roman" w:hAnsi="Times New Roman" w:cs="Times New Roman"/>
        </w:rPr>
        <w:t>” typically identifies a particular Deliverable required from Supplier and the qualitative measurement of such Deliverable, the failure of which will have a significant impact on the conduct of TMS/USA’s business operations. The Deliverable typically is a report or the programmatic results that are essential to the successful operation of the business.</w:t>
      </w:r>
    </w:p>
    <w:p w14:paraId="2988E434"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A “</w:t>
      </w:r>
      <w:r>
        <w:rPr>
          <w:rFonts w:ascii="Times New Roman" w:eastAsia="Times New Roman" w:hAnsi="Times New Roman" w:cs="Times New Roman"/>
          <w:b/>
          <w:bCs/>
        </w:rPr>
        <w:t>Key Measurement</w:t>
      </w:r>
      <w:r>
        <w:rPr>
          <w:rFonts w:ascii="Times New Roman" w:eastAsia="Times New Roman" w:hAnsi="Times New Roman" w:cs="Times New Roman"/>
        </w:rPr>
        <w:t xml:space="preserve">” typically identifies Services and Deliverables that are important to the operation of the business. They are not individually critical, but are indicators of the Supplier’s performance, and collectively or in groups may be assigned remedies in the same manner as Critical Service Levels or Critical Deliverables. </w:t>
      </w:r>
    </w:p>
    <w:p w14:paraId="03A779D2" w14:textId="77777777" w:rsidR="00A4494F" w:rsidRDefault="00000000">
      <w:pPr>
        <w:widowControl w:val="0"/>
        <w:numPr>
          <w:ilvl w:val="0"/>
          <w:numId w:val="3"/>
        </w:numPr>
        <w:spacing w:before="120" w:after="120" w:line="240" w:lineRule="auto"/>
      </w:pPr>
      <w:r>
        <w:rPr>
          <w:rFonts w:ascii="Times New Roman" w:eastAsia="Times New Roman" w:hAnsi="Times New Roman" w:cs="Times New Roman"/>
          <w:b/>
          <w:bCs/>
          <w:smallCaps/>
          <w:u w:val="single"/>
        </w:rPr>
        <w:t>APPLICABILITY</w:t>
      </w:r>
    </w:p>
    <w:p w14:paraId="4AF91DBB"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bookmarkStart w:id="25" w:name="_heading=h.5atwfvnnh4rn" w:colFirst="0" w:colLast="0"/>
      <w:bookmarkEnd w:id="25"/>
      <w:r>
        <w:rPr>
          <w:rFonts w:ascii="Times New Roman" w:eastAsia="Times New Roman" w:hAnsi="Times New Roman" w:cs="Times New Roman"/>
        </w:rPr>
        <w:t xml:space="preserve">The Service Levels described herein apply to all Services provided under this SOW as indicated in this Exhibit. </w:t>
      </w:r>
    </w:p>
    <w:p w14:paraId="51F6661D"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Service Level Remedies and Credits as described herein will commence for work performed starting on the SOW Effective Date for each new and/or modified measurement. </w:t>
      </w:r>
    </w:p>
    <w:p w14:paraId="74B83A27" w14:textId="77777777" w:rsidR="00A4494F" w:rsidRDefault="00000000">
      <w:pPr>
        <w:widowControl w:val="0"/>
        <w:numPr>
          <w:ilvl w:val="0"/>
          <w:numId w:val="3"/>
        </w:numPr>
        <w:spacing w:before="120" w:after="120" w:line="240" w:lineRule="auto"/>
        <w:jc w:val="both"/>
        <w:rPr>
          <w:u w:val="single"/>
        </w:rPr>
      </w:pPr>
      <w:r>
        <w:rPr>
          <w:rFonts w:ascii="Times New Roman" w:eastAsia="Times New Roman" w:hAnsi="Times New Roman" w:cs="Times New Roman"/>
          <w:b/>
          <w:bCs/>
          <w:u w:val="single"/>
        </w:rPr>
        <w:t>SERVICE LEVEL CREDIT</w:t>
      </w:r>
    </w:p>
    <w:p w14:paraId="5A9BDF48"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 Service Level Remedies and Credits set forth in this </w:t>
      </w:r>
      <w:r>
        <w:rPr>
          <w:rFonts w:ascii="Times New Roman" w:eastAsia="Times New Roman" w:hAnsi="Times New Roman" w:cs="Times New Roman"/>
          <w:b/>
          <w:bCs/>
        </w:rPr>
        <w:t>Exhibit #5</w:t>
      </w:r>
      <w:r>
        <w:rPr>
          <w:rFonts w:ascii="Times New Roman" w:eastAsia="Times New Roman" w:hAnsi="Times New Roman" w:cs="Times New Roman"/>
        </w:rPr>
        <w:t xml:space="preserve"> shall not exceed the fees payable pursuant to this SOW. </w:t>
      </w:r>
    </w:p>
    <w:p w14:paraId="28D1A367"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The Service Level Remedies and Credits shall be as set forth below:</w:t>
      </w:r>
    </w:p>
    <w:p w14:paraId="0D765C85" w14:textId="77777777" w:rsidR="00A4494F" w:rsidRDefault="00000000">
      <w:pPr>
        <w:widowControl w:val="0"/>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[DESCRIBE SERVICE LEVEL REMEDIES AND CREDITS]</w:t>
      </w:r>
    </w:p>
    <w:p w14:paraId="10C81357" w14:textId="77777777" w:rsidR="00A4494F" w:rsidRDefault="00000000">
      <w:pPr>
        <w:widowControl w:val="0"/>
        <w:numPr>
          <w:ilvl w:val="0"/>
          <w:numId w:val="3"/>
        </w:numPr>
        <w:spacing w:before="120" w:after="120" w:line="240" w:lineRule="auto"/>
        <w:jc w:val="both"/>
        <w:rPr>
          <w:u w:val="single"/>
        </w:rPr>
      </w:pPr>
      <w:bookmarkStart w:id="26" w:name="_heading=h.qfgdj1k5c5bo" w:colFirst="0" w:colLast="0"/>
      <w:bookmarkEnd w:id="26"/>
      <w:r>
        <w:rPr>
          <w:rFonts w:ascii="Times New Roman" w:eastAsia="Times New Roman" w:hAnsi="Times New Roman" w:cs="Times New Roman"/>
          <w:b/>
          <w:bCs/>
          <w:u w:val="single"/>
        </w:rPr>
        <w:t>EXCUSED PERFORMANCE</w:t>
      </w:r>
    </w:p>
    <w:p w14:paraId="669AACD9" w14:textId="77777777" w:rsidR="00A4494F" w:rsidRDefault="00000000">
      <w:pPr>
        <w:widowControl w:val="0"/>
        <w:numPr>
          <w:ilvl w:val="1"/>
          <w:numId w:val="3"/>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Supplier shall not be liable to pay TMS/USA Service Level Credits for any failure to meet a Service Level to the extent that such failure is directly attributable to (i) a Force Majeure Event; (ii) TMS/USA’s breaches of or failure to perform its obligations under the Agreement, provided that (a) Supplier has provided TMS/USA with reasonable notice of such breach or nonperformance immediately after becoming aware of it, and (b) Supplier has determined that such breach will adversely impact Supplier’s performance of Services, and (c) Supplier has used all commercially reasonable efforts to perform notwithstanding such breach; or (iii) the first manifestation of an </w:t>
      </w:r>
      <w:r>
        <w:rPr>
          <w:rFonts w:ascii="Times New Roman" w:eastAsia="Times New Roman" w:hAnsi="Times New Roman" w:cs="Times New Roman"/>
        </w:rPr>
        <w:lastRenderedPageBreak/>
        <w:t>extraordinary latent error or defect in Equipment used by Supplier in providing the Services (and any related repeated instances pending the applicable Supplier’s correction of the defect) if such defect was (a) unknown to Supplier, and (b) not disclosed in any information distributed by the third party licensor, manufacturer, or distributor, and (c) not preventable or discoverable during normal testing or maintenance procedures. The foregoing is referred to herein collectively as an “</w:t>
      </w:r>
      <w:r>
        <w:rPr>
          <w:rFonts w:ascii="Times New Roman" w:eastAsia="Times New Roman" w:hAnsi="Times New Roman" w:cs="Times New Roman"/>
          <w:b/>
          <w:bCs/>
        </w:rPr>
        <w:t>Excused Performance Problem</w:t>
      </w:r>
      <w:r>
        <w:rPr>
          <w:rFonts w:ascii="Times New Roman" w:eastAsia="Times New Roman" w:hAnsi="Times New Roman" w:cs="Times New Roman"/>
        </w:rPr>
        <w:t>”. Supplier shall grant TMS/USA Service Level Credits for any failure to meet a Critical Service Level attributable to any cause other than those causes expressly included in the categories listed above.</w:t>
      </w:r>
    </w:p>
    <w:p w14:paraId="56E5DC2B"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bookmarkStart w:id="27" w:name="_heading=h.ku5sh8hhdgz4" w:colFirst="0" w:colLast="0"/>
      <w:bookmarkEnd w:id="27"/>
      <w:r>
        <w:rPr>
          <w:rFonts w:ascii="Times New Roman" w:eastAsia="Times New Roman" w:hAnsi="Times New Roman" w:cs="Times New Roman"/>
        </w:rPr>
        <w:t xml:space="preserve">If Supplier does not notify TMS/USA of any Excused Performance Problem (as described in this Exhibit’s </w:t>
      </w:r>
      <w:r>
        <w:rPr>
          <w:rFonts w:ascii="Times New Roman" w:eastAsia="Times New Roman" w:hAnsi="Times New Roman" w:cs="Times New Roman"/>
          <w:b/>
          <w:bCs/>
        </w:rPr>
        <w:t xml:space="preserve">Section 4.1 </w:t>
      </w:r>
      <w:r>
        <w:rPr>
          <w:rFonts w:ascii="Times New Roman" w:eastAsia="Times New Roman" w:hAnsi="Times New Roman" w:cs="Times New Roman"/>
        </w:rPr>
        <w:t xml:space="preserve">above) within thirty (30) days of the date Supplier provides Performance Reports covering the time period during which the Excused Performance Problem is alleged to have occurred, then Supplier shall be deemed to have waived the claim of an Excused Performance Problem. </w:t>
      </w:r>
    </w:p>
    <w:p w14:paraId="4B3C4792"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bookmarkStart w:id="28" w:name="_heading=h.6cukrklhlak8" w:colFirst="0" w:colLast="0"/>
      <w:bookmarkEnd w:id="28"/>
      <w:r>
        <w:rPr>
          <w:rFonts w:ascii="Times New Roman" w:eastAsia="Times New Roman" w:hAnsi="Times New Roman" w:cs="Times New Roman"/>
        </w:rPr>
        <w:t xml:space="preserve">The method of calculating a particular Service Level is defined in </w:t>
      </w:r>
      <w:r>
        <w:rPr>
          <w:rFonts w:ascii="Times New Roman" w:eastAsia="Times New Roman" w:hAnsi="Times New Roman" w:cs="Times New Roman"/>
          <w:b/>
          <w:bCs/>
        </w:rPr>
        <w:t>Sections 5.0</w:t>
      </w:r>
      <w:r>
        <w:rPr>
          <w:rFonts w:ascii="Times New Roman" w:eastAsia="Times New Roman" w:hAnsi="Times New Roman" w:cs="Times New Roman"/>
        </w:rPr>
        <w:t xml:space="preserve"> through </w:t>
      </w:r>
      <w:r>
        <w:rPr>
          <w:rFonts w:ascii="Times New Roman" w:eastAsia="Times New Roman" w:hAnsi="Times New Roman" w:cs="Times New Roman"/>
          <w:b/>
          <w:bCs/>
        </w:rPr>
        <w:t>Section 17.0</w:t>
      </w:r>
      <w:r>
        <w:rPr>
          <w:rFonts w:ascii="Times New Roman" w:eastAsia="Times New Roman" w:hAnsi="Times New Roman" w:cs="Times New Roman"/>
        </w:rPr>
        <w:t xml:space="preserve"> in this Exhibit. Only Service Levels identified in </w:t>
      </w:r>
      <w:r>
        <w:rPr>
          <w:rFonts w:ascii="Times New Roman" w:eastAsia="Times New Roman" w:hAnsi="Times New Roman" w:cs="Times New Roman"/>
          <w:b/>
          <w:bCs/>
        </w:rPr>
        <w:t>Section 8.0.0</w:t>
      </w:r>
      <w:r>
        <w:rPr>
          <w:rFonts w:ascii="Times New Roman" w:eastAsia="Times New Roman" w:hAnsi="Times New Roman" w:cs="Times New Roman"/>
        </w:rPr>
        <w:t xml:space="preserve"> of the SOW shall apply and only those corresponding calculation methods described herein shall apply thereto.</w:t>
      </w:r>
    </w:p>
    <w:p w14:paraId="62927FBB"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RESPONSE SERVICE LEVELS</w:t>
      </w:r>
    </w:p>
    <w:p w14:paraId="293B2504"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Response Service Levels shall be calculated as follows:</w:t>
      </w:r>
    </w:p>
    <w:p w14:paraId="5D07DC80"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Response</w:t>
      </w:r>
      <w:r>
        <w:rPr>
          <w:rFonts w:ascii="Times New Roman" w:eastAsia="Times New Roman" w:hAnsi="Times New Roman" w:cs="Times New Roman"/>
        </w:rPr>
        <w:t xml:space="preserve">” compliance measures the percentage of activities that require Supplier response within a specified period of time that are provided within such time period and is calculated using the formula below. </w:t>
      </w:r>
    </w:p>
    <w:p w14:paraId="11A2F05F"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Response Percentage equals (=) one hundred (100) times (x) (the total number (#) of Responses Required minus (-) the number (#) of Responses Missed) divided (/) by the total number (#) of Responses Required.</w:t>
      </w:r>
    </w:p>
    <w:p w14:paraId="32EC2622"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287FB3FB" w14:textId="77777777" w:rsidR="00A4494F" w:rsidRDefault="00000000">
      <w:pPr>
        <w:numPr>
          <w:ilvl w:val="5"/>
          <w:numId w:val="3"/>
        </w:numPr>
        <w:spacing w:before="120" w:after="120" w:line="240" w:lineRule="auto"/>
        <w:ind w:left="4140" w:hanging="108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Responses Required</w:t>
      </w:r>
      <w:r>
        <w:rPr>
          <w:rFonts w:ascii="Times New Roman" w:eastAsia="Times New Roman" w:hAnsi="Times New Roman" w:cs="Times New Roman"/>
        </w:rPr>
        <w:t>” is the number of activities that require response from Supplier during the reporting period.</w:t>
      </w:r>
    </w:p>
    <w:p w14:paraId="46285E8D" w14:textId="77777777" w:rsidR="00A4494F" w:rsidRDefault="00000000">
      <w:pPr>
        <w:numPr>
          <w:ilvl w:val="5"/>
          <w:numId w:val="3"/>
        </w:numPr>
        <w:spacing w:before="120" w:after="120" w:line="240" w:lineRule="auto"/>
        <w:ind w:left="4140" w:hanging="1080"/>
        <w:jc w:val="both"/>
        <w:rPr>
          <w:rFonts w:ascii="Times New Roman" w:eastAsia="Times New Roman" w:hAnsi="Times New Roman" w:cs="Times New Roman"/>
        </w:rPr>
      </w:pPr>
      <w:bookmarkStart w:id="29" w:name="_heading=h.b4vwv1wtw5pv" w:colFirst="0" w:colLast="0"/>
      <w:bookmarkEnd w:id="29"/>
      <w:r>
        <w:rPr>
          <w:rFonts w:ascii="Times New Roman" w:eastAsia="Times New Roman" w:hAnsi="Times New Roman" w:cs="Times New Roman"/>
        </w:rPr>
        <w:t>Total number (#) “</w:t>
      </w:r>
      <w:r>
        <w:rPr>
          <w:rFonts w:ascii="Times New Roman" w:eastAsia="Times New Roman" w:hAnsi="Times New Roman" w:cs="Times New Roman"/>
          <w:b/>
          <w:bCs/>
        </w:rPr>
        <w:t>Responses Missed</w:t>
      </w:r>
      <w:r>
        <w:rPr>
          <w:rFonts w:ascii="Times New Roman" w:eastAsia="Times New Roman" w:hAnsi="Times New Roman" w:cs="Times New Roman"/>
        </w:rPr>
        <w:t>” is the number of activities requiring a response from Supplier that were not provided within the timeframe required therefore during the reporting period.</w:t>
      </w:r>
    </w:p>
    <w:p w14:paraId="15C0342C"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START TIME SERVICE LEVELS</w:t>
      </w:r>
    </w:p>
    <w:p w14:paraId="099E3383"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Start Time Service Levels shall be calculated as follows:</w:t>
      </w:r>
    </w:p>
    <w:p w14:paraId="152ACC8F" w14:textId="77777777" w:rsidR="00A4494F" w:rsidRDefault="00000000">
      <w:pPr>
        <w:numPr>
          <w:ilvl w:val="2"/>
          <w:numId w:val="3"/>
        </w:numPr>
        <w:spacing w:before="120" w:after="120" w:line="240" w:lineRule="auto"/>
        <w:ind w:left="1440"/>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Start Time</w:t>
      </w:r>
      <w:r>
        <w:rPr>
          <w:rFonts w:ascii="Times New Roman" w:eastAsia="Times New Roman" w:hAnsi="Times New Roman" w:cs="Times New Roman"/>
        </w:rPr>
        <w:t xml:space="preserve">” compliance measures the percentage of jobs or activities that are initiated at the required time and is calculated using the formula below. </w:t>
      </w:r>
    </w:p>
    <w:p w14:paraId="25F6449F"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Start Time Percentage equals (=) one hundred (100) times (x) (the total number (#) of Starts minus (-) the number (#) of Start Times Missed) divided (/) by the total number (#) of Starts.</w:t>
      </w:r>
    </w:p>
    <w:p w14:paraId="73B343DA"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3F3EF5F6" w14:textId="77777777" w:rsidR="00A4494F" w:rsidRDefault="00000000">
      <w:pPr>
        <w:numPr>
          <w:ilvl w:val="5"/>
          <w:numId w:val="3"/>
        </w:numPr>
        <w:spacing w:before="120" w:after="120" w:line="240" w:lineRule="auto"/>
        <w:ind w:left="4140" w:hanging="108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Starts</w:t>
      </w:r>
      <w:r>
        <w:rPr>
          <w:rFonts w:ascii="Times New Roman" w:eastAsia="Times New Roman" w:hAnsi="Times New Roman" w:cs="Times New Roman"/>
        </w:rPr>
        <w:t>” is the number of jobs or activities that should have been initiated during the reporting period.</w:t>
      </w:r>
    </w:p>
    <w:p w14:paraId="6D6EAA44" w14:textId="77777777" w:rsidR="00A4494F" w:rsidRDefault="00000000">
      <w:pPr>
        <w:numPr>
          <w:ilvl w:val="5"/>
          <w:numId w:val="3"/>
        </w:numPr>
        <w:spacing w:before="120" w:after="120" w:line="240" w:lineRule="auto"/>
        <w:ind w:left="4140" w:hanging="1080"/>
        <w:jc w:val="both"/>
        <w:rPr>
          <w:rFonts w:ascii="Times New Roman" w:eastAsia="Times New Roman" w:hAnsi="Times New Roman" w:cs="Times New Roman"/>
        </w:rPr>
      </w:pPr>
      <w:bookmarkStart w:id="30" w:name="_heading=h.thasyjxi7y4a" w:colFirst="0" w:colLast="0"/>
      <w:bookmarkEnd w:id="30"/>
      <w:r>
        <w:rPr>
          <w:rFonts w:ascii="Times New Roman" w:eastAsia="Times New Roman" w:hAnsi="Times New Roman" w:cs="Times New Roman"/>
        </w:rPr>
        <w:lastRenderedPageBreak/>
        <w:t>Total number (#) “</w:t>
      </w:r>
      <w:r>
        <w:rPr>
          <w:rFonts w:ascii="Times New Roman" w:eastAsia="Times New Roman" w:hAnsi="Times New Roman" w:cs="Times New Roman"/>
          <w:b/>
          <w:bCs/>
        </w:rPr>
        <w:t>Start Times Missed</w:t>
      </w:r>
      <w:r>
        <w:rPr>
          <w:rFonts w:ascii="Times New Roman" w:eastAsia="Times New Roman" w:hAnsi="Times New Roman" w:cs="Times New Roman"/>
        </w:rPr>
        <w:t>” is the number of activities or jobs that were not initiated at the proper time during the reporting period.</w:t>
      </w:r>
    </w:p>
    <w:p w14:paraId="4986F2FB"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AVAILABILITY SERVICE LEVELS</w:t>
      </w:r>
    </w:p>
    <w:p w14:paraId="59245FD3"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Availability Service Levels shall be calculated as follows:</w:t>
      </w:r>
    </w:p>
    <w:p w14:paraId="637CF6EB"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bookmarkStart w:id="31" w:name="_heading=h.roh17rlthrz6" w:colFirst="0" w:colLast="0"/>
      <w:bookmarkEnd w:id="31"/>
      <w:r>
        <w:rPr>
          <w:rFonts w:ascii="Times New Roman" w:eastAsia="Times New Roman" w:hAnsi="Times New Roman" w:cs="Times New Roman"/>
        </w:rPr>
        <w:t>As of the Effective Date, the Parties acknowledge that Availability measurements may not be calculable with the TMS/USA tools in place.  Further, the Parties agree to (i) implement the Availability Service Level once the ability to calculate such Service Level has been implemented, and (ii) the Minimum Level shall be targeted at ninety-nine and five tenths of a percent (99.5%), and (iii) develop an action plan that identifies each Party’s responsibility thereunder for the timely implementation of such Availability measurements.</w:t>
      </w:r>
    </w:p>
    <w:p w14:paraId="4C198A55"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REPORTING SERVICE LEVELS</w:t>
      </w:r>
    </w:p>
    <w:p w14:paraId="0ADCCD7A"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Reporting Service Levels shall be calculated as follows:</w:t>
      </w:r>
    </w:p>
    <w:p w14:paraId="53C378B1"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Reporting</w:t>
      </w:r>
      <w:r>
        <w:rPr>
          <w:rFonts w:ascii="Times New Roman" w:eastAsia="Times New Roman" w:hAnsi="Times New Roman" w:cs="Times New Roman"/>
        </w:rPr>
        <w:t xml:space="preserve">” compliance measures the percentage of report occurrences in the reporting period that are provided within the timeframe required therefore, with one hundred percent (100%) accuracy of the information contained therein and is calculated using the formula below. </w:t>
      </w:r>
    </w:p>
    <w:p w14:paraId="0CFA010F"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Reporting Percentage equals (=) the lesser of “</w:t>
      </w:r>
      <w:r>
        <w:rPr>
          <w:rFonts w:ascii="Times New Roman" w:eastAsia="Times New Roman" w:hAnsi="Times New Roman" w:cs="Times New Roman"/>
          <w:b/>
          <w:bCs/>
        </w:rPr>
        <w:t>a</w:t>
      </w:r>
      <w:r>
        <w:rPr>
          <w:rFonts w:ascii="Times New Roman" w:eastAsia="Times New Roman" w:hAnsi="Times New Roman" w:cs="Times New Roman"/>
        </w:rPr>
        <w:t>” or “</w:t>
      </w:r>
      <w:r>
        <w:rPr>
          <w:rFonts w:ascii="Times New Roman" w:eastAsia="Times New Roman" w:hAnsi="Times New Roman" w:cs="Times New Roman"/>
          <w:b/>
          <w:bCs/>
        </w:rPr>
        <w:t>b</w:t>
      </w:r>
      <w:r>
        <w:rPr>
          <w:rFonts w:ascii="Times New Roman" w:eastAsia="Times New Roman" w:hAnsi="Times New Roman" w:cs="Times New Roman"/>
        </w:rPr>
        <w:t>” below, where:</w:t>
      </w:r>
    </w:p>
    <w:p w14:paraId="6E075F5C"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 xml:space="preserve">a equals (100) times (x) (the total number (#) of Reports Due minus (–) the total number (#) of Report Dates Missed) divided (/) by the total number (#) of Reports Due, </w:t>
      </w:r>
      <w:r>
        <w:rPr>
          <w:rFonts w:ascii="Times New Roman" w:eastAsia="Times New Roman" w:hAnsi="Times New Roman" w:cs="Times New Roman"/>
          <w:b/>
          <w:bCs/>
        </w:rPr>
        <w:t>OR</w:t>
      </w:r>
    </w:p>
    <w:p w14:paraId="2BE22E21"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b equals (=) one hundred (100) times (x) (the total number (#) of Reports Due minus (–) the total number (#) of Reports with Inaccurate Data) divided (/) by the total number (#) of Reports Due.</w:t>
      </w:r>
    </w:p>
    <w:p w14:paraId="1F107C6F"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With respect to </w:t>
      </w:r>
      <w:r>
        <w:rPr>
          <w:rFonts w:ascii="Times New Roman" w:eastAsia="Times New Roman" w:hAnsi="Times New Roman" w:cs="Times New Roman"/>
          <w:b/>
          <w:bCs/>
        </w:rPr>
        <w:t>Section 8.1.1.1</w:t>
      </w:r>
      <w:r>
        <w:rPr>
          <w:rFonts w:ascii="Times New Roman" w:eastAsia="Times New Roman" w:hAnsi="Times New Roman" w:cs="Times New Roman"/>
        </w:rPr>
        <w:t xml:space="preserve"> above, where: </w:t>
      </w:r>
    </w:p>
    <w:p w14:paraId="56827CFF"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Reports Due</w:t>
      </w:r>
      <w:r>
        <w:rPr>
          <w:rFonts w:ascii="Times New Roman" w:eastAsia="Times New Roman" w:hAnsi="Times New Roman" w:cs="Times New Roman"/>
        </w:rPr>
        <w:t>” is the number of reports that should have been provided during the reporting period.</w:t>
      </w:r>
    </w:p>
    <w:p w14:paraId="67023832"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Report Dates Missed</w:t>
      </w:r>
      <w:r>
        <w:rPr>
          <w:rFonts w:ascii="Times New Roman" w:eastAsia="Times New Roman" w:hAnsi="Times New Roman" w:cs="Times New Roman"/>
        </w:rPr>
        <w:t>” is the number of reports whose due dates were missed during the reporting period.</w:t>
      </w:r>
    </w:p>
    <w:p w14:paraId="5B32D624"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bookmarkStart w:id="32" w:name="_heading=h.stjkimwuzy0v" w:colFirst="0" w:colLast="0"/>
      <w:bookmarkEnd w:id="32"/>
      <w:r>
        <w:rPr>
          <w:rFonts w:ascii="Times New Roman" w:eastAsia="Times New Roman" w:hAnsi="Times New Roman" w:cs="Times New Roman"/>
        </w:rPr>
        <w:t>Total number (#) “</w:t>
      </w:r>
      <w:r>
        <w:rPr>
          <w:rFonts w:ascii="Times New Roman" w:eastAsia="Times New Roman" w:hAnsi="Times New Roman" w:cs="Times New Roman"/>
          <w:b/>
          <w:bCs/>
        </w:rPr>
        <w:t>Reports with Inaccurate Data</w:t>
      </w:r>
      <w:r>
        <w:rPr>
          <w:rFonts w:ascii="Times New Roman" w:eastAsia="Times New Roman" w:hAnsi="Times New Roman" w:cs="Times New Roman"/>
        </w:rPr>
        <w:t xml:space="preserve">” is the number of reports that are submitted that contain inaccurate or incomplete data during the reporting period. </w:t>
      </w:r>
    </w:p>
    <w:p w14:paraId="484E0635"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DOCUMENTATION SERVICE LEVELS</w:t>
      </w:r>
    </w:p>
    <w:p w14:paraId="74510501"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Documentation Service Levels shall be calculated as follows:</w:t>
      </w:r>
    </w:p>
    <w:p w14:paraId="6339EAD3"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Documentation</w:t>
      </w:r>
      <w:r>
        <w:rPr>
          <w:rFonts w:ascii="Times New Roman" w:eastAsia="Times New Roman" w:hAnsi="Times New Roman" w:cs="Times New Roman"/>
        </w:rPr>
        <w:t xml:space="preserve">” compliance measures the percentage of documents to be delivered/updated in the reporting period that are provided within the timeframe required therefore, with one hundred percent (100%) accuracy of the information contained therein and is calculated using the formula below. </w:t>
      </w:r>
    </w:p>
    <w:p w14:paraId="3FF29D69"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Documentation Percentage equals (=) the lesser of “</w:t>
      </w:r>
      <w:r>
        <w:rPr>
          <w:rFonts w:ascii="Times New Roman" w:eastAsia="Times New Roman" w:hAnsi="Times New Roman" w:cs="Times New Roman"/>
          <w:b/>
          <w:bCs/>
        </w:rPr>
        <w:t>a</w:t>
      </w:r>
      <w:r>
        <w:rPr>
          <w:rFonts w:ascii="Times New Roman" w:eastAsia="Times New Roman" w:hAnsi="Times New Roman" w:cs="Times New Roman"/>
        </w:rPr>
        <w:t>” or “</w:t>
      </w:r>
      <w:r>
        <w:rPr>
          <w:rFonts w:ascii="Times New Roman" w:eastAsia="Times New Roman" w:hAnsi="Times New Roman" w:cs="Times New Roman"/>
          <w:b/>
          <w:bCs/>
        </w:rPr>
        <w:t>b</w:t>
      </w:r>
      <w:r>
        <w:rPr>
          <w:rFonts w:ascii="Times New Roman" w:eastAsia="Times New Roman" w:hAnsi="Times New Roman" w:cs="Times New Roman"/>
        </w:rPr>
        <w:t>” below, where:</w:t>
      </w:r>
    </w:p>
    <w:p w14:paraId="598D892E"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 xml:space="preserve">a equals (=) one hundred (100) times (x) (the total number (#) of Documents/Updates Due minus (–) the total number (#) of Delivery </w:t>
      </w:r>
      <w:r>
        <w:rPr>
          <w:rFonts w:ascii="Times New Roman" w:eastAsia="Times New Roman" w:hAnsi="Times New Roman" w:cs="Times New Roman"/>
        </w:rPr>
        <w:lastRenderedPageBreak/>
        <w:t xml:space="preserve">Dates Missed) divided (/) by the Total number (#) of Documents/Updates Due, </w:t>
      </w:r>
      <w:r>
        <w:rPr>
          <w:rFonts w:ascii="Times New Roman" w:eastAsia="Times New Roman" w:hAnsi="Times New Roman" w:cs="Times New Roman"/>
          <w:b/>
          <w:bCs/>
        </w:rPr>
        <w:t>OR</w:t>
      </w:r>
    </w:p>
    <w:p w14:paraId="25D480DB"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b equals (=) one hundred (100) times (x) (the total number (#) of Documents/Updates Due minus (–) the total number (#) of Documents with Inaccurate Data) divided by the total number (#) of Documents/Updates Due.</w:t>
      </w:r>
    </w:p>
    <w:p w14:paraId="64600E8C"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With respect to </w:t>
      </w:r>
      <w:r>
        <w:rPr>
          <w:rFonts w:ascii="Times New Roman" w:eastAsia="Times New Roman" w:hAnsi="Times New Roman" w:cs="Times New Roman"/>
          <w:b/>
          <w:bCs/>
        </w:rPr>
        <w:t>Section 9.1.1.1</w:t>
      </w:r>
      <w:r>
        <w:rPr>
          <w:rFonts w:ascii="Times New Roman" w:eastAsia="Times New Roman" w:hAnsi="Times New Roman" w:cs="Times New Roman"/>
        </w:rPr>
        <w:t xml:space="preserve"> above, where: </w:t>
      </w:r>
    </w:p>
    <w:p w14:paraId="541B0B84"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Documents/Updates Due</w:t>
      </w:r>
      <w:r>
        <w:rPr>
          <w:rFonts w:ascii="Times New Roman" w:eastAsia="Times New Roman" w:hAnsi="Times New Roman" w:cs="Times New Roman"/>
        </w:rPr>
        <w:t>” is the number of documents/updates that should have been provided during the reporting period.</w:t>
      </w:r>
    </w:p>
    <w:p w14:paraId="2C95AE0E"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Document Dates Missed</w:t>
      </w:r>
      <w:r>
        <w:rPr>
          <w:rFonts w:ascii="Times New Roman" w:eastAsia="Times New Roman" w:hAnsi="Times New Roman" w:cs="Times New Roman"/>
        </w:rPr>
        <w:t>” is the number of documents/updates whose due dates were missed during the reporting period.</w:t>
      </w:r>
    </w:p>
    <w:p w14:paraId="05432688"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bookmarkStart w:id="33" w:name="_heading=h.1bqhdn2nwtgg" w:colFirst="0" w:colLast="0"/>
      <w:bookmarkEnd w:id="33"/>
      <w:r>
        <w:rPr>
          <w:rFonts w:ascii="Times New Roman" w:eastAsia="Times New Roman" w:hAnsi="Times New Roman" w:cs="Times New Roman"/>
        </w:rPr>
        <w:t>Total number (#) “</w:t>
      </w:r>
      <w:r>
        <w:rPr>
          <w:rFonts w:ascii="Times New Roman" w:eastAsia="Times New Roman" w:hAnsi="Times New Roman" w:cs="Times New Roman"/>
          <w:b/>
          <w:bCs/>
        </w:rPr>
        <w:t>Documents/Updates</w:t>
      </w:r>
      <w:r>
        <w:rPr>
          <w:rFonts w:ascii="Times New Roman" w:eastAsia="Times New Roman" w:hAnsi="Times New Roman" w:cs="Times New Roman"/>
        </w:rPr>
        <w:t xml:space="preserve"> </w:t>
      </w:r>
      <w:r>
        <w:rPr>
          <w:rFonts w:ascii="Times New Roman" w:eastAsia="Times New Roman" w:hAnsi="Times New Roman" w:cs="Times New Roman"/>
          <w:b/>
          <w:bCs/>
        </w:rPr>
        <w:t>with Inaccurate Data</w:t>
      </w:r>
      <w:r>
        <w:rPr>
          <w:rFonts w:ascii="Times New Roman" w:eastAsia="Times New Roman" w:hAnsi="Times New Roman" w:cs="Times New Roman"/>
        </w:rPr>
        <w:t xml:space="preserve">” is the number of documents/updates that presented or contained inaccurate or incomplete data during the reporting period. </w:t>
      </w:r>
    </w:p>
    <w:p w14:paraId="7C29E1E8"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PARTICIPATION SERVICE LEVELS</w:t>
      </w:r>
    </w:p>
    <w:p w14:paraId="6DCC6B74"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Participation Service Levels shall be calculated as follows:</w:t>
      </w:r>
    </w:p>
    <w:p w14:paraId="564329D0"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Participation</w:t>
      </w:r>
      <w:r>
        <w:rPr>
          <w:rFonts w:ascii="Times New Roman" w:eastAsia="Times New Roman" w:hAnsi="Times New Roman" w:cs="Times New Roman"/>
        </w:rPr>
        <w:t>” compliance measures the percentage of participation activities such as meetings etc. in the reporting period that are properly attended within assigned action items completed and is calculated using the formula below.</w:t>
      </w:r>
    </w:p>
    <w:p w14:paraId="69A80752" w14:textId="77777777" w:rsidR="00A4494F" w:rsidRDefault="00000000">
      <w:pPr>
        <w:numPr>
          <w:ilvl w:val="3"/>
          <w:numId w:val="3"/>
        </w:numPr>
        <w:spacing w:before="120" w:after="120" w:line="240" w:lineRule="auto"/>
        <w:ind w:left="2340" w:hanging="900"/>
        <w:jc w:val="both"/>
        <w:rPr>
          <w:rFonts w:ascii="Times New Roman" w:eastAsia="Times New Roman" w:hAnsi="Times New Roman" w:cs="Times New Roman"/>
        </w:rPr>
      </w:pPr>
      <w:r>
        <w:rPr>
          <w:rFonts w:ascii="Times New Roman" w:eastAsia="Times New Roman" w:hAnsi="Times New Roman" w:cs="Times New Roman"/>
        </w:rPr>
        <w:t>Participation Percentage equals (=) one hundred (100) times (x) (the number (#) of Possible Participation Events minus (-) the number (#) of Events Missed) divided (/) by the number (#) of Possible Participation Events</w:t>
      </w:r>
    </w:p>
    <w:p w14:paraId="6E2DD12B" w14:textId="77777777" w:rsidR="00A4494F" w:rsidRDefault="00000000">
      <w:pPr>
        <w:numPr>
          <w:ilvl w:val="4"/>
          <w:numId w:val="3"/>
        </w:numPr>
        <w:spacing w:before="120" w:after="120" w:line="240" w:lineRule="auto"/>
        <w:ind w:left="3330" w:hanging="990"/>
        <w:jc w:val="both"/>
        <w:rPr>
          <w:rFonts w:ascii="Times New Roman" w:eastAsia="Times New Roman" w:hAnsi="Times New Roman" w:cs="Times New Roman"/>
        </w:rPr>
      </w:pPr>
      <w:r>
        <w:rPr>
          <w:rFonts w:ascii="Times New Roman" w:eastAsia="Times New Roman" w:hAnsi="Times New Roman" w:cs="Times New Roman"/>
        </w:rPr>
        <w:t>Where:</w:t>
      </w:r>
    </w:p>
    <w:p w14:paraId="6EBE4C8A" w14:textId="77777777" w:rsidR="00A4494F" w:rsidRDefault="00000000">
      <w:pPr>
        <w:numPr>
          <w:ilvl w:val="5"/>
          <w:numId w:val="3"/>
        </w:numPr>
        <w:spacing w:before="120" w:after="120" w:line="240" w:lineRule="auto"/>
        <w:ind w:left="4500" w:hanging="117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Possible Participation Events</w:t>
      </w:r>
      <w:r>
        <w:rPr>
          <w:rFonts w:ascii="Times New Roman" w:eastAsia="Times New Roman" w:hAnsi="Times New Roman" w:cs="Times New Roman"/>
        </w:rPr>
        <w:t>” is the number of events such as meetings that Supplier should have participated in as required under the Agreement or applicable SOW.</w:t>
      </w:r>
    </w:p>
    <w:p w14:paraId="158B35F5" w14:textId="77777777" w:rsidR="00A4494F" w:rsidRDefault="00000000">
      <w:pPr>
        <w:numPr>
          <w:ilvl w:val="5"/>
          <w:numId w:val="3"/>
        </w:numPr>
        <w:spacing w:before="120" w:after="120" w:line="240" w:lineRule="auto"/>
        <w:ind w:left="4500" w:hanging="1170"/>
        <w:jc w:val="both"/>
        <w:rPr>
          <w:rFonts w:ascii="Times New Roman" w:eastAsia="Times New Roman" w:hAnsi="Times New Roman" w:cs="Times New Roman"/>
        </w:rPr>
      </w:pPr>
      <w:bookmarkStart w:id="34" w:name="_heading=h.rlky5o8u054t" w:colFirst="0" w:colLast="0"/>
      <w:bookmarkEnd w:id="34"/>
      <w:r>
        <w:rPr>
          <w:rFonts w:ascii="Times New Roman" w:eastAsia="Times New Roman" w:hAnsi="Times New Roman" w:cs="Times New Roman"/>
        </w:rPr>
        <w:t>Total number (#) “</w:t>
      </w:r>
      <w:r>
        <w:rPr>
          <w:rFonts w:ascii="Times New Roman" w:eastAsia="Times New Roman" w:hAnsi="Times New Roman" w:cs="Times New Roman"/>
          <w:b/>
          <w:bCs/>
        </w:rPr>
        <w:t>Events Missed</w:t>
      </w:r>
      <w:r>
        <w:rPr>
          <w:rFonts w:ascii="Times New Roman" w:eastAsia="Times New Roman" w:hAnsi="Times New Roman" w:cs="Times New Roman"/>
        </w:rPr>
        <w:t>” is the number of events that Supplier did not participate in or whose Supplier action items were incomplete.</w:t>
      </w:r>
    </w:p>
    <w:p w14:paraId="18A1BA2B"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QUALITY SERVICE LEVELS</w:t>
      </w:r>
    </w:p>
    <w:p w14:paraId="0F6FC603"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Quality Service Levels shall be calculated as follows:</w:t>
      </w:r>
    </w:p>
    <w:p w14:paraId="4E0C1204"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Quality</w:t>
      </w:r>
      <w:r>
        <w:rPr>
          <w:rFonts w:ascii="Times New Roman" w:eastAsia="Times New Roman" w:hAnsi="Times New Roman" w:cs="Times New Roman"/>
        </w:rPr>
        <w:t xml:space="preserve">” compliance measures the number of non-code submissions that are provided during the reporting period that are without failure or errors detected and is calculated using the formula below. </w:t>
      </w:r>
    </w:p>
    <w:p w14:paraId="401C14BF" w14:textId="77777777" w:rsidR="00A4494F" w:rsidRDefault="00000000">
      <w:pPr>
        <w:numPr>
          <w:ilvl w:val="3"/>
          <w:numId w:val="3"/>
        </w:numPr>
        <w:spacing w:before="120" w:after="120" w:line="240" w:lineRule="auto"/>
        <w:ind w:left="2340" w:hanging="900"/>
        <w:jc w:val="both"/>
        <w:rPr>
          <w:rFonts w:ascii="Times New Roman" w:eastAsia="Times New Roman" w:hAnsi="Times New Roman" w:cs="Times New Roman"/>
        </w:rPr>
      </w:pPr>
      <w:r>
        <w:rPr>
          <w:rFonts w:ascii="Times New Roman" w:eastAsia="Times New Roman" w:hAnsi="Times New Roman" w:cs="Times New Roman"/>
        </w:rPr>
        <w:t>Participation Percentage equals (=) one hundred (100) times (x) (the number (#) of Submissions Events minus (-) the number (#) of Submissions with Errors) divided (/) by the number (#) of Submission Events</w:t>
      </w:r>
    </w:p>
    <w:p w14:paraId="1054AF71" w14:textId="77777777" w:rsidR="00A4494F" w:rsidRDefault="00000000">
      <w:pPr>
        <w:numPr>
          <w:ilvl w:val="4"/>
          <w:numId w:val="3"/>
        </w:numPr>
        <w:spacing w:before="120" w:after="120" w:line="240" w:lineRule="auto"/>
        <w:ind w:left="3420" w:hanging="108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1BDB438A" w14:textId="77777777" w:rsidR="00A4494F" w:rsidRDefault="00000000">
      <w:pPr>
        <w:numPr>
          <w:ilvl w:val="5"/>
          <w:numId w:val="3"/>
        </w:numPr>
        <w:spacing w:before="120" w:after="120" w:line="240" w:lineRule="auto"/>
        <w:ind w:left="4860" w:hanging="1440"/>
        <w:jc w:val="both"/>
        <w:rPr>
          <w:rFonts w:ascii="Times New Roman" w:eastAsia="Times New Roman" w:hAnsi="Times New Roman" w:cs="Times New Roman"/>
        </w:rPr>
      </w:pPr>
      <w:r>
        <w:rPr>
          <w:rFonts w:ascii="Times New Roman" w:eastAsia="Times New Roman" w:hAnsi="Times New Roman" w:cs="Times New Roman"/>
        </w:rPr>
        <w:lastRenderedPageBreak/>
        <w:t>Total number (#) of “</w:t>
      </w:r>
      <w:r>
        <w:rPr>
          <w:rFonts w:ascii="Times New Roman" w:eastAsia="Times New Roman" w:hAnsi="Times New Roman" w:cs="Times New Roman"/>
          <w:b/>
          <w:bCs/>
        </w:rPr>
        <w:t>Submission Events</w:t>
      </w:r>
      <w:r>
        <w:rPr>
          <w:rFonts w:ascii="Times New Roman" w:eastAsia="Times New Roman" w:hAnsi="Times New Roman" w:cs="Times New Roman"/>
        </w:rPr>
        <w:t xml:space="preserve">” is the number of separate non-code submissions that Supplier provided during the reporting period.  </w:t>
      </w:r>
    </w:p>
    <w:p w14:paraId="45BAD588" w14:textId="77777777" w:rsidR="00A4494F" w:rsidRDefault="00000000">
      <w:pPr>
        <w:numPr>
          <w:ilvl w:val="5"/>
          <w:numId w:val="3"/>
        </w:numPr>
        <w:spacing w:before="120" w:after="120" w:line="240" w:lineRule="auto"/>
        <w:ind w:left="4860" w:hanging="1440"/>
        <w:jc w:val="both"/>
        <w:rPr>
          <w:rFonts w:ascii="Times New Roman" w:eastAsia="Times New Roman" w:hAnsi="Times New Roman" w:cs="Times New Roman"/>
        </w:rPr>
      </w:pPr>
      <w:bookmarkStart w:id="35" w:name="_heading=h.gtsvdt1i0v8k" w:colFirst="0" w:colLast="0"/>
      <w:bookmarkEnd w:id="35"/>
      <w:r>
        <w:rPr>
          <w:rFonts w:ascii="Times New Roman" w:eastAsia="Times New Roman" w:hAnsi="Times New Roman" w:cs="Times New Roman"/>
        </w:rPr>
        <w:t>Total number (#) “</w:t>
      </w:r>
      <w:r>
        <w:rPr>
          <w:rFonts w:ascii="Times New Roman" w:eastAsia="Times New Roman" w:hAnsi="Times New Roman" w:cs="Times New Roman"/>
          <w:b/>
          <w:bCs/>
        </w:rPr>
        <w:t>Submissions with Errors</w:t>
      </w:r>
      <w:r>
        <w:rPr>
          <w:rFonts w:ascii="Times New Roman" w:eastAsia="Times New Roman" w:hAnsi="Times New Roman" w:cs="Times New Roman"/>
        </w:rPr>
        <w:t>” is the number of non-code submissions that Supplier provided that included errors that were discovered during the reporting period.</w:t>
      </w:r>
    </w:p>
    <w:p w14:paraId="2B9E986D"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CODE QUALITY SERVICE LEVELS</w:t>
      </w:r>
    </w:p>
    <w:p w14:paraId="7E4A5527"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Code Quality Service Levels shall be calculated as follows:</w:t>
      </w:r>
    </w:p>
    <w:p w14:paraId="04B1A4EB"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Code Quality</w:t>
      </w:r>
      <w:r>
        <w:rPr>
          <w:rFonts w:ascii="Times New Roman" w:eastAsia="Times New Roman" w:hAnsi="Times New Roman" w:cs="Times New Roman"/>
        </w:rPr>
        <w:t>” compliance measures the number of errors by Severity Level in computer software developed by Supplier (“</w:t>
      </w:r>
      <w:r>
        <w:rPr>
          <w:rFonts w:ascii="Times New Roman" w:eastAsia="Times New Roman" w:hAnsi="Times New Roman" w:cs="Times New Roman"/>
          <w:b/>
          <w:bCs/>
        </w:rPr>
        <w:t>Code</w:t>
      </w:r>
      <w:r>
        <w:rPr>
          <w:rFonts w:ascii="Times New Roman" w:eastAsia="Times New Roman" w:hAnsi="Times New Roman" w:cs="Times New Roman"/>
        </w:rPr>
        <w:t>”) that are discovered by TMS/USA. Code Quality is a single Service Level for each delivery of Code (“</w:t>
      </w:r>
      <w:r>
        <w:rPr>
          <w:rFonts w:ascii="Times New Roman" w:eastAsia="Times New Roman" w:hAnsi="Times New Roman" w:cs="Times New Roman"/>
          <w:b/>
          <w:bCs/>
        </w:rPr>
        <w:t>Code Drop</w:t>
      </w:r>
      <w:r>
        <w:rPr>
          <w:rFonts w:ascii="Times New Roman" w:eastAsia="Times New Roman" w:hAnsi="Times New Roman" w:cs="Times New Roman"/>
        </w:rPr>
        <w:t xml:space="preserve">”), rather than each program component or module.  </w:t>
      </w:r>
    </w:p>
    <w:p w14:paraId="2E1086A4" w14:textId="77777777" w:rsidR="00A4494F" w:rsidRDefault="00000000">
      <w:pPr>
        <w:numPr>
          <w:ilvl w:val="3"/>
          <w:numId w:val="3"/>
        </w:numPr>
        <w:spacing w:before="120" w:after="120" w:line="240" w:lineRule="auto"/>
        <w:ind w:left="2340" w:hanging="900"/>
        <w:jc w:val="both"/>
        <w:rPr>
          <w:rFonts w:ascii="Times New Roman" w:eastAsia="Times New Roman" w:hAnsi="Times New Roman" w:cs="Times New Roman"/>
        </w:rPr>
      </w:pPr>
      <w:r>
        <w:rPr>
          <w:rFonts w:ascii="Times New Roman" w:eastAsia="Times New Roman" w:hAnsi="Times New Roman" w:cs="Times New Roman"/>
        </w:rPr>
        <w:t>Code Quality equals (=) one hundred percent (100%) minus (–) ((the number (#) of Severity Level 1 Errors times (x) two percent (2%)) plus (+) (the number (#) of Severity Level 2 Errors times (x) five tenths of a percent (0.5%))</w:t>
      </w:r>
    </w:p>
    <w:p w14:paraId="4B0A0F0E" w14:textId="77777777" w:rsidR="00A4494F" w:rsidRDefault="00000000">
      <w:pPr>
        <w:numPr>
          <w:ilvl w:val="4"/>
          <w:numId w:val="3"/>
        </w:numPr>
        <w:spacing w:before="120" w:after="120" w:line="240" w:lineRule="auto"/>
        <w:ind w:left="3150" w:hanging="990"/>
        <w:jc w:val="both"/>
        <w:rPr>
          <w:rFonts w:ascii="Times New Roman" w:eastAsia="Times New Roman" w:hAnsi="Times New Roman" w:cs="Times New Roman"/>
        </w:rPr>
      </w:pPr>
      <w:r>
        <w:rPr>
          <w:rFonts w:ascii="Times New Roman" w:eastAsia="Times New Roman" w:hAnsi="Times New Roman" w:cs="Times New Roman"/>
        </w:rPr>
        <w:t>Where:</w:t>
      </w:r>
      <w:r>
        <w:rPr>
          <w:rFonts w:ascii="Times New Roman" w:eastAsia="Times New Roman" w:hAnsi="Times New Roman" w:cs="Times New Roman"/>
        </w:rPr>
        <w:tab/>
      </w:r>
    </w:p>
    <w:p w14:paraId="5BF05EE1" w14:textId="77777777" w:rsidR="00A4494F" w:rsidRDefault="00000000">
      <w:pPr>
        <w:numPr>
          <w:ilvl w:val="5"/>
          <w:numId w:val="3"/>
        </w:numPr>
        <w:tabs>
          <w:tab w:val="left" w:pos="4590"/>
        </w:tabs>
        <w:spacing w:before="120" w:after="120" w:line="240" w:lineRule="auto"/>
        <w:ind w:left="4590" w:hanging="1440"/>
        <w:jc w:val="both"/>
        <w:rPr>
          <w:rFonts w:ascii="Times New Roman" w:eastAsia="Times New Roman" w:hAnsi="Times New Roman" w:cs="Times New Roman"/>
        </w:rPr>
      </w:pPr>
      <w:r>
        <w:rPr>
          <w:rFonts w:ascii="Times New Roman" w:eastAsia="Times New Roman" w:hAnsi="Times New Roman" w:cs="Times New Roman"/>
        </w:rPr>
        <w:t>Severity Level 1 Error percentage equals (=) two percent (2%) for each such error</w:t>
      </w:r>
    </w:p>
    <w:p w14:paraId="2F74D2ED" w14:textId="77777777" w:rsidR="00A4494F" w:rsidRDefault="00000000">
      <w:pPr>
        <w:numPr>
          <w:ilvl w:val="5"/>
          <w:numId w:val="3"/>
        </w:numPr>
        <w:tabs>
          <w:tab w:val="left" w:pos="4590"/>
        </w:tabs>
        <w:spacing w:before="120" w:after="120" w:line="240" w:lineRule="auto"/>
        <w:ind w:left="4590" w:hanging="1440"/>
        <w:jc w:val="both"/>
        <w:rPr>
          <w:rFonts w:ascii="Times New Roman" w:eastAsia="Times New Roman" w:hAnsi="Times New Roman" w:cs="Times New Roman"/>
        </w:rPr>
      </w:pPr>
      <w:bookmarkStart w:id="36" w:name="_heading=h.20xin32wj2cg" w:colFirst="0" w:colLast="0"/>
      <w:bookmarkEnd w:id="36"/>
      <w:r>
        <w:rPr>
          <w:rFonts w:ascii="Times New Roman" w:eastAsia="Times New Roman" w:hAnsi="Times New Roman" w:cs="Times New Roman"/>
        </w:rPr>
        <w:t>Severity Level 2 Error Percentage equals (=) five tenths of a percent (0.5%) for each such error</w:t>
      </w:r>
    </w:p>
    <w:p w14:paraId="2FCCAB3C"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RESOLUTION SERVICE LEVELS</w:t>
      </w:r>
    </w:p>
    <w:p w14:paraId="59D1EE2B"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Resolution Service Levels shall be calculated as follows:</w:t>
      </w:r>
    </w:p>
    <w:p w14:paraId="65AACB80"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Resolution</w:t>
      </w:r>
      <w:r>
        <w:rPr>
          <w:rFonts w:ascii="Times New Roman" w:eastAsia="Times New Roman" w:hAnsi="Times New Roman" w:cs="Times New Roman"/>
        </w:rPr>
        <w:t>” compliance measures the percentage of activities that require Supplier to resolve a certain condition within a specified period of time that are successfully “</w:t>
      </w:r>
      <w:r>
        <w:rPr>
          <w:rFonts w:ascii="Times New Roman" w:eastAsia="Times New Roman" w:hAnsi="Times New Roman" w:cs="Times New Roman"/>
          <w:b/>
          <w:bCs/>
        </w:rPr>
        <w:t>closed</w:t>
      </w:r>
      <w:r>
        <w:rPr>
          <w:rFonts w:ascii="Times New Roman" w:eastAsia="Times New Roman" w:hAnsi="Times New Roman" w:cs="Times New Roman"/>
        </w:rPr>
        <w:t xml:space="preserve">” within such time period and is calculated using the formula below. </w:t>
      </w:r>
    </w:p>
    <w:p w14:paraId="644DCC35" w14:textId="77777777" w:rsidR="00A4494F" w:rsidRDefault="00000000">
      <w:pPr>
        <w:numPr>
          <w:ilvl w:val="3"/>
          <w:numId w:val="3"/>
        </w:numPr>
        <w:spacing w:before="120" w:after="120" w:line="240" w:lineRule="auto"/>
        <w:ind w:left="2250" w:hanging="810"/>
        <w:jc w:val="both"/>
        <w:rPr>
          <w:rFonts w:ascii="Times New Roman" w:eastAsia="Times New Roman" w:hAnsi="Times New Roman" w:cs="Times New Roman"/>
        </w:rPr>
      </w:pPr>
      <w:r>
        <w:rPr>
          <w:rFonts w:ascii="Times New Roman" w:eastAsia="Times New Roman" w:hAnsi="Times New Roman" w:cs="Times New Roman"/>
        </w:rPr>
        <w:t xml:space="preserve">Resolution Percentage equals (=) one hundred (100) times (x) (the total number (#) of Resolutions Required minus (-) the number (#) of Resolutions Missed) divided (/) by the total number (#) of Resolutions Required. </w:t>
      </w:r>
    </w:p>
    <w:p w14:paraId="179FFDE0" w14:textId="77777777" w:rsidR="00A4494F" w:rsidRDefault="00000000">
      <w:pPr>
        <w:numPr>
          <w:ilvl w:val="4"/>
          <w:numId w:val="3"/>
        </w:numPr>
        <w:spacing w:before="120" w:after="120" w:line="240" w:lineRule="auto"/>
        <w:ind w:left="3240" w:hanging="99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6FDB2E13"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Resolutions Required</w:t>
      </w:r>
      <w:r>
        <w:rPr>
          <w:rFonts w:ascii="Times New Roman" w:eastAsia="Times New Roman" w:hAnsi="Times New Roman" w:cs="Times New Roman"/>
        </w:rPr>
        <w:t>” is the number of activities that require resolution from Supplier during the reporting period.</w:t>
      </w:r>
    </w:p>
    <w:p w14:paraId="4683757B"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Resolutions Missed</w:t>
      </w:r>
      <w:r>
        <w:rPr>
          <w:rFonts w:ascii="Times New Roman" w:eastAsia="Times New Roman" w:hAnsi="Times New Roman" w:cs="Times New Roman"/>
        </w:rPr>
        <w:t>” is the number of activities requiring resolution from Supplier that were not provided within the timeframe required therefore during the reporting period.</w:t>
      </w:r>
    </w:p>
    <w:p w14:paraId="3C3EBCC9" w14:textId="77777777" w:rsidR="00A4494F" w:rsidRDefault="00000000">
      <w:pPr>
        <w:numPr>
          <w:ilvl w:val="3"/>
          <w:numId w:val="3"/>
        </w:numPr>
        <w:tabs>
          <w:tab w:val="left" w:pos="2250"/>
        </w:tabs>
        <w:spacing w:before="120" w:after="120" w:line="240" w:lineRule="auto"/>
        <w:ind w:left="2250" w:hanging="810"/>
        <w:jc w:val="both"/>
        <w:rPr>
          <w:rFonts w:ascii="Times New Roman" w:eastAsia="Times New Roman" w:hAnsi="Times New Roman" w:cs="Times New Roman"/>
        </w:rPr>
      </w:pPr>
      <w:bookmarkStart w:id="37" w:name="_heading=h.b8v4oyzhukqk" w:colFirst="0" w:colLast="0"/>
      <w:bookmarkEnd w:id="37"/>
      <w:r>
        <w:rPr>
          <w:rFonts w:ascii="Times New Roman" w:eastAsia="Times New Roman" w:hAnsi="Times New Roman" w:cs="Times New Roman"/>
        </w:rPr>
        <w:t>Closure may include mutually agreed upon deferral, re-assignment, or re-classification.</w:t>
      </w:r>
    </w:p>
    <w:p w14:paraId="4DDD4156"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COMPLETION SERVICE LEVELS</w:t>
      </w:r>
    </w:p>
    <w:p w14:paraId="3C2063AC"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Completion Service Levels shall be calculated as follows:</w:t>
      </w:r>
    </w:p>
    <w:p w14:paraId="419C98BF"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lastRenderedPageBreak/>
        <w:t>A Service Level that is measuring “</w:t>
      </w:r>
      <w:r>
        <w:rPr>
          <w:rFonts w:ascii="Times New Roman" w:eastAsia="Times New Roman" w:hAnsi="Times New Roman" w:cs="Times New Roman"/>
          <w:b/>
          <w:bCs/>
        </w:rPr>
        <w:t>Completion</w:t>
      </w:r>
      <w:r>
        <w:rPr>
          <w:rFonts w:ascii="Times New Roman" w:eastAsia="Times New Roman" w:hAnsi="Times New Roman" w:cs="Times New Roman"/>
        </w:rPr>
        <w:t xml:space="preserve">” compliance measures the percentage of activities that are completed at the required time and is calculated using the formula below. </w:t>
      </w:r>
    </w:p>
    <w:p w14:paraId="2F9CBA5E" w14:textId="77777777" w:rsidR="00A4494F" w:rsidRDefault="00000000">
      <w:pPr>
        <w:numPr>
          <w:ilvl w:val="3"/>
          <w:numId w:val="3"/>
        </w:numPr>
        <w:spacing w:before="120" w:after="120" w:line="240" w:lineRule="auto"/>
        <w:ind w:left="2250" w:hanging="810"/>
        <w:jc w:val="both"/>
        <w:rPr>
          <w:rFonts w:ascii="Times New Roman" w:eastAsia="Times New Roman" w:hAnsi="Times New Roman" w:cs="Times New Roman"/>
        </w:rPr>
      </w:pPr>
      <w:r>
        <w:rPr>
          <w:rFonts w:ascii="Times New Roman" w:eastAsia="Times New Roman" w:hAnsi="Times New Roman" w:cs="Times New Roman"/>
        </w:rPr>
        <w:t>Completion Percentage equals (=) one hundred (100) times (x) (the total number (#) of Completion minus (-) the number (#) of Completion Occurrences Missed) divided (/) by the total number (#) of Completion.</w:t>
      </w:r>
    </w:p>
    <w:p w14:paraId="2AA67FF7" w14:textId="77777777" w:rsidR="00A4494F" w:rsidRDefault="00000000">
      <w:pPr>
        <w:numPr>
          <w:ilvl w:val="4"/>
          <w:numId w:val="3"/>
        </w:numPr>
        <w:spacing w:before="120" w:after="120" w:line="240" w:lineRule="auto"/>
        <w:ind w:left="3240" w:hanging="99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5087FC13"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Completions</w:t>
      </w:r>
      <w:r>
        <w:rPr>
          <w:rFonts w:ascii="Times New Roman" w:eastAsia="Times New Roman" w:hAnsi="Times New Roman" w:cs="Times New Roman"/>
        </w:rPr>
        <w:t>” is the number of activities that should have been completed during the reporting period.</w:t>
      </w:r>
    </w:p>
    <w:p w14:paraId="0BDE3A79"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Completion Occurrences Missed</w:t>
      </w:r>
      <w:r>
        <w:rPr>
          <w:rFonts w:ascii="Times New Roman" w:eastAsia="Times New Roman" w:hAnsi="Times New Roman" w:cs="Times New Roman"/>
        </w:rPr>
        <w:t>” is the number of activities that were not completed at the proper time during the reporting.</w:t>
      </w:r>
    </w:p>
    <w:p w14:paraId="6775F811"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bookmarkStart w:id="38" w:name="_heading=h.7esqmvw0pubb" w:colFirst="0" w:colLast="0"/>
      <w:bookmarkEnd w:id="38"/>
      <w:r>
        <w:rPr>
          <w:rFonts w:ascii="Times New Roman" w:eastAsia="Times New Roman" w:hAnsi="Times New Roman" w:cs="Times New Roman"/>
        </w:rPr>
        <w:t>Completion shall have the meaning ascribed in each SOW for each activity measuring Completion compliance.</w:t>
      </w:r>
    </w:p>
    <w:p w14:paraId="33BA8249"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TURNOVER RATE SERVICE LEVELS</w:t>
      </w:r>
    </w:p>
    <w:p w14:paraId="152509C2"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Turnover Rate Service Levels shall be calculated as follows:</w:t>
      </w:r>
    </w:p>
    <w:p w14:paraId="48F405C8"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Turnover Rate</w:t>
      </w:r>
      <w:r>
        <w:rPr>
          <w:rFonts w:ascii="Times New Roman" w:eastAsia="Times New Roman" w:hAnsi="Times New Roman" w:cs="Times New Roman"/>
        </w:rPr>
        <w:t xml:space="preserve">” is measuring the stability of Supplier’s resource pool providing Services as required hereunder during the monthly reporting period.  </w:t>
      </w:r>
    </w:p>
    <w:p w14:paraId="548EAD3C" w14:textId="77777777" w:rsidR="00A4494F" w:rsidRDefault="00000000">
      <w:pPr>
        <w:numPr>
          <w:ilvl w:val="3"/>
          <w:numId w:val="3"/>
        </w:numPr>
        <w:spacing w:before="120" w:after="120" w:line="240" w:lineRule="auto"/>
        <w:ind w:left="2250" w:hanging="810"/>
        <w:jc w:val="both"/>
        <w:rPr>
          <w:rFonts w:ascii="Times New Roman" w:eastAsia="Times New Roman" w:hAnsi="Times New Roman" w:cs="Times New Roman"/>
        </w:rPr>
      </w:pPr>
      <w:r>
        <w:rPr>
          <w:rFonts w:ascii="Times New Roman" w:eastAsia="Times New Roman" w:hAnsi="Times New Roman" w:cs="Times New Roman"/>
        </w:rPr>
        <w:t>Turnover Rate equals (=) the total number (#) of Replacements divided (/) by the total number (#) of Resources.</w:t>
      </w:r>
    </w:p>
    <w:p w14:paraId="0098C000" w14:textId="77777777" w:rsidR="00A4494F" w:rsidRDefault="00000000">
      <w:pPr>
        <w:numPr>
          <w:ilvl w:val="4"/>
          <w:numId w:val="3"/>
        </w:numPr>
        <w:spacing w:before="120" w:after="120" w:line="240" w:lineRule="auto"/>
        <w:ind w:left="3240" w:hanging="99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7F0A745F"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Resources</w:t>
      </w:r>
      <w:r>
        <w:rPr>
          <w:rFonts w:ascii="Times New Roman" w:eastAsia="Times New Roman" w:hAnsi="Times New Roman" w:cs="Times New Roman"/>
        </w:rPr>
        <w:t>” is the number of Resources authorized during the monthly reporting period.</w:t>
      </w:r>
    </w:p>
    <w:p w14:paraId="4F1F5F71"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bookmarkStart w:id="39" w:name="_heading=h.kp04142b3faz" w:colFirst="0" w:colLast="0"/>
      <w:bookmarkEnd w:id="39"/>
      <w:r>
        <w:rPr>
          <w:rFonts w:ascii="Times New Roman" w:eastAsia="Times New Roman" w:hAnsi="Times New Roman" w:cs="Times New Roman"/>
        </w:rPr>
        <w:t>Total number (#) “</w:t>
      </w:r>
      <w:r>
        <w:rPr>
          <w:rFonts w:ascii="Times New Roman" w:eastAsia="Times New Roman" w:hAnsi="Times New Roman" w:cs="Times New Roman"/>
          <w:b/>
          <w:bCs/>
        </w:rPr>
        <w:t>Replacements</w:t>
      </w:r>
      <w:r>
        <w:rPr>
          <w:rFonts w:ascii="Times New Roman" w:eastAsia="Times New Roman" w:hAnsi="Times New Roman" w:cs="Times New Roman"/>
        </w:rPr>
        <w:t xml:space="preserve">” is the number of individuals that are replaced during the monthly reporting period. Each individual that is assigned and then replaced, is counted. For the avoidance of doubt, if A is currently assigned and is replaced by B, that is counted as one (1) replacement and if B is replaced by C, that would count as two (2) replacements, assuming that each occurred during the same reporting period.  </w:t>
      </w:r>
    </w:p>
    <w:p w14:paraId="019D4BE5"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PERFORM SERVICE LEVELS</w:t>
      </w:r>
    </w:p>
    <w:p w14:paraId="0A753B81"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Perform Service Levels shall be calculated as follows:</w:t>
      </w:r>
    </w:p>
    <w:p w14:paraId="4E7876E4"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Performance</w:t>
      </w:r>
      <w:r>
        <w:rPr>
          <w:rFonts w:ascii="Times New Roman" w:eastAsia="Times New Roman" w:hAnsi="Times New Roman" w:cs="Times New Roman"/>
        </w:rPr>
        <w:t xml:space="preserve">” compliance measures the percentage of activities or Deliverables that are required to be performed or provided in the reporting period with one hundred percent (100%) accuracy and is calculated using the formula below. Alternatively, a Perform Service Level may be assigned to a specific activity or Deliverable and define the monetary remedy associated therewith.  </w:t>
      </w:r>
    </w:p>
    <w:p w14:paraId="7E75E28D" w14:textId="77777777" w:rsidR="00A4494F" w:rsidRDefault="00000000">
      <w:pPr>
        <w:numPr>
          <w:ilvl w:val="3"/>
          <w:numId w:val="3"/>
        </w:numPr>
        <w:spacing w:before="120" w:after="120" w:line="240" w:lineRule="auto"/>
        <w:ind w:left="2250" w:hanging="810"/>
        <w:jc w:val="both"/>
        <w:rPr>
          <w:rFonts w:ascii="Times New Roman" w:eastAsia="Times New Roman" w:hAnsi="Times New Roman" w:cs="Times New Roman"/>
        </w:rPr>
      </w:pPr>
      <w:r>
        <w:rPr>
          <w:rFonts w:ascii="Times New Roman" w:eastAsia="Times New Roman" w:hAnsi="Times New Roman" w:cs="Times New Roman"/>
        </w:rPr>
        <w:t xml:space="preserve">Perform Percentage equals (=) one hundred (100) times (x) (the total number (#) of Required Activities minus (–) the total number (#) of Required Activities Missed) divided (/) by the total number (#) of Required Activities. </w:t>
      </w:r>
    </w:p>
    <w:p w14:paraId="0B813BF4" w14:textId="77777777" w:rsidR="00A4494F" w:rsidRDefault="00000000">
      <w:pPr>
        <w:numPr>
          <w:ilvl w:val="4"/>
          <w:numId w:val="3"/>
        </w:numPr>
        <w:spacing w:before="120" w:after="120" w:line="240" w:lineRule="auto"/>
        <w:ind w:left="3240" w:hanging="990"/>
        <w:jc w:val="both"/>
        <w:rPr>
          <w:rFonts w:ascii="Times New Roman" w:eastAsia="Times New Roman" w:hAnsi="Times New Roman" w:cs="Times New Roman"/>
        </w:rPr>
      </w:pPr>
      <w:r>
        <w:rPr>
          <w:rFonts w:ascii="Times New Roman" w:eastAsia="Times New Roman" w:hAnsi="Times New Roman" w:cs="Times New Roman"/>
        </w:rPr>
        <w:lastRenderedPageBreak/>
        <w:t xml:space="preserve">Where: </w:t>
      </w:r>
    </w:p>
    <w:p w14:paraId="77E5B583" w14:textId="77777777" w:rsidR="00A4494F" w:rsidRDefault="00000000">
      <w:pPr>
        <w:numPr>
          <w:ilvl w:val="5"/>
          <w:numId w:val="3"/>
        </w:numPr>
        <w:spacing w:before="120" w:after="120" w:line="240" w:lineRule="auto"/>
        <w:ind w:left="4680" w:hanging="144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Required Activities</w:t>
      </w:r>
      <w:r>
        <w:rPr>
          <w:rFonts w:ascii="Times New Roman" w:eastAsia="Times New Roman" w:hAnsi="Times New Roman" w:cs="Times New Roman"/>
        </w:rPr>
        <w:t>” is the number of activities or Deliverables that should have been performed or provided during the reporting period.</w:t>
      </w:r>
    </w:p>
    <w:p w14:paraId="4271536F" w14:textId="77777777" w:rsidR="00A4494F" w:rsidRDefault="00000000">
      <w:pPr>
        <w:numPr>
          <w:ilvl w:val="5"/>
          <w:numId w:val="3"/>
        </w:numPr>
        <w:spacing w:before="120" w:after="120" w:line="240" w:lineRule="auto"/>
        <w:ind w:left="4680" w:hanging="144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Required Activities Missed</w:t>
      </w:r>
      <w:r>
        <w:rPr>
          <w:rFonts w:ascii="Times New Roman" w:eastAsia="Times New Roman" w:hAnsi="Times New Roman" w:cs="Times New Roman"/>
        </w:rPr>
        <w:t>” is the number of activities or Deliverables whose due dates were missed, not performed or provided, or were inaccurately performed during the reporting period.</w:t>
      </w:r>
    </w:p>
    <w:p w14:paraId="109A9215" w14:textId="77777777" w:rsidR="00A4494F" w:rsidRDefault="00000000">
      <w:pPr>
        <w:widowControl w:val="0"/>
        <w:spacing w:after="120" w:line="240" w:lineRule="auto"/>
        <w:jc w:val="center"/>
        <w:rPr>
          <w:rFonts w:ascii="Times New Roman" w:eastAsia="Times New Roman" w:hAnsi="Times New Roman" w:cs="Times New Roman"/>
        </w:rPr>
      </w:pPr>
      <w:r>
        <w:br w:type="page"/>
      </w:r>
      <w:r>
        <w:rPr>
          <w:rFonts w:ascii="Times New Roman" w:eastAsia="Times New Roman" w:hAnsi="Times New Roman" w:cs="Times New Roman"/>
          <w:b/>
          <w:bCs/>
        </w:rPr>
        <w:lastRenderedPageBreak/>
        <w:t>EXHIBIT #6</w:t>
      </w:r>
    </w:p>
    <w:p w14:paraId="14E2F16B"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STATEMENT OF WORK #</w:t>
      </w:r>
      <w:r>
        <w:rPr>
          <w:rFonts w:ascii="Times New Roman" w:eastAsia="Times New Roman" w:hAnsi="Times New Roman" w:cs="Times New Roman"/>
          <w:b/>
          <w:bCs/>
          <w:highlight w:val="yellow"/>
        </w:rPr>
        <w:t xml:space="preserve">16 </w:t>
      </w:r>
    </w:p>
    <w:p w14:paraId="61545BC7"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w:t>
      </w:r>
      <w:r>
        <w:rPr>
          <w:rFonts w:ascii="Times New Roman" w:eastAsia="Times New Roman" w:hAnsi="Times New Roman" w:cs="Times New Roman"/>
          <w:sz w:val="24"/>
          <w:szCs w:val="24"/>
        </w:rPr>
        <w:t>2012ORA001</w:t>
      </w:r>
    </w:p>
    <w:p w14:paraId="7C51CD30"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CERTIFICATE OF ACCEPTANCE</w:t>
      </w:r>
    </w:p>
    <w:p w14:paraId="693999DB"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tbl>
      <w:tblPr>
        <w:tblStyle w:val="a9"/>
        <w:tblW w:w="9576" w:type="dxa"/>
        <w:tblInd w:w="-108" w:type="dxa"/>
        <w:tblLayout w:type="fixed"/>
        <w:tblLook w:val="0000" w:firstRow="0" w:lastRow="0" w:firstColumn="0" w:lastColumn="0" w:noHBand="0" w:noVBand="0"/>
      </w:tblPr>
      <w:tblGrid>
        <w:gridCol w:w="2304"/>
        <w:gridCol w:w="1871"/>
        <w:gridCol w:w="613"/>
        <w:gridCol w:w="1258"/>
        <w:gridCol w:w="686"/>
        <w:gridCol w:w="10"/>
        <w:gridCol w:w="285"/>
        <w:gridCol w:w="2549"/>
      </w:tblGrid>
      <w:tr w:rsidR="00A4494F" w14:paraId="0DD8D401" w14:textId="77777777">
        <w:tc>
          <w:tcPr>
            <w:tcW w:w="9576" w:type="dxa"/>
            <w:gridSpan w:val="8"/>
            <w:tcBorders>
              <w:top w:val="single" w:sz="4" w:space="0" w:color="000000"/>
              <w:left w:val="single" w:sz="4" w:space="0" w:color="000000"/>
              <w:bottom w:val="single" w:sz="8" w:space="0" w:color="000000"/>
              <w:right w:val="single" w:sz="4" w:space="0" w:color="000000"/>
            </w:tcBorders>
            <w:vAlign w:val="center"/>
          </w:tcPr>
          <w:p w14:paraId="61D0444B" w14:textId="77777777" w:rsidR="00A4494F" w:rsidRDefault="00000000">
            <w:pPr>
              <w:pStyle w:val="Heading4"/>
              <w:keepNext w:val="0"/>
              <w:keepLines w:val="0"/>
              <w:widowControl w:val="0"/>
              <w:spacing w:before="120" w:after="12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Project Information</w:t>
            </w:r>
          </w:p>
        </w:tc>
      </w:tr>
      <w:tr w:rsidR="00A4494F" w14:paraId="6DADAB28" w14:textId="77777777">
        <w:tc>
          <w:tcPr>
            <w:tcW w:w="2304" w:type="dxa"/>
            <w:tcBorders>
              <w:top w:val="single" w:sz="4" w:space="0" w:color="000000"/>
              <w:left w:val="single" w:sz="4" w:space="0" w:color="000000"/>
              <w:bottom w:val="single" w:sz="4" w:space="0" w:color="000000"/>
              <w:right w:val="single" w:sz="8" w:space="0" w:color="000000"/>
            </w:tcBorders>
            <w:vAlign w:val="center"/>
          </w:tcPr>
          <w:p w14:paraId="5249ED46"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Dept ID: </w:t>
            </w:r>
          </w:p>
        </w:tc>
        <w:tc>
          <w:tcPr>
            <w:tcW w:w="7272" w:type="dxa"/>
            <w:gridSpan w:val="7"/>
            <w:tcBorders>
              <w:top w:val="single" w:sz="4" w:space="0" w:color="000000"/>
              <w:left w:val="single" w:sz="8" w:space="0" w:color="000000"/>
              <w:bottom w:val="single" w:sz="4" w:space="0" w:color="000000"/>
              <w:right w:val="single" w:sz="4" w:space="0" w:color="000000"/>
            </w:tcBorders>
            <w:vAlign w:val="center"/>
          </w:tcPr>
          <w:p w14:paraId="79207822"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Project ID: </w:t>
            </w:r>
          </w:p>
        </w:tc>
      </w:tr>
      <w:tr w:rsidR="00A4494F" w14:paraId="5A5D5989" w14:textId="77777777">
        <w:tc>
          <w:tcPr>
            <w:tcW w:w="6732" w:type="dxa"/>
            <w:gridSpan w:val="5"/>
            <w:tcBorders>
              <w:top w:val="single" w:sz="8" w:space="0" w:color="000000"/>
              <w:left w:val="single" w:sz="4" w:space="0" w:color="000000"/>
              <w:bottom w:val="single" w:sz="8" w:space="0" w:color="000000"/>
              <w:right w:val="single" w:sz="8" w:space="0" w:color="000000"/>
            </w:tcBorders>
            <w:vAlign w:val="center"/>
          </w:tcPr>
          <w:p w14:paraId="3A8C12A5"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Project Manager: </w:t>
            </w:r>
          </w:p>
        </w:tc>
        <w:tc>
          <w:tcPr>
            <w:tcW w:w="2844" w:type="dxa"/>
            <w:gridSpan w:val="3"/>
            <w:tcBorders>
              <w:top w:val="single" w:sz="8" w:space="0" w:color="000000"/>
              <w:left w:val="single" w:sz="8" w:space="0" w:color="000000"/>
              <w:bottom w:val="single" w:sz="8" w:space="0" w:color="000000"/>
              <w:right w:val="single" w:sz="4" w:space="0" w:color="000000"/>
            </w:tcBorders>
            <w:vAlign w:val="center"/>
          </w:tcPr>
          <w:p w14:paraId="2AB41A2F"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Ext: </w:t>
            </w:r>
          </w:p>
        </w:tc>
      </w:tr>
      <w:tr w:rsidR="00A4494F" w14:paraId="1433B545" w14:textId="77777777">
        <w:tc>
          <w:tcPr>
            <w:tcW w:w="6742" w:type="dxa"/>
            <w:gridSpan w:val="6"/>
            <w:tcBorders>
              <w:top w:val="single" w:sz="8" w:space="0" w:color="000000"/>
              <w:left w:val="single" w:sz="4" w:space="0" w:color="000000"/>
              <w:bottom w:val="single" w:sz="8" w:space="0" w:color="000000"/>
              <w:right w:val="single" w:sz="8" w:space="0" w:color="000000"/>
            </w:tcBorders>
            <w:vAlign w:val="center"/>
          </w:tcPr>
          <w:p w14:paraId="4A40BC27"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Requested by: </w:t>
            </w:r>
          </w:p>
        </w:tc>
        <w:tc>
          <w:tcPr>
            <w:tcW w:w="2834" w:type="dxa"/>
            <w:gridSpan w:val="2"/>
            <w:tcBorders>
              <w:top w:val="single" w:sz="8" w:space="0" w:color="000000"/>
              <w:left w:val="single" w:sz="8" w:space="0" w:color="000000"/>
              <w:bottom w:val="single" w:sz="8" w:space="0" w:color="000000"/>
              <w:right w:val="single" w:sz="4" w:space="0" w:color="000000"/>
            </w:tcBorders>
            <w:vAlign w:val="center"/>
          </w:tcPr>
          <w:p w14:paraId="307F06C6"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Ext: </w:t>
            </w:r>
          </w:p>
        </w:tc>
      </w:tr>
      <w:tr w:rsidR="00A4494F" w14:paraId="74A0695C" w14:textId="77777777">
        <w:tc>
          <w:tcPr>
            <w:tcW w:w="9576" w:type="dxa"/>
            <w:gridSpan w:val="8"/>
            <w:tcBorders>
              <w:top w:val="single" w:sz="8" w:space="0" w:color="000000"/>
              <w:left w:val="single" w:sz="4" w:space="0" w:color="000000"/>
              <w:bottom w:val="single" w:sz="4" w:space="0" w:color="000000"/>
              <w:right w:val="single" w:sz="4" w:space="0" w:color="000000"/>
            </w:tcBorders>
            <w:vAlign w:val="center"/>
          </w:tcPr>
          <w:p w14:paraId="1EBDDBA7"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SOW:</w:t>
            </w:r>
          </w:p>
        </w:tc>
      </w:tr>
      <w:tr w:rsidR="00A4494F" w14:paraId="438F28E9" w14:textId="77777777">
        <w:tc>
          <w:tcPr>
            <w:tcW w:w="9576" w:type="dxa"/>
            <w:gridSpan w:val="8"/>
            <w:tcBorders>
              <w:top w:val="single" w:sz="8" w:space="0" w:color="000000"/>
              <w:left w:val="single" w:sz="6" w:space="0" w:color="000000"/>
              <w:bottom w:val="single" w:sz="8" w:space="0" w:color="000000"/>
              <w:right w:val="single" w:sz="6" w:space="0" w:color="000000"/>
            </w:tcBorders>
            <w:vAlign w:val="center"/>
          </w:tcPr>
          <w:p w14:paraId="48F6EA81" w14:textId="77777777" w:rsidR="00A4494F" w:rsidRDefault="00000000">
            <w:pPr>
              <w:pStyle w:val="Heading4"/>
              <w:keepNext w:val="0"/>
              <w:keepLines w:val="0"/>
              <w:widowControl w:val="0"/>
              <w:spacing w:before="120" w:after="120" w:line="240" w:lineRule="auto"/>
              <w:ind w:left="216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Project Deliverable Description</w:t>
            </w:r>
          </w:p>
        </w:tc>
      </w:tr>
      <w:tr w:rsidR="00A4494F" w14:paraId="03FBFF48" w14:textId="77777777">
        <w:tc>
          <w:tcPr>
            <w:tcW w:w="4788" w:type="dxa"/>
            <w:gridSpan w:val="3"/>
            <w:tcBorders>
              <w:top w:val="single" w:sz="6" w:space="0" w:color="000000"/>
              <w:left w:val="single" w:sz="6" w:space="0" w:color="000000"/>
              <w:bottom w:val="single" w:sz="6" w:space="0" w:color="000000"/>
              <w:right w:val="single" w:sz="6" w:space="0" w:color="000000"/>
            </w:tcBorders>
            <w:vAlign w:val="center"/>
          </w:tcPr>
          <w:p w14:paraId="66214883"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Due Date: </w:t>
            </w:r>
          </w:p>
        </w:tc>
        <w:tc>
          <w:tcPr>
            <w:tcW w:w="2239" w:type="dxa"/>
            <w:gridSpan w:val="4"/>
            <w:tcBorders>
              <w:top w:val="single" w:sz="6" w:space="0" w:color="000000"/>
              <w:left w:val="single" w:sz="6" w:space="0" w:color="000000"/>
              <w:bottom w:val="single" w:sz="6" w:space="0" w:color="000000"/>
              <w:right w:val="single" w:sz="6" w:space="0" w:color="000000"/>
            </w:tcBorders>
            <w:vAlign w:val="center"/>
          </w:tcPr>
          <w:p w14:paraId="25E7A993"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Requirement#:                   </w:t>
            </w:r>
          </w:p>
        </w:tc>
        <w:tc>
          <w:tcPr>
            <w:tcW w:w="2549" w:type="dxa"/>
            <w:tcBorders>
              <w:top w:val="single" w:sz="6" w:space="0" w:color="000000"/>
              <w:left w:val="single" w:sz="6" w:space="0" w:color="000000"/>
              <w:bottom w:val="single" w:sz="6" w:space="0" w:color="000000"/>
              <w:right w:val="single" w:sz="6" w:space="0" w:color="000000"/>
            </w:tcBorders>
            <w:vAlign w:val="center"/>
          </w:tcPr>
          <w:p w14:paraId="43613A07"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Deliverable#:</w:t>
            </w:r>
          </w:p>
        </w:tc>
      </w:tr>
      <w:tr w:rsidR="00A4494F" w14:paraId="5976F9C2" w14:textId="77777777">
        <w:tc>
          <w:tcPr>
            <w:tcW w:w="9576" w:type="dxa"/>
            <w:gridSpan w:val="8"/>
            <w:tcBorders>
              <w:top w:val="single" w:sz="6" w:space="0" w:color="000000"/>
              <w:left w:val="single" w:sz="6" w:space="0" w:color="000000"/>
              <w:bottom w:val="single" w:sz="6" w:space="0" w:color="000000"/>
              <w:right w:val="single" w:sz="6" w:space="0" w:color="000000"/>
            </w:tcBorders>
            <w:vAlign w:val="center"/>
          </w:tcPr>
          <w:p w14:paraId="757D0D5F"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Deliver to:</w:t>
            </w:r>
          </w:p>
        </w:tc>
      </w:tr>
      <w:tr w:rsidR="00A4494F" w14:paraId="1109CA87" w14:textId="77777777">
        <w:tc>
          <w:tcPr>
            <w:tcW w:w="9576" w:type="dxa"/>
            <w:gridSpan w:val="8"/>
            <w:tcBorders>
              <w:top w:val="single" w:sz="8" w:space="0" w:color="000000"/>
              <w:left w:val="single" w:sz="6" w:space="0" w:color="000000"/>
              <w:bottom w:val="single" w:sz="6" w:space="0" w:color="000000"/>
              <w:right w:val="single" w:sz="6" w:space="0" w:color="000000"/>
            </w:tcBorders>
            <w:vAlign w:val="center"/>
          </w:tcPr>
          <w:p w14:paraId="4458783E"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Resource(s) Responsible: </w:t>
            </w:r>
          </w:p>
        </w:tc>
      </w:tr>
      <w:tr w:rsidR="00A4494F" w14:paraId="2AE9483B" w14:textId="77777777">
        <w:trPr>
          <w:trHeight w:val="1407"/>
        </w:trPr>
        <w:tc>
          <w:tcPr>
            <w:tcW w:w="9576" w:type="dxa"/>
            <w:gridSpan w:val="8"/>
            <w:tcBorders>
              <w:top w:val="single" w:sz="6" w:space="0" w:color="000000"/>
              <w:left w:val="single" w:sz="6" w:space="0" w:color="000000"/>
              <w:bottom w:val="single" w:sz="6" w:space="0" w:color="000000"/>
              <w:right w:val="single" w:sz="6" w:space="0" w:color="000000"/>
            </w:tcBorders>
            <w:vAlign w:val="center"/>
          </w:tcPr>
          <w:p w14:paraId="3FAB5504"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Deliverable Description: </w:t>
            </w:r>
          </w:p>
        </w:tc>
      </w:tr>
      <w:tr w:rsidR="00A4494F" w14:paraId="4AEF825D" w14:textId="77777777">
        <w:tc>
          <w:tcPr>
            <w:tcW w:w="9576" w:type="dxa"/>
            <w:gridSpan w:val="8"/>
            <w:tcBorders>
              <w:left w:val="single" w:sz="6" w:space="0" w:color="000000"/>
              <w:bottom w:val="single" w:sz="6" w:space="0" w:color="000000"/>
              <w:right w:val="single" w:sz="6" w:space="0" w:color="000000"/>
            </w:tcBorders>
            <w:vAlign w:val="center"/>
          </w:tcPr>
          <w:p w14:paraId="5284C7BD" w14:textId="77777777" w:rsidR="00A4494F" w:rsidRDefault="00000000">
            <w:pPr>
              <w:pStyle w:val="Heading4"/>
              <w:keepNext w:val="0"/>
              <w:keepLines w:val="0"/>
              <w:widowControl w:val="0"/>
              <w:spacing w:before="120" w:after="120" w:line="240" w:lineRule="auto"/>
              <w:ind w:left="216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Deliverable Review </w:t>
            </w:r>
          </w:p>
        </w:tc>
      </w:tr>
      <w:tr w:rsidR="00A4494F" w14:paraId="18035AB4" w14:textId="77777777">
        <w:tc>
          <w:tcPr>
            <w:tcW w:w="4175" w:type="dxa"/>
            <w:gridSpan w:val="2"/>
            <w:tcBorders>
              <w:left w:val="single" w:sz="12" w:space="0" w:color="000000"/>
              <w:bottom w:val="single" w:sz="12" w:space="0" w:color="000000"/>
              <w:right w:val="single" w:sz="12" w:space="0" w:color="000000"/>
            </w:tcBorders>
            <w:vAlign w:val="center"/>
          </w:tcPr>
          <w:p w14:paraId="6169086B" w14:textId="77777777" w:rsidR="00A4494F" w:rsidRDefault="00000000">
            <w:pPr>
              <w:widowControl w:val="0"/>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Review Signatures:</w:t>
            </w:r>
          </w:p>
        </w:tc>
        <w:tc>
          <w:tcPr>
            <w:tcW w:w="1871" w:type="dxa"/>
            <w:gridSpan w:val="2"/>
            <w:tcBorders>
              <w:left w:val="nil"/>
              <w:bottom w:val="single" w:sz="12" w:space="0" w:color="000000"/>
              <w:right w:val="single" w:sz="12" w:space="0" w:color="000000"/>
            </w:tcBorders>
            <w:vAlign w:val="center"/>
          </w:tcPr>
          <w:p w14:paraId="1574DA86"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Date:</w:t>
            </w:r>
          </w:p>
        </w:tc>
        <w:tc>
          <w:tcPr>
            <w:tcW w:w="3530" w:type="dxa"/>
            <w:gridSpan w:val="4"/>
            <w:tcBorders>
              <w:left w:val="nil"/>
              <w:bottom w:val="single" w:sz="12" w:space="0" w:color="000000"/>
              <w:right w:val="single" w:sz="12" w:space="0" w:color="000000"/>
            </w:tcBorders>
            <w:vAlign w:val="center"/>
          </w:tcPr>
          <w:p w14:paraId="3EEFFE80" w14:textId="77777777" w:rsidR="00A4494F" w:rsidRDefault="00000000">
            <w:pPr>
              <w:widowControl w:val="0"/>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Comments:</w:t>
            </w:r>
          </w:p>
        </w:tc>
      </w:tr>
      <w:tr w:rsidR="00A4494F" w14:paraId="7397149B" w14:textId="77777777">
        <w:tc>
          <w:tcPr>
            <w:tcW w:w="4175" w:type="dxa"/>
            <w:gridSpan w:val="2"/>
            <w:tcBorders>
              <w:top w:val="nil"/>
              <w:left w:val="single" w:sz="12" w:space="0" w:color="000000"/>
              <w:right w:val="single" w:sz="12" w:space="0" w:color="000000"/>
            </w:tcBorders>
            <w:vAlign w:val="center"/>
          </w:tcPr>
          <w:p w14:paraId="53BB7BF0"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1871" w:type="dxa"/>
            <w:gridSpan w:val="2"/>
            <w:tcBorders>
              <w:top w:val="nil"/>
              <w:left w:val="nil"/>
              <w:right w:val="single" w:sz="12" w:space="0" w:color="000000"/>
            </w:tcBorders>
            <w:vAlign w:val="center"/>
          </w:tcPr>
          <w:p w14:paraId="5A8E8A24"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3530" w:type="dxa"/>
            <w:gridSpan w:val="4"/>
            <w:tcBorders>
              <w:top w:val="nil"/>
              <w:left w:val="nil"/>
              <w:right w:val="single" w:sz="12" w:space="0" w:color="000000"/>
            </w:tcBorders>
            <w:vAlign w:val="center"/>
          </w:tcPr>
          <w:p w14:paraId="29566CC2"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r>
      <w:tr w:rsidR="00A4494F" w14:paraId="399DF7AC" w14:textId="77777777">
        <w:tc>
          <w:tcPr>
            <w:tcW w:w="4175" w:type="dxa"/>
            <w:gridSpan w:val="2"/>
            <w:tcBorders>
              <w:left w:val="single" w:sz="12" w:space="0" w:color="000000"/>
              <w:right w:val="single" w:sz="12" w:space="0" w:color="000000"/>
            </w:tcBorders>
            <w:vAlign w:val="center"/>
          </w:tcPr>
          <w:p w14:paraId="05FE7F1D"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1871" w:type="dxa"/>
            <w:gridSpan w:val="2"/>
            <w:tcBorders>
              <w:left w:val="nil"/>
              <w:right w:val="single" w:sz="12" w:space="0" w:color="000000"/>
            </w:tcBorders>
            <w:vAlign w:val="center"/>
          </w:tcPr>
          <w:p w14:paraId="0F5F384E"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3530" w:type="dxa"/>
            <w:gridSpan w:val="4"/>
            <w:tcBorders>
              <w:left w:val="nil"/>
              <w:right w:val="single" w:sz="12" w:space="0" w:color="000000"/>
            </w:tcBorders>
            <w:vAlign w:val="center"/>
          </w:tcPr>
          <w:p w14:paraId="52FFC7B9"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r>
      <w:tr w:rsidR="00A4494F" w14:paraId="58BC36E7" w14:textId="77777777">
        <w:tc>
          <w:tcPr>
            <w:tcW w:w="9576" w:type="dxa"/>
            <w:gridSpan w:val="8"/>
            <w:tcBorders>
              <w:left w:val="single" w:sz="6" w:space="0" w:color="000000"/>
              <w:bottom w:val="single" w:sz="6" w:space="0" w:color="000000"/>
              <w:right w:val="single" w:sz="6" w:space="0" w:color="000000"/>
            </w:tcBorders>
            <w:vAlign w:val="center"/>
          </w:tcPr>
          <w:p w14:paraId="7C3357CC" w14:textId="77777777" w:rsidR="00A4494F" w:rsidRDefault="00000000">
            <w:pPr>
              <w:pStyle w:val="Heading4"/>
              <w:keepNext w:val="0"/>
              <w:keepLines w:val="0"/>
              <w:widowControl w:val="0"/>
              <w:spacing w:before="120" w:after="120" w:line="240" w:lineRule="auto"/>
              <w:ind w:left="216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Deliverable Approval</w:t>
            </w:r>
          </w:p>
        </w:tc>
      </w:tr>
      <w:tr w:rsidR="00A4494F" w14:paraId="6DE87C84" w14:textId="77777777">
        <w:tc>
          <w:tcPr>
            <w:tcW w:w="4175" w:type="dxa"/>
            <w:gridSpan w:val="2"/>
            <w:tcBorders>
              <w:left w:val="single" w:sz="12" w:space="0" w:color="000000"/>
              <w:bottom w:val="single" w:sz="12" w:space="0" w:color="000000"/>
              <w:right w:val="single" w:sz="12" w:space="0" w:color="000000"/>
            </w:tcBorders>
            <w:vAlign w:val="center"/>
          </w:tcPr>
          <w:p w14:paraId="47931741" w14:textId="77777777" w:rsidR="00A4494F" w:rsidRDefault="00000000">
            <w:pPr>
              <w:widowControl w:val="0"/>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Approval Signatures:</w:t>
            </w:r>
          </w:p>
        </w:tc>
        <w:tc>
          <w:tcPr>
            <w:tcW w:w="1871" w:type="dxa"/>
            <w:gridSpan w:val="2"/>
            <w:tcBorders>
              <w:left w:val="nil"/>
              <w:bottom w:val="single" w:sz="12" w:space="0" w:color="000000"/>
              <w:right w:val="single" w:sz="12" w:space="0" w:color="000000"/>
            </w:tcBorders>
            <w:vAlign w:val="center"/>
          </w:tcPr>
          <w:p w14:paraId="70F0028F"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Date:</w:t>
            </w:r>
          </w:p>
        </w:tc>
        <w:tc>
          <w:tcPr>
            <w:tcW w:w="3530" w:type="dxa"/>
            <w:gridSpan w:val="4"/>
            <w:tcBorders>
              <w:left w:val="nil"/>
              <w:bottom w:val="single" w:sz="12" w:space="0" w:color="000000"/>
              <w:right w:val="single" w:sz="12" w:space="0" w:color="000000"/>
            </w:tcBorders>
            <w:vAlign w:val="center"/>
          </w:tcPr>
          <w:p w14:paraId="429F2202" w14:textId="77777777" w:rsidR="00A4494F" w:rsidRDefault="00000000">
            <w:pPr>
              <w:widowControl w:val="0"/>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Comments:</w:t>
            </w:r>
          </w:p>
        </w:tc>
      </w:tr>
      <w:tr w:rsidR="00A4494F" w14:paraId="73922E26" w14:textId="77777777">
        <w:tc>
          <w:tcPr>
            <w:tcW w:w="4175" w:type="dxa"/>
            <w:gridSpan w:val="2"/>
            <w:tcBorders>
              <w:top w:val="nil"/>
              <w:left w:val="single" w:sz="12" w:space="0" w:color="000000"/>
              <w:right w:val="single" w:sz="12" w:space="0" w:color="000000"/>
            </w:tcBorders>
            <w:vAlign w:val="center"/>
          </w:tcPr>
          <w:p w14:paraId="0AFDD356"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1871" w:type="dxa"/>
            <w:gridSpan w:val="2"/>
            <w:tcBorders>
              <w:top w:val="nil"/>
              <w:left w:val="nil"/>
              <w:right w:val="single" w:sz="12" w:space="0" w:color="000000"/>
            </w:tcBorders>
            <w:vAlign w:val="center"/>
          </w:tcPr>
          <w:p w14:paraId="46A135A0"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3530" w:type="dxa"/>
            <w:gridSpan w:val="4"/>
            <w:tcBorders>
              <w:top w:val="nil"/>
              <w:left w:val="nil"/>
              <w:right w:val="single" w:sz="12" w:space="0" w:color="000000"/>
            </w:tcBorders>
            <w:vAlign w:val="center"/>
          </w:tcPr>
          <w:p w14:paraId="31931B7C"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r>
      <w:tr w:rsidR="00A4494F" w14:paraId="578E7E88" w14:textId="77777777">
        <w:tc>
          <w:tcPr>
            <w:tcW w:w="4175" w:type="dxa"/>
            <w:gridSpan w:val="2"/>
            <w:tcBorders>
              <w:left w:val="single" w:sz="12" w:space="0" w:color="000000"/>
              <w:right w:val="single" w:sz="12" w:space="0" w:color="000000"/>
            </w:tcBorders>
            <w:vAlign w:val="center"/>
          </w:tcPr>
          <w:p w14:paraId="4A015A4B"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1871" w:type="dxa"/>
            <w:gridSpan w:val="2"/>
            <w:tcBorders>
              <w:left w:val="nil"/>
              <w:right w:val="single" w:sz="12" w:space="0" w:color="000000"/>
            </w:tcBorders>
            <w:vAlign w:val="center"/>
          </w:tcPr>
          <w:p w14:paraId="30F1DE11"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3530" w:type="dxa"/>
            <w:gridSpan w:val="4"/>
            <w:tcBorders>
              <w:left w:val="nil"/>
              <w:right w:val="single" w:sz="12" w:space="0" w:color="000000"/>
            </w:tcBorders>
            <w:vAlign w:val="center"/>
          </w:tcPr>
          <w:p w14:paraId="49E0FE74"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r>
    </w:tbl>
    <w:p w14:paraId="109911CF" w14:textId="77777777" w:rsidR="00A4494F" w:rsidRDefault="00A4494F">
      <w:pPr>
        <w:widowControl w:val="0"/>
        <w:spacing w:line="240" w:lineRule="auto"/>
        <w:rPr>
          <w:rFonts w:ascii="Times New Roman" w:eastAsia="Times New Roman" w:hAnsi="Times New Roman" w:cs="Times New Roman"/>
          <w:sz w:val="16"/>
          <w:szCs w:val="16"/>
        </w:rPr>
      </w:pPr>
    </w:p>
    <w:p w14:paraId="5B4CE2FA" w14:textId="77777777" w:rsidR="00A4494F" w:rsidRDefault="00A4494F">
      <w:pPr>
        <w:spacing w:line="240" w:lineRule="auto"/>
        <w:jc w:val="center"/>
        <w:rPr>
          <w:rFonts w:ascii="Times New Roman" w:eastAsia="Times New Roman" w:hAnsi="Times New Roman" w:cs="Times New Roman"/>
          <w:sz w:val="24"/>
          <w:szCs w:val="24"/>
        </w:rPr>
      </w:pPr>
    </w:p>
    <w:p w14:paraId="2FAC742D" w14:textId="77777777" w:rsidR="00A4494F" w:rsidRDefault="00A4494F">
      <w:pPr>
        <w:spacing w:line="240" w:lineRule="auto"/>
        <w:rPr>
          <w:rFonts w:ascii="Times New Roman" w:eastAsia="Times New Roman" w:hAnsi="Times New Roman" w:cs="Times New Roman"/>
          <w:sz w:val="24"/>
          <w:szCs w:val="24"/>
        </w:rPr>
      </w:pPr>
    </w:p>
    <w:p w14:paraId="05F1B6A5" w14:textId="77777777" w:rsidR="00A4494F" w:rsidRDefault="00A4494F"/>
    <w:sectPr w:rsidR="00A4494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FB02F27-2753-49BC-91AF-9A4E9DD9A21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C7823A2-822E-4289-A225-F1D17A192362}"/>
  </w:font>
  <w:font w:name="Cambria">
    <w:panose1 w:val="02040503050406030204"/>
    <w:charset w:val="00"/>
    <w:family w:val="roman"/>
    <w:pitch w:val="variable"/>
    <w:sig w:usb0="E00006FF" w:usb1="420024FF" w:usb2="02000000" w:usb3="00000000" w:csb0="0000019F" w:csb1="00000000"/>
    <w:embedRegular r:id="rId3" w:fontKey="{1A3ED9DE-8909-4D8B-9DAB-155320020F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40D"/>
    <w:multiLevelType w:val="multilevel"/>
    <w:tmpl w:val="6C208666"/>
    <w:lvl w:ilvl="0">
      <w:start w:val="1"/>
      <w:numFmt w:val="decimal"/>
      <w:lvlText w:val="%1.0"/>
      <w:lvlJc w:val="left"/>
      <w:pPr>
        <w:ind w:left="720" w:hanging="720"/>
      </w:pPr>
      <w:rPr>
        <w:rFonts w:ascii="Times New Roman" w:eastAsia="Times New Roman" w:hAnsi="Times New Roman" w:cs="Times New Roman"/>
        <w:b/>
        <w:bCs/>
        <w:i w:val="0"/>
        <w:iCs w:val="0"/>
        <w:sz w:val="22"/>
        <w:szCs w:val="22"/>
        <w:u w:val="none"/>
        <w:vertAlign w:val="baseline"/>
      </w:rPr>
    </w:lvl>
    <w:lvl w:ilvl="1">
      <w:start w:val="1"/>
      <w:numFmt w:val="decimal"/>
      <w:lvlText w:val="%1.%2"/>
      <w:lvlJc w:val="left"/>
      <w:pPr>
        <w:ind w:left="1440" w:hanging="720"/>
      </w:pPr>
      <w:rPr>
        <w:b/>
        <w:bCs/>
        <w:i w:val="0"/>
        <w:iCs w:val="0"/>
        <w:sz w:val="22"/>
        <w:szCs w:val="22"/>
        <w:vertAlign w:val="baseline"/>
      </w:rPr>
    </w:lvl>
    <w:lvl w:ilvl="2">
      <w:start w:val="1"/>
      <w:numFmt w:val="decimal"/>
      <w:lvlText w:val="%1.%2.%3"/>
      <w:lvlJc w:val="left"/>
      <w:pPr>
        <w:ind w:left="2160" w:hanging="720"/>
      </w:pPr>
      <w:rPr>
        <w:b/>
        <w:bCs/>
        <w:i w:val="0"/>
        <w:iCs w:val="0"/>
        <w:u w:val="none"/>
        <w:vertAlign w:val="baseline"/>
      </w:rPr>
    </w:lvl>
    <w:lvl w:ilvl="3">
      <w:start w:val="1"/>
      <w:numFmt w:val="decimal"/>
      <w:lvlText w:val="%1.%2.%3.%4"/>
      <w:lvlJc w:val="left"/>
      <w:pPr>
        <w:ind w:left="2880" w:hanging="720"/>
      </w:pPr>
      <w:rPr>
        <w:b/>
        <w:bCs/>
        <w:i w:val="0"/>
        <w:iCs w:val="0"/>
        <w:vertAlign w:val="baseline"/>
      </w:rPr>
    </w:lvl>
    <w:lvl w:ilvl="4">
      <w:start w:val="1"/>
      <w:numFmt w:val="decimal"/>
      <w:lvlText w:val="%1.%2.%3.%4.%5"/>
      <w:lvlJc w:val="left"/>
      <w:pPr>
        <w:ind w:left="2232" w:hanging="792"/>
      </w:pPr>
      <w:rPr>
        <w:b/>
        <w:bCs/>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23C32CCF"/>
    <w:multiLevelType w:val="multilevel"/>
    <w:tmpl w:val="65282BE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6B4093A"/>
    <w:multiLevelType w:val="multilevel"/>
    <w:tmpl w:val="4300A77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EEF313E"/>
    <w:multiLevelType w:val="multilevel"/>
    <w:tmpl w:val="995A8AC2"/>
    <w:lvl w:ilvl="0">
      <w:start w:val="10"/>
      <w:numFmt w:val="decimal"/>
      <w:lvlText w:val="%1.0"/>
      <w:lvlJc w:val="left"/>
      <w:pPr>
        <w:ind w:left="630" w:hanging="540"/>
      </w:pPr>
      <w:rPr>
        <w:b/>
        <w:bCs/>
        <w:strike w:val="0"/>
        <w:u w:val="none"/>
        <w:vertAlign w:val="baseline"/>
      </w:rPr>
    </w:lvl>
    <w:lvl w:ilvl="1">
      <w:start w:val="1"/>
      <w:numFmt w:val="decimal"/>
      <w:lvlText w:val="%1.%2"/>
      <w:lvlJc w:val="left"/>
      <w:pPr>
        <w:ind w:left="1140" w:hanging="420"/>
      </w:pPr>
      <w:rPr>
        <w:b/>
        <w:bCs/>
        <w:strike w:val="0"/>
        <w:u w:val="none"/>
        <w:vertAlign w:val="baseline"/>
      </w:rPr>
    </w:lvl>
    <w:lvl w:ilvl="2">
      <w:start w:val="1"/>
      <w:numFmt w:val="decimal"/>
      <w:lvlText w:val="%1.%2.%3"/>
      <w:lvlJc w:val="left"/>
      <w:pPr>
        <w:ind w:left="2160" w:hanging="720"/>
      </w:pPr>
      <w:rPr>
        <w:rFonts w:ascii="Arial" w:eastAsia="Arial" w:hAnsi="Arial" w:cs="Arial"/>
        <w:b/>
        <w:bCs/>
        <w:strike w:val="0"/>
        <w:u w:val="none"/>
        <w:vertAlign w:val="baseline"/>
      </w:rPr>
    </w:lvl>
    <w:lvl w:ilvl="3">
      <w:start w:val="1"/>
      <w:numFmt w:val="decimal"/>
      <w:lvlText w:val="%1.%2.%3.%4"/>
      <w:lvlJc w:val="left"/>
      <w:pPr>
        <w:ind w:left="2880" w:hanging="720"/>
      </w:pPr>
      <w:rPr>
        <w:rFonts w:ascii="Arial" w:eastAsia="Arial" w:hAnsi="Arial" w:cs="Arial"/>
        <w:b/>
        <w:bCs/>
        <w:strike w:val="0"/>
        <w:u w:val="none"/>
        <w:vertAlign w:val="baseline"/>
      </w:rPr>
    </w:lvl>
    <w:lvl w:ilvl="4">
      <w:start w:val="1"/>
      <w:numFmt w:val="decimal"/>
      <w:lvlText w:val="%1.%2.%3.%4.%5"/>
      <w:lvlJc w:val="left"/>
      <w:pPr>
        <w:ind w:left="3960" w:hanging="1080"/>
      </w:pPr>
      <w:rPr>
        <w:strike w:val="0"/>
        <w:u w:val="none"/>
        <w:vertAlign w:val="baseline"/>
      </w:rPr>
    </w:lvl>
    <w:lvl w:ilvl="5">
      <w:start w:val="1"/>
      <w:numFmt w:val="decimal"/>
      <w:lvlText w:val="%1.%2.%3.%4.%5.%6"/>
      <w:lvlJc w:val="left"/>
      <w:pPr>
        <w:ind w:left="4680" w:hanging="1080"/>
      </w:pPr>
      <w:rPr>
        <w:strike w:val="0"/>
        <w:u w:val="none"/>
        <w:vertAlign w:val="baseline"/>
      </w:rPr>
    </w:lvl>
    <w:lvl w:ilvl="6">
      <w:start w:val="1"/>
      <w:numFmt w:val="decimal"/>
      <w:lvlText w:val="%1.%2.%3.%4.%5.%6.%7"/>
      <w:lvlJc w:val="left"/>
      <w:pPr>
        <w:ind w:left="5760" w:hanging="1440"/>
      </w:pPr>
      <w:rPr>
        <w:strike w:val="0"/>
        <w:u w:val="none"/>
        <w:vertAlign w:val="baseline"/>
      </w:rPr>
    </w:lvl>
    <w:lvl w:ilvl="7">
      <w:start w:val="1"/>
      <w:numFmt w:val="decimal"/>
      <w:lvlText w:val="%1.%2.%3.%4.%5.%6.%7.%8"/>
      <w:lvlJc w:val="left"/>
      <w:pPr>
        <w:ind w:left="6480" w:hanging="1440"/>
      </w:pPr>
      <w:rPr>
        <w:strike w:val="0"/>
        <w:u w:val="none"/>
        <w:vertAlign w:val="baseline"/>
      </w:rPr>
    </w:lvl>
    <w:lvl w:ilvl="8">
      <w:start w:val="1"/>
      <w:numFmt w:val="decimal"/>
      <w:lvlText w:val="%1.%2.%3.%4.%5.%6.%7.%8.%9"/>
      <w:lvlJc w:val="left"/>
      <w:pPr>
        <w:ind w:left="7200" w:hanging="1440"/>
      </w:pPr>
      <w:rPr>
        <w:strike w:val="0"/>
        <w:u w:val="none"/>
        <w:vertAlign w:val="baseline"/>
      </w:rPr>
    </w:lvl>
  </w:abstractNum>
  <w:abstractNum w:abstractNumId="4" w15:restartNumberingAfterBreak="0">
    <w:nsid w:val="30B25F2A"/>
    <w:multiLevelType w:val="multilevel"/>
    <w:tmpl w:val="1606422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39D23DD"/>
    <w:multiLevelType w:val="multilevel"/>
    <w:tmpl w:val="83B0791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2432DC0"/>
    <w:multiLevelType w:val="multilevel"/>
    <w:tmpl w:val="A7FAC2F6"/>
    <w:lvl w:ilvl="0">
      <w:start w:val="1"/>
      <w:numFmt w:val="decimal"/>
      <w:lvlText w:val="%1.0"/>
      <w:lvlJc w:val="left"/>
      <w:pPr>
        <w:ind w:left="720" w:hanging="720"/>
      </w:pPr>
      <w:rPr>
        <w:rFonts w:ascii="Times New Roman" w:eastAsia="Times New Roman" w:hAnsi="Times New Roman" w:cs="Times New Roman"/>
        <w:b/>
        <w:bCs/>
        <w:i w:val="0"/>
        <w:iCs w:val="0"/>
        <w:sz w:val="22"/>
        <w:szCs w:val="22"/>
        <w:u w:val="none"/>
        <w:vertAlign w:val="baseline"/>
      </w:rPr>
    </w:lvl>
    <w:lvl w:ilvl="1">
      <w:start w:val="1"/>
      <w:numFmt w:val="decimal"/>
      <w:lvlText w:val="%1.%2"/>
      <w:lvlJc w:val="left"/>
      <w:pPr>
        <w:ind w:left="1440" w:hanging="720"/>
      </w:pPr>
      <w:rPr>
        <w:b/>
        <w:bCs/>
        <w:i w:val="0"/>
        <w:iCs w:val="0"/>
        <w:sz w:val="22"/>
        <w:szCs w:val="22"/>
        <w:vertAlign w:val="baseline"/>
      </w:rPr>
    </w:lvl>
    <w:lvl w:ilvl="2">
      <w:start w:val="1"/>
      <w:numFmt w:val="decimal"/>
      <w:lvlText w:val="%1.%2.%3"/>
      <w:lvlJc w:val="left"/>
      <w:pPr>
        <w:ind w:left="2160" w:hanging="720"/>
      </w:pPr>
      <w:rPr>
        <w:b/>
        <w:bCs/>
        <w:i w:val="0"/>
        <w:iCs w:val="0"/>
        <w:u w:val="none"/>
        <w:vertAlign w:val="baseline"/>
      </w:rPr>
    </w:lvl>
    <w:lvl w:ilvl="3">
      <w:start w:val="1"/>
      <w:numFmt w:val="decimal"/>
      <w:lvlText w:val="%1.%2.%3.%4"/>
      <w:lvlJc w:val="left"/>
      <w:pPr>
        <w:ind w:left="2880" w:hanging="720"/>
      </w:pPr>
      <w:rPr>
        <w:b/>
        <w:bCs/>
        <w:i w:val="0"/>
        <w:iCs w:val="0"/>
        <w:vertAlign w:val="baseline"/>
      </w:rPr>
    </w:lvl>
    <w:lvl w:ilvl="4">
      <w:start w:val="1"/>
      <w:numFmt w:val="decimal"/>
      <w:lvlText w:val="%1.%2.%3.%4.%5"/>
      <w:lvlJc w:val="left"/>
      <w:pPr>
        <w:ind w:left="2232" w:hanging="792"/>
      </w:pPr>
      <w:rPr>
        <w:b/>
        <w:bCs/>
        <w:vertAlign w:val="baseline"/>
      </w:rPr>
    </w:lvl>
    <w:lvl w:ilvl="5">
      <w:start w:val="1"/>
      <w:numFmt w:val="decimal"/>
      <w:lvlText w:val="%1.%2.%3.%4.%5.%6"/>
      <w:lvlJc w:val="left"/>
      <w:pPr>
        <w:ind w:left="2736" w:hanging="934"/>
      </w:pPr>
      <w:rPr>
        <w:b/>
        <w:bCs/>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7" w15:restartNumberingAfterBreak="0">
    <w:nsid w:val="7687699E"/>
    <w:multiLevelType w:val="multilevel"/>
    <w:tmpl w:val="52B8B5D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6771380">
    <w:abstractNumId w:val="5"/>
  </w:num>
  <w:num w:numId="2" w16cid:durableId="114180416">
    <w:abstractNumId w:val="0"/>
  </w:num>
  <w:num w:numId="3" w16cid:durableId="217010229">
    <w:abstractNumId w:val="6"/>
  </w:num>
  <w:num w:numId="4" w16cid:durableId="1685738967">
    <w:abstractNumId w:val="2"/>
  </w:num>
  <w:num w:numId="5" w16cid:durableId="66466119">
    <w:abstractNumId w:val="7"/>
  </w:num>
  <w:num w:numId="6" w16cid:durableId="2008090406">
    <w:abstractNumId w:val="1"/>
  </w:num>
  <w:num w:numId="7" w16cid:durableId="1099106580">
    <w:abstractNumId w:val="4"/>
  </w:num>
  <w:num w:numId="8" w16cid:durableId="929042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94F"/>
    <w:rsid w:val="000B67C7"/>
    <w:rsid w:val="001C5D51"/>
    <w:rsid w:val="001D419C"/>
    <w:rsid w:val="002F3F1B"/>
    <w:rsid w:val="00582972"/>
    <w:rsid w:val="00703B70"/>
    <w:rsid w:val="007B7C45"/>
    <w:rsid w:val="00A4494F"/>
    <w:rsid w:val="00C92C41"/>
    <w:rsid w:val="00ED7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00BA"/>
  <w15:docId w15:val="{CD5696C8-D37C-432C-A80E-8EDBE4A8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xt4IS5Akz6cYcWphBp6JDYOmg==">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6565</Words>
  <Characters>37426</Characters>
  <Application>Microsoft Office Word</Application>
  <DocSecurity>0</DocSecurity>
  <Lines>311</Lines>
  <Paragraphs>87</Paragraphs>
  <ScaleCrop>false</ScaleCrop>
  <Company/>
  <LinksUpToDate>false</LinksUpToDate>
  <CharactersWithSpaces>43904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ANIKET KUMAR</cp:lastModifiedBy>
  <cp:revision>6</cp:revision>
  <dcterms:created xsi:type="dcterms:W3CDTF">2026-06-16T21:07:00Z</dcterms:created>
  <dcterms:modified xsi:type="dcterms:W3CDTF">2026-06-17T07:30:00Z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0x010100173DFF284732A2419111038AE2F01F05</vt:lpwstr>
  </property>
</Properties>
</file>