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720" w:lineRule="auto"/>
        <w:rPr>
          <w:rFonts w:ascii="Calibri" w:cs="Calibri" w:eastAsia="Calibri" w:hAnsi="Calibri"/>
          <w:b w:val="1"/>
          <w:bCs w:val="1"/>
          <w:color w:val="94a3b8"/>
          <w:sz w:val="18"/>
          <w:szCs w:val="18"/>
        </w:rPr>
      </w:pPr>
      <w:r w:rsidDel="00000000" w:rsidR="00000000" w:rsidRPr="00000000">
        <w:rPr>
          <w:rtl w:val="0"/>
        </w:rPr>
      </w:r>
    </w:p>
    <w:p w:rsidR="00000000" w:rsidDel="00000000" w:rsidP="00000000" w:rsidRDefault="00000000" w:rsidRPr="00000000" w14:paraId="00000002">
      <w:pPr>
        <w:spacing w:after="0" w:before="720" w:lineRule="auto"/>
        <w:rPr>
          <w:b w:val="1"/>
          <w:bCs w:val="1"/>
          <w:color w:val="94a3b8"/>
          <w:sz w:val="18"/>
          <w:szCs w:val="18"/>
        </w:rPr>
      </w:pPr>
      <w:r w:rsidDel="00000000" w:rsidR="00000000" w:rsidRPr="00000000">
        <w:rPr>
          <w:rtl w:val="0"/>
        </w:rPr>
      </w:r>
    </w:p>
    <w:p w:rsidR="00000000" w:rsidDel="00000000" w:rsidP="00000000" w:rsidRDefault="00000000" w:rsidRPr="00000000" w14:paraId="00000003">
      <w:pPr>
        <w:spacing w:after="0" w:before="720" w:lineRule="auto"/>
        <w:rPr>
          <w:b w:val="1"/>
          <w:bCs w:val="1"/>
          <w:color w:val="94a3b8"/>
          <w:sz w:val="18"/>
          <w:szCs w:val="18"/>
        </w:rPr>
      </w:pPr>
      <w:r w:rsidDel="00000000" w:rsidR="00000000" w:rsidRPr="00000000">
        <w:rPr>
          <w:rtl w:val="0"/>
        </w:rPr>
      </w:r>
    </w:p>
    <w:p w:rsidR="00000000" w:rsidDel="00000000" w:rsidP="00000000" w:rsidRDefault="00000000" w:rsidRPr="00000000" w14:paraId="00000004">
      <w:pPr>
        <w:spacing w:after="120" w:before="240" w:lineRule="auto"/>
        <w:jc w:val="center"/>
        <w:rPr>
          <w:sz w:val="144"/>
          <w:szCs w:val="144"/>
        </w:rPr>
      </w:pPr>
      <w:r w:rsidDel="00000000" w:rsidR="00000000" w:rsidRPr="00000000">
        <w:rPr>
          <w:rFonts w:ascii="Calibri" w:cs="Calibri" w:eastAsia="Calibri" w:hAnsi="Calibri"/>
          <w:b w:val="1"/>
          <w:bCs w:val="1"/>
          <w:color w:val="1e2761"/>
          <w:sz w:val="144"/>
          <w:szCs w:val="144"/>
          <w:rtl w:val="0"/>
        </w:rPr>
        <w:t xml:space="preserve">Automobile Sales</w:t>
      </w:r>
      <w:r w:rsidDel="00000000" w:rsidR="00000000" w:rsidRPr="00000000">
        <w:rPr>
          <w:rtl w:val="0"/>
        </w:rPr>
      </w:r>
    </w:p>
    <w:p w:rsidR="00000000" w:rsidDel="00000000" w:rsidP="00000000" w:rsidRDefault="00000000" w:rsidRPr="00000000" w14:paraId="00000005">
      <w:pPr>
        <w:spacing w:after="360" w:before="0" w:lineRule="auto"/>
        <w:jc w:val="center"/>
        <w:rPr>
          <w:sz w:val="144"/>
          <w:szCs w:val="144"/>
        </w:rPr>
      </w:pPr>
      <w:r w:rsidDel="00000000" w:rsidR="00000000" w:rsidRPr="00000000">
        <w:rPr>
          <w:rFonts w:ascii="Calibri" w:cs="Calibri" w:eastAsia="Calibri" w:hAnsi="Calibri"/>
          <w:b w:val="1"/>
          <w:bCs w:val="1"/>
          <w:color w:val="1e2761"/>
          <w:sz w:val="144"/>
          <w:szCs w:val="144"/>
          <w:rtl w:val="0"/>
        </w:rPr>
        <w:t xml:space="preserve">Market Analysis</w:t>
      </w:r>
      <w:r w:rsidDel="00000000" w:rsidR="00000000" w:rsidRPr="00000000">
        <w:rPr>
          <w:rtl w:val="0"/>
        </w:rPr>
      </w:r>
    </w:p>
    <w:p w:rsidR="00000000" w:rsidDel="00000000" w:rsidP="00000000" w:rsidRDefault="00000000" w:rsidRPr="00000000" w14:paraId="00000006">
      <w:pPr>
        <w:spacing w:after="480" w:before="0" w:lineRule="auto"/>
        <w:rPr>
          <w:color w:val="64748b"/>
          <w:sz w:val="20"/>
          <w:szCs w:val="20"/>
        </w:rPr>
      </w:pPr>
      <w:r w:rsidDel="00000000" w:rsidR="00000000" w:rsidRPr="00000000">
        <w:rPr>
          <w:rtl w:val="0"/>
        </w:rPr>
      </w:r>
    </w:p>
    <w:p w:rsidR="00000000" w:rsidDel="00000000" w:rsidP="00000000" w:rsidRDefault="00000000" w:rsidRPr="00000000" w14:paraId="00000007">
      <w:pPr>
        <w:spacing w:after="480" w:before="0" w:lineRule="auto"/>
        <w:rPr/>
      </w:pPr>
      <w:r w:rsidDel="00000000" w:rsidR="00000000" w:rsidRPr="00000000">
        <w:rPr>
          <w:rFonts w:ascii="Calibri" w:cs="Calibri" w:eastAsia="Calibri" w:hAnsi="Calibri"/>
          <w:color w:val="64748b"/>
          <w:sz w:val="20"/>
          <w:szCs w:val="20"/>
          <w:rtl w:val="0"/>
        </w:rPr>
        <w:t xml:space="preserve">Python  ·  PostgreSQL  ·  Power BI  ·  Pandas  ·  Matplotlib</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2d6bd4" w:space="0" w:sz="12" w:val="single"/>
              <w:left w:color="e2e8f0" w:space="0" w:sz="4" w:val="single"/>
              <w:bottom w:color="e2e8f0" w:space="0" w:sz="4" w:val="single"/>
              <w:right w:color="e2e8f0" w:space="0" w:sz="4" w:val="single"/>
            </w:tcBorders>
            <w:shd w:fill="eff6ff" w:val="clear"/>
            <w:tcMar>
              <w:top w:w="120.0" w:type="dxa"/>
              <w:left w:w="120.0" w:type="dxa"/>
              <w:bottom w:w="120.0" w:type="dxa"/>
              <w:right w:w="120.0" w:type="dxa"/>
            </w:tcMar>
          </w:tcPr>
          <w:p w:rsidR="00000000" w:rsidDel="00000000" w:rsidP="00000000" w:rsidRDefault="00000000" w:rsidRPr="00000000" w14:paraId="00000008">
            <w:pPr>
              <w:spacing w:after="40" w:before="60" w:lineRule="auto"/>
              <w:jc w:val="center"/>
              <w:rPr/>
            </w:pPr>
            <w:r w:rsidDel="00000000" w:rsidR="00000000" w:rsidRPr="00000000">
              <w:rPr>
                <w:rFonts w:ascii="Calibri" w:cs="Calibri" w:eastAsia="Calibri" w:hAnsi="Calibri"/>
                <w:b w:val="1"/>
                <w:bCs w:val="1"/>
                <w:color w:val="1e2761"/>
                <w:sz w:val="36"/>
                <w:szCs w:val="36"/>
                <w:rtl w:val="0"/>
              </w:rPr>
              <w:t xml:space="preserve">10,000</w:t>
            </w:r>
            <w:r w:rsidDel="00000000" w:rsidR="00000000" w:rsidRPr="00000000">
              <w:rPr>
                <w:rtl w:val="0"/>
              </w:rPr>
            </w:r>
          </w:p>
          <w:p w:rsidR="00000000" w:rsidDel="00000000" w:rsidP="00000000" w:rsidRDefault="00000000" w:rsidRPr="00000000" w14:paraId="00000009">
            <w:pPr>
              <w:spacing w:after="40" w:before="0" w:lineRule="auto"/>
              <w:jc w:val="center"/>
              <w:rPr/>
            </w:pPr>
            <w:r w:rsidDel="00000000" w:rsidR="00000000" w:rsidRPr="00000000">
              <w:rPr>
                <w:rFonts w:ascii="Calibri" w:cs="Calibri" w:eastAsia="Calibri" w:hAnsi="Calibri"/>
                <w:b w:val="1"/>
                <w:bCs w:val="1"/>
                <w:color w:val="2d6bd4"/>
                <w:sz w:val="18"/>
                <w:szCs w:val="18"/>
                <w:rtl w:val="0"/>
              </w:rPr>
              <w:t xml:space="preserve">Transactions</w:t>
            </w:r>
            <w:r w:rsidDel="00000000" w:rsidR="00000000" w:rsidRPr="00000000">
              <w:rPr>
                <w:rtl w:val="0"/>
              </w:rPr>
            </w:r>
          </w:p>
          <w:p w:rsidR="00000000" w:rsidDel="00000000" w:rsidP="00000000" w:rsidRDefault="00000000" w:rsidRPr="00000000" w14:paraId="0000000A">
            <w:pPr>
              <w:spacing w:after="60" w:before="0" w:lineRule="auto"/>
              <w:jc w:val="center"/>
              <w:rPr/>
            </w:pPr>
            <w:r w:rsidDel="00000000" w:rsidR="00000000" w:rsidRPr="00000000">
              <w:rPr>
                <w:rFonts w:ascii="Calibri" w:cs="Calibri" w:eastAsia="Calibri" w:hAnsi="Calibri"/>
                <w:color w:val="64748b"/>
                <w:sz w:val="16"/>
                <w:szCs w:val="16"/>
                <w:rtl w:val="0"/>
              </w:rPr>
              <w:t xml:space="preserve">Clean dataset</w:t>
            </w:r>
            <w:r w:rsidDel="00000000" w:rsidR="00000000" w:rsidRPr="00000000">
              <w:rPr>
                <w:rtl w:val="0"/>
              </w:rPr>
            </w:r>
          </w:p>
        </w:tc>
        <w:tc>
          <w:tcPr>
            <w:tcBorders>
              <w:top w:color="2d6bd4" w:space="0" w:sz="12" w:val="single"/>
              <w:left w:color="e2e8f0" w:space="0" w:sz="4" w:val="single"/>
              <w:bottom w:color="e2e8f0" w:space="0" w:sz="4" w:val="single"/>
              <w:right w:color="e2e8f0" w:space="0" w:sz="4" w:val="single"/>
            </w:tcBorders>
            <w:shd w:fill="eff6ff" w:val="clear"/>
            <w:tcMar>
              <w:top w:w="120.0" w:type="dxa"/>
              <w:left w:w="120.0" w:type="dxa"/>
              <w:bottom w:w="120.0" w:type="dxa"/>
              <w:right w:w="120.0" w:type="dxa"/>
            </w:tcMar>
          </w:tcPr>
          <w:p w:rsidR="00000000" w:rsidDel="00000000" w:rsidP="00000000" w:rsidRDefault="00000000" w:rsidRPr="00000000" w14:paraId="0000000B">
            <w:pPr>
              <w:spacing w:after="40" w:before="60" w:lineRule="auto"/>
              <w:jc w:val="center"/>
              <w:rPr/>
            </w:pPr>
            <w:r w:rsidDel="00000000" w:rsidR="00000000" w:rsidRPr="00000000">
              <w:rPr>
                <w:rFonts w:ascii="Calibri" w:cs="Calibri" w:eastAsia="Calibri" w:hAnsi="Calibri"/>
                <w:b w:val="1"/>
                <w:bCs w:val="1"/>
                <w:color w:val="1e2761"/>
                <w:sz w:val="36"/>
                <w:szCs w:val="36"/>
                <w:rtl w:val="0"/>
              </w:rPr>
              <w:t xml:space="preserve">15</w:t>
            </w:r>
            <w:r w:rsidDel="00000000" w:rsidR="00000000" w:rsidRPr="00000000">
              <w:rPr>
                <w:rtl w:val="0"/>
              </w:rPr>
            </w:r>
          </w:p>
          <w:p w:rsidR="00000000" w:rsidDel="00000000" w:rsidP="00000000" w:rsidRDefault="00000000" w:rsidRPr="00000000" w14:paraId="0000000C">
            <w:pPr>
              <w:spacing w:after="40" w:before="0" w:lineRule="auto"/>
              <w:jc w:val="center"/>
              <w:rPr/>
            </w:pPr>
            <w:r w:rsidDel="00000000" w:rsidR="00000000" w:rsidRPr="00000000">
              <w:rPr>
                <w:rFonts w:ascii="Calibri" w:cs="Calibri" w:eastAsia="Calibri" w:hAnsi="Calibri"/>
                <w:b w:val="1"/>
                <w:bCs w:val="1"/>
                <w:color w:val="2d6bd4"/>
                <w:sz w:val="18"/>
                <w:szCs w:val="18"/>
                <w:rtl w:val="0"/>
              </w:rPr>
              <w:t xml:space="preserve">Dealers</w:t>
            </w:r>
            <w:r w:rsidDel="00000000" w:rsidR="00000000" w:rsidRPr="00000000">
              <w:rPr>
                <w:rtl w:val="0"/>
              </w:rPr>
            </w:r>
          </w:p>
          <w:p w:rsidR="00000000" w:rsidDel="00000000" w:rsidP="00000000" w:rsidRDefault="00000000" w:rsidRPr="00000000" w14:paraId="0000000D">
            <w:pPr>
              <w:spacing w:after="60" w:before="0" w:lineRule="auto"/>
              <w:jc w:val="center"/>
              <w:rPr/>
            </w:pPr>
            <w:r w:rsidDel="00000000" w:rsidR="00000000" w:rsidRPr="00000000">
              <w:rPr>
                <w:rFonts w:ascii="Calibri" w:cs="Calibri" w:eastAsia="Calibri" w:hAnsi="Calibri"/>
                <w:color w:val="64748b"/>
                <w:sz w:val="16"/>
                <w:szCs w:val="16"/>
                <w:rtl w:val="0"/>
              </w:rPr>
              <w:t xml:space="preserve">Multi-brand</w:t>
            </w:r>
            <w:r w:rsidDel="00000000" w:rsidR="00000000" w:rsidRPr="00000000">
              <w:rPr>
                <w:rtl w:val="0"/>
              </w:rPr>
            </w:r>
          </w:p>
        </w:tc>
        <w:tc>
          <w:tcPr>
            <w:tcBorders>
              <w:top w:color="2d6bd4" w:space="0" w:sz="12" w:val="single"/>
              <w:left w:color="e2e8f0" w:space="0" w:sz="4" w:val="single"/>
              <w:bottom w:color="e2e8f0" w:space="0" w:sz="4" w:val="single"/>
              <w:right w:color="e2e8f0" w:space="0" w:sz="4" w:val="single"/>
            </w:tcBorders>
            <w:shd w:fill="eff6ff" w:val="clear"/>
            <w:tcMar>
              <w:top w:w="120.0" w:type="dxa"/>
              <w:left w:w="120.0" w:type="dxa"/>
              <w:bottom w:w="120.0" w:type="dxa"/>
              <w:right w:w="120.0" w:type="dxa"/>
            </w:tcMar>
          </w:tcPr>
          <w:p w:rsidR="00000000" w:rsidDel="00000000" w:rsidP="00000000" w:rsidRDefault="00000000" w:rsidRPr="00000000" w14:paraId="0000000E">
            <w:pPr>
              <w:spacing w:after="40" w:before="60" w:lineRule="auto"/>
              <w:jc w:val="center"/>
              <w:rPr/>
            </w:pPr>
            <w:r w:rsidDel="00000000" w:rsidR="00000000" w:rsidRPr="00000000">
              <w:rPr>
                <w:rFonts w:ascii="Calibri" w:cs="Calibri" w:eastAsia="Calibri" w:hAnsi="Calibri"/>
                <w:b w:val="1"/>
                <w:bCs w:val="1"/>
                <w:color w:val="1e2761"/>
                <w:sz w:val="36"/>
                <w:szCs w:val="36"/>
                <w:rtl w:val="0"/>
              </w:rPr>
              <w:t xml:space="preserve">₹424bn</w:t>
            </w:r>
            <w:r w:rsidDel="00000000" w:rsidR="00000000" w:rsidRPr="00000000">
              <w:rPr>
                <w:rtl w:val="0"/>
              </w:rPr>
            </w:r>
          </w:p>
          <w:p w:rsidR="00000000" w:rsidDel="00000000" w:rsidP="00000000" w:rsidRDefault="00000000" w:rsidRPr="00000000" w14:paraId="0000000F">
            <w:pPr>
              <w:spacing w:after="40" w:before="0" w:lineRule="auto"/>
              <w:jc w:val="center"/>
              <w:rPr/>
            </w:pPr>
            <w:r w:rsidDel="00000000" w:rsidR="00000000" w:rsidRPr="00000000">
              <w:rPr>
                <w:rFonts w:ascii="Calibri" w:cs="Calibri" w:eastAsia="Calibri" w:hAnsi="Calibri"/>
                <w:b w:val="1"/>
                <w:bCs w:val="1"/>
                <w:color w:val="2d6bd4"/>
                <w:sz w:val="18"/>
                <w:szCs w:val="18"/>
                <w:rtl w:val="0"/>
              </w:rPr>
              <w:t xml:space="preserve">Revenue</w:t>
            </w:r>
            <w:r w:rsidDel="00000000" w:rsidR="00000000" w:rsidRPr="00000000">
              <w:rPr>
                <w:rtl w:val="0"/>
              </w:rPr>
            </w:r>
          </w:p>
          <w:p w:rsidR="00000000" w:rsidDel="00000000" w:rsidP="00000000" w:rsidRDefault="00000000" w:rsidRPr="00000000" w14:paraId="00000010">
            <w:pPr>
              <w:spacing w:after="60" w:before="0" w:lineRule="auto"/>
              <w:jc w:val="center"/>
              <w:rPr/>
            </w:pPr>
            <w:r w:rsidDel="00000000" w:rsidR="00000000" w:rsidRPr="00000000">
              <w:rPr>
                <w:rFonts w:ascii="Calibri" w:cs="Calibri" w:eastAsia="Calibri" w:hAnsi="Calibri"/>
                <w:color w:val="64748b"/>
                <w:sz w:val="16"/>
                <w:szCs w:val="16"/>
                <w:rtl w:val="0"/>
              </w:rPr>
              <w:t xml:space="preserve">6-year total</w:t>
            </w:r>
            <w:r w:rsidDel="00000000" w:rsidR="00000000" w:rsidRPr="00000000">
              <w:rPr>
                <w:rtl w:val="0"/>
              </w:rPr>
            </w:r>
          </w:p>
        </w:tc>
        <w:tc>
          <w:tcPr>
            <w:tcBorders>
              <w:top w:color="2d6bd4" w:space="0" w:sz="12" w:val="single"/>
              <w:left w:color="e2e8f0" w:space="0" w:sz="4" w:val="single"/>
              <w:bottom w:color="e2e8f0" w:space="0" w:sz="4" w:val="single"/>
              <w:right w:color="e2e8f0" w:space="0" w:sz="4" w:val="single"/>
            </w:tcBorders>
            <w:shd w:fill="eff6ff" w:val="clear"/>
            <w:tcMar>
              <w:top w:w="120.0" w:type="dxa"/>
              <w:left w:w="120.0" w:type="dxa"/>
              <w:bottom w:w="120.0" w:type="dxa"/>
              <w:right w:w="120.0" w:type="dxa"/>
            </w:tcMar>
          </w:tcPr>
          <w:p w:rsidR="00000000" w:rsidDel="00000000" w:rsidP="00000000" w:rsidRDefault="00000000" w:rsidRPr="00000000" w14:paraId="00000011">
            <w:pPr>
              <w:spacing w:after="40" w:before="60" w:lineRule="auto"/>
              <w:jc w:val="center"/>
              <w:rPr/>
            </w:pPr>
            <w:r w:rsidDel="00000000" w:rsidR="00000000" w:rsidRPr="00000000">
              <w:rPr>
                <w:rFonts w:ascii="Calibri" w:cs="Calibri" w:eastAsia="Calibri" w:hAnsi="Calibri"/>
                <w:b w:val="1"/>
                <w:bCs w:val="1"/>
                <w:color w:val="1e2761"/>
                <w:sz w:val="36"/>
                <w:szCs w:val="36"/>
                <w:rtl w:val="0"/>
              </w:rPr>
              <w:t xml:space="preserve">47</w:t>
            </w:r>
            <w:r w:rsidDel="00000000" w:rsidR="00000000" w:rsidRPr="00000000">
              <w:rPr>
                <w:rtl w:val="0"/>
              </w:rPr>
            </w:r>
          </w:p>
          <w:p w:rsidR="00000000" w:rsidDel="00000000" w:rsidP="00000000" w:rsidRDefault="00000000" w:rsidRPr="00000000" w14:paraId="00000012">
            <w:pPr>
              <w:spacing w:after="40" w:before="0" w:lineRule="auto"/>
              <w:jc w:val="center"/>
              <w:rPr/>
            </w:pPr>
            <w:r w:rsidDel="00000000" w:rsidR="00000000" w:rsidRPr="00000000">
              <w:rPr>
                <w:rFonts w:ascii="Calibri" w:cs="Calibri" w:eastAsia="Calibri" w:hAnsi="Calibri"/>
                <w:b w:val="1"/>
                <w:bCs w:val="1"/>
                <w:color w:val="2d6bd4"/>
                <w:sz w:val="18"/>
                <w:szCs w:val="18"/>
                <w:rtl w:val="0"/>
              </w:rPr>
              <w:t xml:space="preserve">Models</w:t>
            </w:r>
            <w:r w:rsidDel="00000000" w:rsidR="00000000" w:rsidRPr="00000000">
              <w:rPr>
                <w:rtl w:val="0"/>
              </w:rPr>
            </w:r>
          </w:p>
          <w:p w:rsidR="00000000" w:rsidDel="00000000" w:rsidP="00000000" w:rsidRDefault="00000000" w:rsidRPr="00000000" w14:paraId="00000013">
            <w:pPr>
              <w:spacing w:after="60" w:before="0" w:lineRule="auto"/>
              <w:jc w:val="center"/>
              <w:rPr/>
            </w:pPr>
            <w:r w:rsidDel="00000000" w:rsidR="00000000" w:rsidRPr="00000000">
              <w:rPr>
                <w:rFonts w:ascii="Calibri" w:cs="Calibri" w:eastAsia="Calibri" w:hAnsi="Calibri"/>
                <w:color w:val="64748b"/>
                <w:sz w:val="16"/>
                <w:szCs w:val="16"/>
                <w:rtl w:val="0"/>
              </w:rPr>
              <w:t xml:space="preserve">Vehicle types</w:t>
            </w:r>
            <w:r w:rsidDel="00000000" w:rsidR="00000000" w:rsidRPr="00000000">
              <w:rPr>
                <w:rtl w:val="0"/>
              </w:rPr>
            </w:r>
          </w:p>
        </w:tc>
      </w:tr>
    </w:tbl>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pBdr>
          <w:bottom w:color="2d6bd4" w:space="0" w:sz="8" w:val="single"/>
        </w:pBdr>
        <w:spacing w:after="120" w:before="360" w:lineRule="auto"/>
        <w:rPr/>
      </w:pPr>
      <w:r w:rsidDel="00000000" w:rsidR="00000000" w:rsidRPr="00000000">
        <w:rPr>
          <w:rFonts w:ascii="Calibri" w:cs="Calibri" w:eastAsia="Calibri" w:hAnsi="Calibri"/>
          <w:b w:val="1"/>
          <w:bCs w:val="1"/>
          <w:color w:val="1e2761"/>
          <w:sz w:val="36"/>
          <w:szCs w:val="36"/>
          <w:rtl w:val="0"/>
        </w:rPr>
        <w:t xml:space="preserve">1. Executive Summary</w:t>
      </w:r>
      <w:r w:rsidDel="00000000" w:rsidR="00000000" w:rsidRPr="00000000">
        <w:rPr>
          <w:rtl w:val="0"/>
        </w:rPr>
      </w:r>
    </w:p>
    <w:p w:rsidR="00000000" w:rsidDel="00000000" w:rsidP="00000000" w:rsidRDefault="00000000" w:rsidRPr="00000000" w14:paraId="00000016">
      <w:pPr>
        <w:spacing w:after="160" w:before="0" w:lineRule="auto"/>
        <w:rPr/>
      </w:pPr>
      <w:r w:rsidDel="00000000" w:rsidR="00000000" w:rsidRPr="00000000">
        <w:rPr>
          <w:rFonts w:ascii="Calibri" w:cs="Calibri" w:eastAsia="Calibri" w:hAnsi="Calibri"/>
          <w:b w:val="0"/>
          <w:bCs w:val="0"/>
          <w:i w:val="0"/>
          <w:iCs w:val="0"/>
          <w:color w:val="1e293b"/>
          <w:sz w:val="22"/>
          <w:szCs w:val="22"/>
          <w:rtl w:val="0"/>
        </w:rPr>
        <w:t xml:space="preserve">This project analyses 10,000 automobile sales transactions across 15 dealers, 5 regions, and 47 vehicle models in the Indian market from 2020 to 2025. The analysis was conducted using Python for data cleaning and </w:t>
      </w:r>
      <w:r w:rsidDel="00000000" w:rsidR="00000000" w:rsidRPr="00000000">
        <w:rPr>
          <w:color w:val="1e293b"/>
          <w:rtl w:val="0"/>
        </w:rPr>
        <w:t xml:space="preserve">visualization</w:t>
      </w:r>
      <w:r w:rsidDel="00000000" w:rsidR="00000000" w:rsidRPr="00000000">
        <w:rPr>
          <w:rFonts w:ascii="Calibri" w:cs="Calibri" w:eastAsia="Calibri" w:hAnsi="Calibri"/>
          <w:b w:val="0"/>
          <w:bCs w:val="0"/>
          <w:i w:val="0"/>
          <w:iCs w:val="0"/>
          <w:color w:val="1e293b"/>
          <w:sz w:val="22"/>
          <w:szCs w:val="22"/>
          <w:rtl w:val="0"/>
        </w:rPr>
        <w:t xml:space="preserve">, PostgreSQL for business queries, and Power BI for interactive dashboarding.</w:t>
      </w:r>
      <w:r w:rsidDel="00000000" w:rsidR="00000000" w:rsidRPr="00000000">
        <w:rPr>
          <w:rtl w:val="0"/>
        </w:rPr>
      </w:r>
    </w:p>
    <w:p w:rsidR="00000000" w:rsidDel="00000000" w:rsidP="00000000" w:rsidRDefault="00000000" w:rsidRPr="00000000" w14:paraId="00000017">
      <w:pPr>
        <w:spacing w:after="160" w:before="0" w:lineRule="auto"/>
        <w:rPr/>
      </w:pPr>
      <w:r w:rsidDel="00000000" w:rsidR="00000000" w:rsidRPr="00000000">
        <w:rPr>
          <w:rtl w:val="0"/>
        </w:rPr>
      </w:r>
    </w:p>
    <w:p w:rsidR="00000000" w:rsidDel="00000000" w:rsidP="00000000" w:rsidRDefault="00000000" w:rsidRPr="00000000" w14:paraId="00000018">
      <w:pPr>
        <w:spacing w:after="160" w:before="0" w:lineRule="auto"/>
        <w:rPr/>
      </w:pPr>
      <w:r w:rsidDel="00000000" w:rsidR="00000000" w:rsidRPr="00000000">
        <w:rPr>
          <w:rFonts w:ascii="Calibri" w:cs="Calibri" w:eastAsia="Calibri" w:hAnsi="Calibri"/>
          <w:b w:val="1"/>
          <w:bCs w:val="1"/>
          <w:i w:val="0"/>
          <w:iCs w:val="0"/>
          <w:color w:val="1e293b"/>
          <w:sz w:val="22"/>
          <w:szCs w:val="22"/>
          <w:rtl w:val="0"/>
        </w:rPr>
        <w:t xml:space="preserve">Three headline findings define this market:</w:t>
      </w:r>
      <w:r w:rsidDel="00000000" w:rsidR="00000000" w:rsidRPr="00000000">
        <w:rPr>
          <w:rtl w:val="0"/>
        </w:rPr>
      </w:r>
    </w:p>
    <w:p w:rsidR="00000000" w:rsidDel="00000000" w:rsidP="00000000" w:rsidRDefault="00000000" w:rsidRPr="00000000" w14:paraId="00000019">
      <w:pPr>
        <w:spacing w:after="0" w:before="0" w:lineRule="auto"/>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Revenue peaked at ₹74bn in 2023</w:t>
      </w:r>
      <w:r w:rsidDel="00000000" w:rsidR="00000000" w:rsidRPr="00000000">
        <w:rPr>
          <w:color w:val="1e293b"/>
          <w:rtl w:val="0"/>
        </w:rPr>
        <w:t xml:space="preserve">,</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 then declined to ₹68bn in 2025 — returning to 2020 levels despite stable unit volumes, confirming a pricing pressure problem</w:t>
      </w:r>
      <w:r w:rsidDel="00000000" w:rsidR="00000000" w:rsidRPr="00000000">
        <w:rPr>
          <w:color w:val="1e293b"/>
          <w:rtl w:val="0"/>
        </w:rPr>
        <w:t xml:space="preserve">,</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 not a demand problem.</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BYD Electric India is the dominant revenue generator at ₹47.2bn, driven entirely by premium pricing at ₹27.64L average — nearly 3x the budget tier. Pricing power, not volume, drives revenue leadership in this network.</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EV unit share has remained flat at 9–10% for all 6 years, contradicting the mainstream narrative of rapid Indian EV adoption. The real fuel shift in this period was Diesel-to-Petrol, not ICE-to-Electric.</w:t>
      </w:r>
      <w:r w:rsidDel="00000000" w:rsidR="00000000" w:rsidRPr="00000000">
        <w:rPr>
          <w:rtl w:val="0"/>
        </w:rPr>
      </w:r>
    </w:p>
    <w:p w:rsidR="00000000" w:rsidDel="00000000" w:rsidP="00000000" w:rsidRDefault="00000000" w:rsidRPr="00000000" w14:paraId="0000001D">
      <w:pPr>
        <w:spacing w:after="160" w:before="0" w:lineRule="auto"/>
        <w:rPr/>
      </w:pPr>
      <w:r w:rsidDel="00000000" w:rsidR="00000000" w:rsidRPr="00000000">
        <w:rPr>
          <w:rtl w:val="0"/>
        </w:rPr>
      </w:r>
    </w:p>
    <w:p w:rsidR="00000000" w:rsidDel="00000000" w:rsidP="00000000" w:rsidRDefault="00000000" w:rsidRPr="00000000" w14:paraId="0000001E">
      <w:pPr>
        <w:pStyle w:val="Heading1"/>
        <w:pBdr>
          <w:bottom w:color="2d6bd4" w:space="0" w:sz="8" w:val="single"/>
        </w:pBdr>
        <w:spacing w:after="120" w:before="360" w:lineRule="auto"/>
        <w:rPr/>
      </w:pPr>
      <w:r w:rsidDel="00000000" w:rsidR="00000000" w:rsidRPr="00000000">
        <w:rPr>
          <w:rFonts w:ascii="Calibri" w:cs="Calibri" w:eastAsia="Calibri" w:hAnsi="Calibri"/>
          <w:b w:val="1"/>
          <w:bCs w:val="1"/>
          <w:color w:val="1e2761"/>
          <w:sz w:val="36"/>
          <w:szCs w:val="36"/>
          <w:rtl w:val="0"/>
        </w:rPr>
        <w:t xml:space="preserve">2. Data Overview &amp; Methodology</w:t>
      </w:r>
      <w:r w:rsidDel="00000000" w:rsidR="00000000" w:rsidRPr="00000000">
        <w:rPr>
          <w:rtl w:val="0"/>
        </w:rPr>
      </w:r>
    </w:p>
    <w:p w:rsidR="00000000" w:rsidDel="00000000" w:rsidP="00000000" w:rsidRDefault="00000000" w:rsidRPr="00000000" w14:paraId="0000001F">
      <w:pPr>
        <w:pStyle w:val="Heading2"/>
        <w:spacing w:after="80" w:before="240" w:lineRule="auto"/>
        <w:rPr/>
      </w:pPr>
      <w:r w:rsidDel="00000000" w:rsidR="00000000" w:rsidRPr="00000000">
        <w:rPr>
          <w:rFonts w:ascii="Calibri" w:cs="Calibri" w:eastAsia="Calibri" w:hAnsi="Calibri"/>
          <w:b w:val="1"/>
          <w:bCs w:val="1"/>
          <w:color w:val="1e2761"/>
          <w:sz w:val="26"/>
          <w:szCs w:val="26"/>
          <w:rtl w:val="0"/>
        </w:rPr>
        <w:t xml:space="preserve">2.1 Dataset Description</w:t>
      </w:r>
      <w:r w:rsidDel="00000000" w:rsidR="00000000" w:rsidRPr="00000000">
        <w:rPr>
          <w:rtl w:val="0"/>
        </w:rPr>
      </w:r>
    </w:p>
    <w:p w:rsidR="00000000" w:rsidDel="00000000" w:rsidP="00000000" w:rsidRDefault="00000000" w:rsidRPr="00000000" w14:paraId="00000020">
      <w:pPr>
        <w:spacing w:after="160" w:before="0" w:lineRule="auto"/>
        <w:rPr/>
      </w:pPr>
      <w:r w:rsidDel="00000000" w:rsidR="00000000" w:rsidRPr="00000000">
        <w:rPr>
          <w:rFonts w:ascii="Calibri" w:cs="Calibri" w:eastAsia="Calibri" w:hAnsi="Calibri"/>
          <w:b w:val="0"/>
          <w:bCs w:val="0"/>
          <w:i w:val="0"/>
          <w:iCs w:val="0"/>
          <w:color w:val="1e293b"/>
          <w:sz w:val="22"/>
          <w:szCs w:val="22"/>
          <w:rtl w:val="0"/>
        </w:rPr>
        <w:t xml:space="preserve">The dataset contains 10,000 transaction-level records covering automobile sales across India from January 2020 to December 2025. Each record represents a single dealer-model-date sale event.</w:t>
      </w:r>
      <w:r w:rsidDel="00000000" w:rsidR="00000000" w:rsidRPr="00000000">
        <w:rPr>
          <w:rtl w:val="0"/>
        </w:rPr>
      </w:r>
    </w:p>
    <w:p w:rsidR="00000000" w:rsidDel="00000000" w:rsidP="00000000" w:rsidRDefault="00000000" w:rsidRPr="00000000" w14:paraId="00000021">
      <w:pPr>
        <w:spacing w:after="16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1e2761" w:space="0" w:sz="4" w:val="single"/>
              <w:left w:color="1e2761" w:space="0" w:sz="4" w:val="single"/>
              <w:bottom w:color="1e2761" w:space="0" w:sz="4" w:val="single"/>
              <w:right w:color="1e2761" w:space="0" w:sz="4" w:val="single"/>
            </w:tcBorders>
            <w:shd w:fill="1e2761"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Calibri" w:cs="Calibri" w:eastAsia="Calibri" w:hAnsi="Calibri"/>
                <w:b w:val="1"/>
                <w:bCs w:val="1"/>
                <w:color w:val="ffffff"/>
                <w:sz w:val="20"/>
                <w:szCs w:val="20"/>
                <w:rtl w:val="0"/>
              </w:rPr>
              <w:t xml:space="preserve">Column</w:t>
            </w:r>
            <w:r w:rsidDel="00000000" w:rsidR="00000000" w:rsidRPr="00000000">
              <w:rPr>
                <w:rtl w:val="0"/>
              </w:rPr>
            </w:r>
          </w:p>
        </w:tc>
        <w:tc>
          <w:tcPr>
            <w:tcBorders>
              <w:top w:color="1e2761" w:space="0" w:sz="4" w:val="single"/>
              <w:left w:color="1e2761" w:space="0" w:sz="4" w:val="single"/>
              <w:bottom w:color="1e2761" w:space="0" w:sz="4" w:val="single"/>
              <w:right w:color="1e2761" w:space="0" w:sz="4" w:val="single"/>
            </w:tcBorders>
            <w:shd w:fill="1e2761"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Calibri" w:cs="Calibri" w:eastAsia="Calibri" w:hAnsi="Calibri"/>
                <w:b w:val="1"/>
                <w:bCs w:val="1"/>
                <w:color w:val="ffffff"/>
                <w:sz w:val="20"/>
                <w:szCs w:val="20"/>
                <w:rtl w:val="0"/>
              </w:rPr>
              <w:t xml:space="preserve">Type</w:t>
            </w:r>
            <w:r w:rsidDel="00000000" w:rsidR="00000000" w:rsidRPr="00000000">
              <w:rPr>
                <w:rtl w:val="0"/>
              </w:rPr>
            </w:r>
          </w:p>
        </w:tc>
        <w:tc>
          <w:tcPr>
            <w:tcBorders>
              <w:top w:color="1e2761" w:space="0" w:sz="4" w:val="single"/>
              <w:left w:color="1e2761" w:space="0" w:sz="4" w:val="single"/>
              <w:bottom w:color="1e2761" w:space="0" w:sz="4" w:val="single"/>
              <w:right w:color="1e2761" w:space="0" w:sz="4" w:val="single"/>
            </w:tcBorders>
            <w:shd w:fill="1e2761"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25">
            <w:pPr>
              <w:rPr/>
            </w:pPr>
            <w:r w:rsidDel="00000000" w:rsidR="00000000" w:rsidRPr="00000000">
              <w:rPr>
                <w:rFonts w:ascii="Calibri" w:cs="Calibri" w:eastAsia="Calibri" w:hAnsi="Calibri"/>
                <w:color w:val="1e293b"/>
                <w:sz w:val="19"/>
                <w:szCs w:val="19"/>
                <w:rtl w:val="0"/>
              </w:rPr>
              <w:t xml:space="preserve">Date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26">
            <w:pPr>
              <w:rPr/>
            </w:pPr>
            <w:r w:rsidDel="00000000" w:rsidR="00000000" w:rsidRPr="00000000">
              <w:rPr>
                <w:rFonts w:ascii="Calibri" w:cs="Calibri" w:eastAsia="Calibri" w:hAnsi="Calibri"/>
                <w:color w:val="1e293b"/>
                <w:sz w:val="19"/>
                <w:szCs w:val="19"/>
                <w:rtl w:val="0"/>
              </w:rPr>
              <w:t xml:space="preserve">DATE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27">
            <w:pPr>
              <w:rPr/>
            </w:pPr>
            <w:r w:rsidDel="00000000" w:rsidR="00000000" w:rsidRPr="00000000">
              <w:rPr>
                <w:rFonts w:ascii="Calibri" w:cs="Calibri" w:eastAsia="Calibri" w:hAnsi="Calibri"/>
                <w:color w:val="1e293b"/>
                <w:sz w:val="19"/>
                <w:szCs w:val="19"/>
                <w:rtl w:val="0"/>
              </w:rPr>
              <w:t xml:space="preserve">Transaction date — converted to datetime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028">
            <w:pPr>
              <w:rPr/>
            </w:pPr>
            <w:r w:rsidDel="00000000" w:rsidR="00000000" w:rsidRPr="00000000">
              <w:rPr>
                <w:rFonts w:ascii="Calibri" w:cs="Calibri" w:eastAsia="Calibri" w:hAnsi="Calibri"/>
                <w:color w:val="1e293b"/>
                <w:sz w:val="19"/>
                <w:szCs w:val="19"/>
                <w:rtl w:val="0"/>
              </w:rPr>
              <w:t xml:space="preserve">Dealer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029">
            <w:pPr>
              <w:rPr/>
            </w:pPr>
            <w:r w:rsidDel="00000000" w:rsidR="00000000" w:rsidRPr="00000000">
              <w:rPr>
                <w:rFonts w:ascii="Calibri" w:cs="Calibri" w:eastAsia="Calibri" w:hAnsi="Calibri"/>
                <w:color w:val="1e293b"/>
                <w:sz w:val="19"/>
                <w:szCs w:val="19"/>
                <w:rtl w:val="0"/>
              </w:rPr>
              <w:t xml:space="preserve">VARCHAR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02A">
            <w:pPr>
              <w:rPr/>
            </w:pPr>
            <w:r w:rsidDel="00000000" w:rsidR="00000000" w:rsidRPr="00000000">
              <w:rPr>
                <w:rFonts w:ascii="Calibri" w:cs="Calibri" w:eastAsia="Calibri" w:hAnsi="Calibri"/>
                <w:color w:val="1e293b"/>
                <w:sz w:val="19"/>
                <w:szCs w:val="19"/>
                <w:rtl w:val="0"/>
              </w:rPr>
              <w:t xml:space="preserve">15 unique dealers across India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2B">
            <w:pPr>
              <w:rPr/>
            </w:pPr>
            <w:r w:rsidDel="00000000" w:rsidR="00000000" w:rsidRPr="00000000">
              <w:rPr>
                <w:rFonts w:ascii="Calibri" w:cs="Calibri" w:eastAsia="Calibri" w:hAnsi="Calibri"/>
                <w:color w:val="1e293b"/>
                <w:sz w:val="19"/>
                <w:szCs w:val="19"/>
                <w:rtl w:val="0"/>
              </w:rPr>
              <w:t xml:space="preserve">Region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2C">
            <w:pPr>
              <w:rPr/>
            </w:pPr>
            <w:r w:rsidDel="00000000" w:rsidR="00000000" w:rsidRPr="00000000">
              <w:rPr>
                <w:rFonts w:ascii="Calibri" w:cs="Calibri" w:eastAsia="Calibri" w:hAnsi="Calibri"/>
                <w:color w:val="1e293b"/>
                <w:sz w:val="19"/>
                <w:szCs w:val="19"/>
                <w:rtl w:val="0"/>
              </w:rPr>
              <w:t xml:space="preserve">VARCHAR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2D">
            <w:pPr>
              <w:rPr/>
            </w:pPr>
            <w:r w:rsidDel="00000000" w:rsidR="00000000" w:rsidRPr="00000000">
              <w:rPr>
                <w:rFonts w:ascii="Calibri" w:cs="Calibri" w:eastAsia="Calibri" w:hAnsi="Calibri"/>
                <w:color w:val="1e293b"/>
                <w:sz w:val="19"/>
                <w:szCs w:val="19"/>
                <w:rtl w:val="0"/>
              </w:rPr>
              <w:t xml:space="preserve">5 regions: North, South, East, West, Central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02E">
            <w:pPr>
              <w:rPr/>
            </w:pPr>
            <w:r w:rsidDel="00000000" w:rsidR="00000000" w:rsidRPr="00000000">
              <w:rPr>
                <w:rFonts w:ascii="Calibri" w:cs="Calibri" w:eastAsia="Calibri" w:hAnsi="Calibri"/>
                <w:color w:val="1e293b"/>
                <w:sz w:val="19"/>
                <w:szCs w:val="19"/>
                <w:rtl w:val="0"/>
              </w:rPr>
              <w:t xml:space="preserve">Vehicle_Model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02F">
            <w:pPr>
              <w:rPr/>
            </w:pPr>
            <w:r w:rsidDel="00000000" w:rsidR="00000000" w:rsidRPr="00000000">
              <w:rPr>
                <w:rFonts w:ascii="Calibri" w:cs="Calibri" w:eastAsia="Calibri" w:hAnsi="Calibri"/>
                <w:color w:val="1e293b"/>
                <w:sz w:val="19"/>
                <w:szCs w:val="19"/>
                <w:rtl w:val="0"/>
              </w:rPr>
              <w:t xml:space="preserve">VARCHAR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030">
            <w:pPr>
              <w:rPr/>
            </w:pPr>
            <w:r w:rsidDel="00000000" w:rsidR="00000000" w:rsidRPr="00000000">
              <w:rPr>
                <w:rFonts w:ascii="Calibri" w:cs="Calibri" w:eastAsia="Calibri" w:hAnsi="Calibri"/>
                <w:color w:val="1e293b"/>
                <w:sz w:val="19"/>
                <w:szCs w:val="19"/>
                <w:rtl w:val="0"/>
              </w:rPr>
              <w:t xml:space="preserve">47 unique models across 4 categories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31">
            <w:pPr>
              <w:rPr/>
            </w:pPr>
            <w:r w:rsidDel="00000000" w:rsidR="00000000" w:rsidRPr="00000000">
              <w:rPr>
                <w:rFonts w:ascii="Calibri" w:cs="Calibri" w:eastAsia="Calibri" w:hAnsi="Calibri"/>
                <w:color w:val="1e293b"/>
                <w:sz w:val="19"/>
                <w:szCs w:val="19"/>
                <w:rtl w:val="0"/>
              </w:rPr>
              <w:t xml:space="preserve">Fuel_Type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32">
            <w:pPr>
              <w:rPr/>
            </w:pPr>
            <w:r w:rsidDel="00000000" w:rsidR="00000000" w:rsidRPr="00000000">
              <w:rPr>
                <w:rFonts w:ascii="Calibri" w:cs="Calibri" w:eastAsia="Calibri" w:hAnsi="Calibri"/>
                <w:color w:val="1e293b"/>
                <w:sz w:val="19"/>
                <w:szCs w:val="19"/>
                <w:rtl w:val="0"/>
              </w:rPr>
              <w:t xml:space="preserve">VARCHAR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33">
            <w:pPr>
              <w:rPr/>
            </w:pPr>
            <w:r w:rsidDel="00000000" w:rsidR="00000000" w:rsidRPr="00000000">
              <w:rPr>
                <w:rFonts w:ascii="Calibri" w:cs="Calibri" w:eastAsia="Calibri" w:hAnsi="Calibri"/>
                <w:color w:val="1e293b"/>
                <w:sz w:val="19"/>
                <w:szCs w:val="19"/>
                <w:rtl w:val="0"/>
              </w:rPr>
              <w:t xml:space="preserve">Petrol, Diesel, Electric</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034">
            <w:pPr>
              <w:rPr/>
            </w:pPr>
            <w:r w:rsidDel="00000000" w:rsidR="00000000" w:rsidRPr="00000000">
              <w:rPr>
                <w:rFonts w:ascii="Calibri" w:cs="Calibri" w:eastAsia="Calibri" w:hAnsi="Calibri"/>
                <w:color w:val="1e293b"/>
                <w:sz w:val="19"/>
                <w:szCs w:val="19"/>
                <w:rtl w:val="0"/>
              </w:rPr>
              <w:t xml:space="preserve">Category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035">
            <w:pPr>
              <w:rPr/>
            </w:pPr>
            <w:r w:rsidDel="00000000" w:rsidR="00000000" w:rsidRPr="00000000">
              <w:rPr>
                <w:rFonts w:ascii="Calibri" w:cs="Calibri" w:eastAsia="Calibri" w:hAnsi="Calibri"/>
                <w:color w:val="1e293b"/>
                <w:sz w:val="19"/>
                <w:szCs w:val="19"/>
                <w:rtl w:val="0"/>
              </w:rPr>
              <w:t xml:space="preserve">VARCHAR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036">
            <w:pPr>
              <w:rPr/>
            </w:pPr>
            <w:r w:rsidDel="00000000" w:rsidR="00000000" w:rsidRPr="00000000">
              <w:rPr>
                <w:rFonts w:ascii="Calibri" w:cs="Calibri" w:eastAsia="Calibri" w:hAnsi="Calibri"/>
                <w:color w:val="1e293b"/>
                <w:sz w:val="19"/>
                <w:szCs w:val="19"/>
                <w:rtl w:val="0"/>
              </w:rPr>
              <w:t xml:space="preserve">SUV, Sedan, Hatchback, Electric</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37">
            <w:pPr>
              <w:rPr/>
            </w:pPr>
            <w:r w:rsidDel="00000000" w:rsidR="00000000" w:rsidRPr="00000000">
              <w:rPr>
                <w:rFonts w:ascii="Calibri" w:cs="Calibri" w:eastAsia="Calibri" w:hAnsi="Calibri"/>
                <w:color w:val="1e293b"/>
                <w:sz w:val="19"/>
                <w:szCs w:val="19"/>
                <w:rtl w:val="0"/>
              </w:rPr>
              <w:t xml:space="preserve">Units_Sold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38">
            <w:pPr>
              <w:rPr/>
            </w:pPr>
            <w:r w:rsidDel="00000000" w:rsidR="00000000" w:rsidRPr="00000000">
              <w:rPr>
                <w:rFonts w:ascii="Calibri" w:cs="Calibri" w:eastAsia="Calibri" w:hAnsi="Calibri"/>
                <w:color w:val="1e293b"/>
                <w:sz w:val="19"/>
                <w:szCs w:val="19"/>
                <w:rtl w:val="0"/>
              </w:rPr>
              <w:t xml:space="preserve">INTEGER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39">
            <w:pPr>
              <w:rPr/>
            </w:pPr>
            <w:r w:rsidDel="00000000" w:rsidR="00000000" w:rsidRPr="00000000">
              <w:rPr>
                <w:rFonts w:ascii="Calibri" w:cs="Calibri" w:eastAsia="Calibri" w:hAnsi="Calibri"/>
                <w:color w:val="1e293b"/>
                <w:sz w:val="19"/>
                <w:szCs w:val="19"/>
                <w:rtl w:val="0"/>
              </w:rPr>
              <w:t xml:space="preserve">Units sold per transaction (1–49)</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03A">
            <w:pPr>
              <w:rPr/>
            </w:pPr>
            <w:r w:rsidDel="00000000" w:rsidR="00000000" w:rsidRPr="00000000">
              <w:rPr>
                <w:rFonts w:ascii="Calibri" w:cs="Calibri" w:eastAsia="Calibri" w:hAnsi="Calibri"/>
                <w:color w:val="1e293b"/>
                <w:sz w:val="19"/>
                <w:szCs w:val="19"/>
                <w:rtl w:val="0"/>
              </w:rPr>
              <w:t xml:space="preserve">Unit_Price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03B">
            <w:pPr>
              <w:rPr/>
            </w:pPr>
            <w:r w:rsidDel="00000000" w:rsidR="00000000" w:rsidRPr="00000000">
              <w:rPr>
                <w:rFonts w:ascii="Calibri" w:cs="Calibri" w:eastAsia="Calibri" w:hAnsi="Calibri"/>
                <w:color w:val="1e293b"/>
                <w:sz w:val="19"/>
                <w:szCs w:val="19"/>
                <w:rtl w:val="0"/>
              </w:rPr>
              <w:t xml:space="preserve">BIGINT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03C">
            <w:pPr>
              <w:rPr/>
            </w:pPr>
            <w:r w:rsidDel="00000000" w:rsidR="00000000" w:rsidRPr="00000000">
              <w:rPr>
                <w:rFonts w:ascii="Calibri" w:cs="Calibri" w:eastAsia="Calibri" w:hAnsi="Calibri"/>
                <w:color w:val="1e293b"/>
                <w:sz w:val="19"/>
                <w:szCs w:val="19"/>
                <w:rtl w:val="0"/>
              </w:rPr>
              <w:t xml:space="preserve">Price per unit in rupees (₹5L–₹35L)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3D">
            <w:pPr>
              <w:rPr/>
            </w:pPr>
            <w:r w:rsidDel="00000000" w:rsidR="00000000" w:rsidRPr="00000000">
              <w:rPr>
                <w:rFonts w:ascii="Calibri" w:cs="Calibri" w:eastAsia="Calibri" w:hAnsi="Calibri"/>
                <w:color w:val="1e293b"/>
                <w:sz w:val="19"/>
                <w:szCs w:val="19"/>
                <w:rtl w:val="0"/>
              </w:rPr>
              <w:t xml:space="preserve">Revenue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3E">
            <w:pPr>
              <w:rPr/>
            </w:pPr>
            <w:r w:rsidDel="00000000" w:rsidR="00000000" w:rsidRPr="00000000">
              <w:rPr>
                <w:rFonts w:ascii="Calibri" w:cs="Calibri" w:eastAsia="Calibri" w:hAnsi="Calibri"/>
                <w:color w:val="1e293b"/>
                <w:sz w:val="19"/>
                <w:szCs w:val="19"/>
                <w:rtl w:val="0"/>
              </w:rPr>
              <w:t xml:space="preserve">BIGINT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3F">
            <w:pPr>
              <w:rPr/>
            </w:pPr>
            <w:r w:rsidDel="00000000" w:rsidR="00000000" w:rsidRPr="00000000">
              <w:rPr>
                <w:rFonts w:ascii="Calibri" w:cs="Calibri" w:eastAsia="Calibri" w:hAnsi="Calibri"/>
                <w:color w:val="1e293b"/>
                <w:sz w:val="19"/>
                <w:szCs w:val="19"/>
                <w:rtl w:val="0"/>
              </w:rPr>
              <w:t xml:space="preserve">Total revenue = Units × Price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040">
            <w:pPr>
              <w:rPr/>
            </w:pPr>
            <w:r w:rsidDel="00000000" w:rsidR="00000000" w:rsidRPr="00000000">
              <w:rPr>
                <w:rFonts w:ascii="Calibri" w:cs="Calibri" w:eastAsia="Calibri" w:hAnsi="Calibri"/>
                <w:color w:val="1e293b"/>
                <w:sz w:val="19"/>
                <w:szCs w:val="19"/>
                <w:rtl w:val="0"/>
              </w:rPr>
              <w:t xml:space="preserve">Customer_Satisfaction_Score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041">
            <w:pPr>
              <w:rPr/>
            </w:pPr>
            <w:r w:rsidDel="00000000" w:rsidR="00000000" w:rsidRPr="00000000">
              <w:rPr>
                <w:rFonts w:ascii="Calibri" w:cs="Calibri" w:eastAsia="Calibri" w:hAnsi="Calibri"/>
                <w:color w:val="1e293b"/>
                <w:sz w:val="19"/>
                <w:szCs w:val="19"/>
                <w:rtl w:val="0"/>
              </w:rPr>
              <w:t xml:space="preserve">NUMERIC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042">
            <w:pPr>
              <w:rPr/>
            </w:pPr>
            <w:r w:rsidDel="00000000" w:rsidR="00000000" w:rsidRPr="00000000">
              <w:rPr>
                <w:rFonts w:ascii="Calibri" w:cs="Calibri" w:eastAsia="Calibri" w:hAnsi="Calibri"/>
                <w:color w:val="1e293b"/>
                <w:sz w:val="19"/>
                <w:szCs w:val="19"/>
                <w:rtl w:val="0"/>
              </w:rPr>
              <w:t xml:space="preserve">Score out of 10 (range: 5.00–10.00)</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43">
            <w:pPr>
              <w:rPr/>
            </w:pPr>
            <w:r w:rsidDel="00000000" w:rsidR="00000000" w:rsidRPr="00000000">
              <w:rPr>
                <w:rFonts w:ascii="Calibri" w:cs="Calibri" w:eastAsia="Calibri" w:hAnsi="Calibri"/>
                <w:color w:val="1e293b"/>
                <w:sz w:val="19"/>
                <w:szCs w:val="19"/>
                <w:rtl w:val="0"/>
              </w:rPr>
              <w:t xml:space="preserve">Year / Month / Quarter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44">
            <w:pPr>
              <w:rPr/>
            </w:pPr>
            <w:r w:rsidDel="00000000" w:rsidR="00000000" w:rsidRPr="00000000">
              <w:rPr>
                <w:rFonts w:ascii="Calibri" w:cs="Calibri" w:eastAsia="Calibri" w:hAnsi="Calibri"/>
                <w:color w:val="1e293b"/>
                <w:sz w:val="19"/>
                <w:szCs w:val="19"/>
                <w:rtl w:val="0"/>
              </w:rPr>
              <w:t xml:space="preserve">INTEGER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45">
            <w:pPr>
              <w:rPr/>
            </w:pPr>
            <w:r w:rsidDel="00000000" w:rsidR="00000000" w:rsidRPr="00000000">
              <w:rPr>
                <w:rFonts w:ascii="Calibri" w:cs="Calibri" w:eastAsia="Calibri" w:hAnsi="Calibri"/>
                <w:color w:val="1e293b"/>
                <w:sz w:val="19"/>
                <w:szCs w:val="19"/>
                <w:rtl w:val="0"/>
              </w:rPr>
              <w:t xml:space="preserve">Extracted from </w:t>
            </w:r>
            <w:r w:rsidDel="00000000" w:rsidR="00000000" w:rsidRPr="00000000">
              <w:rPr>
                <w:color w:val="1e293b"/>
                <w:sz w:val="19"/>
                <w:szCs w:val="19"/>
                <w:rtl w:val="0"/>
              </w:rPr>
              <w:t xml:space="preserve">the date</w:t>
            </w:r>
            <w:r w:rsidDel="00000000" w:rsidR="00000000" w:rsidRPr="00000000">
              <w:rPr>
                <w:rFonts w:ascii="Calibri" w:cs="Calibri" w:eastAsia="Calibri" w:hAnsi="Calibri"/>
                <w:color w:val="1e293b"/>
                <w:sz w:val="19"/>
                <w:szCs w:val="19"/>
                <w:rtl w:val="0"/>
              </w:rPr>
              <w:t xml:space="preserve"> during Phase 1 cleaning</w:t>
            </w:r>
            <w:r w:rsidDel="00000000" w:rsidR="00000000" w:rsidRPr="00000000">
              <w:rPr>
                <w:rtl w:val="0"/>
              </w:rPr>
            </w:r>
          </w:p>
        </w:tc>
      </w:tr>
    </w:tbl>
    <w:p w:rsidR="00000000" w:rsidDel="00000000" w:rsidP="00000000" w:rsidRDefault="00000000" w:rsidRPr="00000000" w14:paraId="00000046">
      <w:pPr>
        <w:spacing w:after="160" w:before="0" w:lineRule="auto"/>
        <w:rPr/>
      </w:pPr>
      <w:r w:rsidDel="00000000" w:rsidR="00000000" w:rsidRPr="00000000">
        <w:rPr>
          <w:rtl w:val="0"/>
        </w:rPr>
      </w:r>
    </w:p>
    <w:p w:rsidR="00000000" w:rsidDel="00000000" w:rsidP="00000000" w:rsidRDefault="00000000" w:rsidRPr="00000000" w14:paraId="00000047">
      <w:pPr>
        <w:spacing w:after="160" w:before="0" w:lineRule="auto"/>
        <w:rPr/>
      </w:pPr>
      <w:r w:rsidDel="00000000" w:rsidR="00000000" w:rsidRPr="00000000">
        <w:rPr>
          <w:rtl w:val="0"/>
        </w:rPr>
      </w:r>
    </w:p>
    <w:p w:rsidR="00000000" w:rsidDel="00000000" w:rsidP="00000000" w:rsidRDefault="00000000" w:rsidRPr="00000000" w14:paraId="00000048">
      <w:pPr>
        <w:spacing w:after="160" w:before="0" w:lineRule="auto"/>
        <w:rPr/>
      </w:pPr>
      <w:r w:rsidDel="00000000" w:rsidR="00000000" w:rsidRPr="00000000">
        <w:rPr>
          <w:rtl w:val="0"/>
        </w:rPr>
      </w:r>
    </w:p>
    <w:p w:rsidR="00000000" w:rsidDel="00000000" w:rsidP="00000000" w:rsidRDefault="00000000" w:rsidRPr="00000000" w14:paraId="00000049">
      <w:pPr>
        <w:pStyle w:val="Heading2"/>
        <w:spacing w:after="80" w:before="240" w:lineRule="auto"/>
        <w:rPr/>
      </w:pPr>
      <w:r w:rsidDel="00000000" w:rsidR="00000000" w:rsidRPr="00000000">
        <w:rPr>
          <w:rFonts w:ascii="Calibri" w:cs="Calibri" w:eastAsia="Calibri" w:hAnsi="Calibri"/>
          <w:b w:val="1"/>
          <w:bCs w:val="1"/>
          <w:color w:val="1e2761"/>
          <w:sz w:val="26"/>
          <w:szCs w:val="26"/>
          <w:rtl w:val="0"/>
        </w:rPr>
        <w:t xml:space="preserve">2.2 Data Quality &amp; Cleaning (Phase 1)</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Missing values: None found across all 12 columns.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Duplicate rows: None detected after deduplication check.</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Revenue integrity: All 10,000 rows confirmed Revenue = Units_Sold × Unit_Price within 1% tolerance.</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Outliers: Detected in Revenue and Unit_Price using </w:t>
      </w:r>
      <w:r w:rsidDel="00000000" w:rsidR="00000000" w:rsidRPr="00000000">
        <w:rPr>
          <w:color w:val="1e293b"/>
          <w:rtl w:val="0"/>
        </w:rPr>
        <w:t xml:space="preserve">the </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IQR method — retained as genuine high-ticket transactions.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Date parsing: Converted from string to datetime. Year, Month, and Quarter extracted as separate columns.</w:t>
      </w:r>
      <w:r w:rsidDel="00000000" w:rsidR="00000000" w:rsidRPr="00000000">
        <w:rPr>
          <w:rtl w:val="0"/>
        </w:rPr>
      </w:r>
    </w:p>
    <w:p w:rsidR="00000000" w:rsidDel="00000000" w:rsidP="00000000" w:rsidRDefault="00000000" w:rsidRPr="00000000" w14:paraId="0000004F">
      <w:pPr>
        <w:spacing w:after="160" w:before="0" w:lineRule="auto"/>
        <w:rPr/>
      </w:pPr>
      <w:r w:rsidDel="00000000" w:rsidR="00000000" w:rsidRPr="00000000">
        <w:rPr>
          <w:rtl w:val="0"/>
        </w:rPr>
      </w:r>
    </w:p>
    <w:p w:rsidR="00000000" w:rsidDel="00000000" w:rsidP="00000000" w:rsidRDefault="00000000" w:rsidRPr="00000000" w14:paraId="00000050">
      <w:pPr>
        <w:pStyle w:val="Heading2"/>
        <w:spacing w:after="80" w:before="240" w:lineRule="auto"/>
        <w:rPr/>
      </w:pPr>
      <w:r w:rsidDel="00000000" w:rsidR="00000000" w:rsidRPr="00000000">
        <w:rPr>
          <w:rFonts w:ascii="Calibri" w:cs="Calibri" w:eastAsia="Calibri" w:hAnsi="Calibri"/>
          <w:b w:val="1"/>
          <w:bCs w:val="1"/>
          <w:color w:val="1e2761"/>
          <w:sz w:val="26"/>
          <w:szCs w:val="26"/>
          <w:rtl w:val="0"/>
        </w:rPr>
        <w:t xml:space="preserve">2.3 Tools &amp; Methodology</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Python (Pandas, NumPy): Data cleaning, feature extraction, outlier detection — saved as automobile_sales_cleaned.csv</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PostgreSQL: 8 business queries covering trends, rankings, correlations, and seasonality — saved as 02_sql_analysis.sql</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Matplotlib + Seaborn: 8 analytical charts — Pareto analysis, scatter plots, heatmaps, and trend lines — saved as PNG files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Power BI: 3-page interactive dashboard with DAX measures for dynamic KPI calculation</w:t>
      </w:r>
      <w:r w:rsidDel="00000000" w:rsidR="00000000" w:rsidRPr="00000000">
        <w:rPr>
          <w:rtl w:val="0"/>
        </w:rPr>
      </w:r>
    </w:p>
    <w:p w:rsidR="00000000" w:rsidDel="00000000" w:rsidP="00000000" w:rsidRDefault="00000000" w:rsidRPr="00000000" w14:paraId="00000055">
      <w:pPr>
        <w:spacing w:after="160" w:before="0" w:lineRule="auto"/>
        <w:rPr/>
      </w:pPr>
      <w:r w:rsidDel="00000000" w:rsidR="00000000" w:rsidRPr="00000000">
        <w:rPr>
          <w:rtl w:val="0"/>
        </w:rPr>
      </w:r>
    </w:p>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pBdr>
          <w:bottom w:color="2d6bd4" w:space="0" w:sz="8" w:val="single"/>
        </w:pBdr>
        <w:spacing w:after="120" w:before="360" w:lineRule="auto"/>
        <w:rPr/>
      </w:pPr>
      <w:r w:rsidDel="00000000" w:rsidR="00000000" w:rsidRPr="00000000">
        <w:rPr>
          <w:rFonts w:ascii="Calibri" w:cs="Calibri" w:eastAsia="Calibri" w:hAnsi="Calibri"/>
          <w:b w:val="1"/>
          <w:bCs w:val="1"/>
          <w:color w:val="1e2761"/>
          <w:sz w:val="36"/>
          <w:szCs w:val="36"/>
          <w:rtl w:val="0"/>
        </w:rPr>
        <w:t xml:space="preserve">3. Key Findings</w:t>
      </w:r>
      <w:r w:rsidDel="00000000" w:rsidR="00000000" w:rsidRPr="00000000">
        <w:rPr>
          <w:rtl w:val="0"/>
        </w:rPr>
      </w:r>
    </w:p>
    <w:p w:rsidR="00000000" w:rsidDel="00000000" w:rsidP="00000000" w:rsidRDefault="00000000" w:rsidRPr="00000000" w14:paraId="00000058">
      <w:pPr>
        <w:pStyle w:val="Heading2"/>
        <w:spacing w:after="80" w:before="240" w:lineRule="auto"/>
        <w:rPr/>
      </w:pPr>
      <w:r w:rsidDel="00000000" w:rsidR="00000000" w:rsidRPr="00000000">
        <w:rPr>
          <w:rFonts w:ascii="Calibri" w:cs="Calibri" w:eastAsia="Calibri" w:hAnsi="Calibri"/>
          <w:b w:val="1"/>
          <w:bCs w:val="1"/>
          <w:color w:val="1e2761"/>
          <w:sz w:val="26"/>
          <w:szCs w:val="26"/>
          <w:rtl w:val="0"/>
        </w:rPr>
        <w:t xml:space="preserve">3.1 Revenue Trend (2020–2025)</w:t>
      </w:r>
      <w:r w:rsidDel="00000000" w:rsidR="00000000" w:rsidRPr="00000000">
        <w:rPr>
          <w:rtl w:val="0"/>
        </w:rPr>
      </w:r>
    </w:p>
    <w:p w:rsidR="00000000" w:rsidDel="00000000" w:rsidP="00000000" w:rsidRDefault="00000000" w:rsidRPr="00000000" w14:paraId="00000059">
      <w:pPr>
        <w:spacing w:after="160" w:before="0" w:lineRule="auto"/>
        <w:rPr/>
      </w:pPr>
      <w:r w:rsidDel="00000000" w:rsidR="00000000" w:rsidRPr="00000000">
        <w:rPr>
          <w:rFonts w:ascii="Calibri" w:cs="Calibri" w:eastAsia="Calibri" w:hAnsi="Calibri"/>
          <w:b w:val="0"/>
          <w:bCs w:val="0"/>
          <w:i w:val="0"/>
          <w:iCs w:val="0"/>
          <w:color w:val="1e293b"/>
          <w:sz w:val="22"/>
          <w:szCs w:val="22"/>
          <w:rtl w:val="0"/>
        </w:rPr>
        <w:t xml:space="preserve">Annual revenue grew from ₹68.1bn in 2020 to a peak of ₹74.15bn in 2023, before declining to ₹72.3bn in 2024 (-2.50%) and ₹68.3bn in 2025 (-5.55%). The 2025 figure returns the market to its 2020 starting point, erasing five years of growth.</w:t>
      </w:r>
      <w:r w:rsidDel="00000000" w:rsidR="00000000" w:rsidRPr="00000000">
        <w:rPr>
          <w:rtl w:val="0"/>
        </w:rPr>
      </w:r>
    </w:p>
    <w:p w:rsidR="00000000" w:rsidDel="00000000" w:rsidP="00000000" w:rsidRDefault="00000000" w:rsidRPr="00000000" w14:paraId="0000005A">
      <w:pPr>
        <w:spacing w:after="0" w:before="0" w:lineRule="auto"/>
        <w:rPr/>
      </w:pPr>
      <w:r w:rsidDel="00000000" w:rsidR="00000000" w:rsidRPr="00000000">
        <w:rPr>
          <w:rtl w:val="0"/>
        </w:rPr>
      </w:r>
    </w:p>
    <w:p w:rsidR="00000000" w:rsidDel="00000000" w:rsidP="00000000" w:rsidRDefault="00000000" w:rsidRPr="00000000" w14:paraId="0000005B">
      <w:pPr>
        <w:spacing w:after="160" w:before="0" w:lineRule="auto"/>
        <w:rPr/>
      </w:pPr>
      <w:r w:rsidDel="00000000" w:rsidR="00000000" w:rsidRPr="00000000">
        <w:rPr>
          <w:rFonts w:ascii="Calibri" w:cs="Calibri" w:eastAsia="Calibri" w:hAnsi="Calibri"/>
          <w:b w:val="0"/>
          <w:bCs w:val="0"/>
          <w:i w:val="0"/>
          <w:iCs w:val="0"/>
          <w:color w:val="1e293b"/>
          <w:sz w:val="22"/>
          <w:szCs w:val="22"/>
          <w:rtl w:val="0"/>
        </w:rPr>
        <w:t xml:space="preserve">The critical context is that unit volumes remained stable throughout — ranging between 39,402 units (2020) and 43,364 units (2023) — with no significant drop in 2024 or 2025. This decoupling of revenue from volume confirms the decline is driven by falling average selling prices, not reduced buyer demand. The most likely causes are EV price corrections as new entrants compete with BYD, and dealers discounting mid-range models to clear inventory.</w:t>
      </w:r>
      <w:r w:rsidDel="00000000" w:rsidR="00000000" w:rsidRPr="00000000">
        <w:rPr>
          <w:rtl w:val="0"/>
        </w:rPr>
      </w:r>
    </w:p>
    <w:p w:rsidR="00000000" w:rsidDel="00000000" w:rsidP="00000000" w:rsidRDefault="00000000" w:rsidRPr="00000000" w14:paraId="0000005C">
      <w:pPr>
        <w:spacing w:after="160" w:before="0" w:lineRule="auto"/>
        <w:rPr/>
      </w:pPr>
      <w:r w:rsidDel="00000000" w:rsidR="00000000" w:rsidRPr="00000000">
        <w:rPr>
          <w:rtl w:val="0"/>
        </w:rPr>
      </w:r>
    </w:p>
    <w:p w:rsidR="00000000" w:rsidDel="00000000" w:rsidP="00000000" w:rsidRDefault="00000000" w:rsidRPr="00000000" w14:paraId="0000005D">
      <w:pPr>
        <w:pStyle w:val="Heading2"/>
        <w:spacing w:after="80" w:before="240" w:lineRule="auto"/>
        <w:rPr/>
      </w:pPr>
      <w:r w:rsidDel="00000000" w:rsidR="00000000" w:rsidRPr="00000000">
        <w:rPr>
          <w:rFonts w:ascii="Calibri" w:cs="Calibri" w:eastAsia="Calibri" w:hAnsi="Calibri"/>
          <w:b w:val="1"/>
          <w:bCs w:val="1"/>
          <w:color w:val="1e2761"/>
          <w:sz w:val="26"/>
          <w:szCs w:val="26"/>
          <w:rtl w:val="0"/>
        </w:rPr>
        <w:t xml:space="preserve">3.2 Regional Performance</w:t>
      </w:r>
      <w:r w:rsidDel="00000000" w:rsidR="00000000" w:rsidRPr="00000000">
        <w:rPr>
          <w:rtl w:val="0"/>
        </w:rPr>
      </w:r>
    </w:p>
    <w:p w:rsidR="00000000" w:rsidDel="00000000" w:rsidP="00000000" w:rsidRDefault="00000000" w:rsidRPr="00000000" w14:paraId="0000005E">
      <w:pPr>
        <w:spacing w:after="160" w:before="0" w:lineRule="auto"/>
        <w:rPr/>
      </w:pPr>
      <w:r w:rsidDel="00000000" w:rsidR="00000000" w:rsidRPr="00000000">
        <w:rPr>
          <w:rFonts w:ascii="Calibri" w:cs="Calibri" w:eastAsia="Calibri" w:hAnsi="Calibri"/>
          <w:b w:val="0"/>
          <w:bCs w:val="0"/>
          <w:i w:val="0"/>
          <w:iCs w:val="0"/>
          <w:color w:val="1e293b"/>
          <w:sz w:val="22"/>
          <w:szCs w:val="22"/>
          <w:rtl w:val="0"/>
        </w:rPr>
        <w:t xml:space="preserve">Revenue is remarkably evenly distributed across all five regions — West leads at 20.97% (₹89.1bn) followed by Central (20.23%), South (19.99%), North (19.62%), and East (19.19%). The maximum gap between any two regions is just 1.78 percentage points.</w:t>
      </w:r>
      <w:r w:rsidDel="00000000" w:rsidR="00000000" w:rsidRPr="00000000">
        <w:rPr>
          <w:rtl w:val="0"/>
        </w:rPr>
      </w:r>
    </w:p>
    <w:p w:rsidR="00000000" w:rsidDel="00000000" w:rsidP="00000000" w:rsidRDefault="00000000" w:rsidRPr="00000000" w14:paraId="0000005F">
      <w:pPr>
        <w:spacing w:after="0" w:before="0" w:lineRule="auto"/>
        <w:rPr/>
      </w:pPr>
      <w:r w:rsidDel="00000000" w:rsidR="00000000" w:rsidRPr="00000000">
        <w:rPr>
          <w:rtl w:val="0"/>
        </w:rPr>
      </w:r>
    </w:p>
    <w:p w:rsidR="00000000" w:rsidDel="00000000" w:rsidP="00000000" w:rsidRDefault="00000000" w:rsidRPr="00000000" w14:paraId="00000060">
      <w:pPr>
        <w:spacing w:after="160" w:before="0" w:lineRule="auto"/>
        <w:rPr/>
      </w:pPr>
      <w:r w:rsidDel="00000000" w:rsidR="00000000" w:rsidRPr="00000000">
        <w:rPr>
          <w:rFonts w:ascii="Calibri" w:cs="Calibri" w:eastAsia="Calibri" w:hAnsi="Calibri"/>
          <w:b w:val="0"/>
          <w:bCs w:val="0"/>
          <w:i w:val="0"/>
          <w:iCs w:val="0"/>
          <w:color w:val="1e293b"/>
          <w:sz w:val="22"/>
          <w:szCs w:val="22"/>
          <w:rtl w:val="0"/>
        </w:rPr>
        <w:t xml:space="preserve">This even distribution indicates no regional concentration risk in the dealer network. However, a year-by-year heatmap reveals that the 2024–2025 revenue decline affects all five regions simultaneously — confirming the decline is a market-wide structural issue, not a regional anomaly.</w:t>
      </w:r>
      <w:r w:rsidDel="00000000" w:rsidR="00000000" w:rsidRPr="00000000">
        <w:rPr>
          <w:rtl w:val="0"/>
        </w:rPr>
      </w:r>
    </w:p>
    <w:p w:rsidR="00000000" w:rsidDel="00000000" w:rsidP="00000000" w:rsidRDefault="00000000" w:rsidRPr="00000000" w14:paraId="00000061">
      <w:pPr>
        <w:spacing w:after="160" w:before="0" w:lineRule="auto"/>
        <w:rPr/>
      </w:pPr>
      <w:r w:rsidDel="00000000" w:rsidR="00000000" w:rsidRPr="00000000">
        <w:rPr>
          <w:rtl w:val="0"/>
        </w:rPr>
      </w:r>
    </w:p>
    <w:p w:rsidR="00000000" w:rsidDel="00000000" w:rsidP="00000000" w:rsidRDefault="00000000" w:rsidRPr="00000000" w14:paraId="00000062">
      <w:pPr>
        <w:pStyle w:val="Heading2"/>
        <w:spacing w:after="80" w:before="240" w:lineRule="auto"/>
        <w:rPr/>
      </w:pPr>
      <w:r w:rsidDel="00000000" w:rsidR="00000000" w:rsidRPr="00000000">
        <w:rPr>
          <w:rFonts w:ascii="Calibri" w:cs="Calibri" w:eastAsia="Calibri" w:hAnsi="Calibri"/>
          <w:b w:val="1"/>
          <w:bCs w:val="1"/>
          <w:color w:val="1e2761"/>
          <w:sz w:val="26"/>
          <w:szCs w:val="26"/>
          <w:rtl w:val="0"/>
        </w:rPr>
        <w:t xml:space="preserve">3.3 Dealer Performance &amp; Pricing Tiers</w:t>
      </w:r>
      <w:r w:rsidDel="00000000" w:rsidR="00000000" w:rsidRPr="00000000">
        <w:rPr>
          <w:rtl w:val="0"/>
        </w:rPr>
      </w:r>
    </w:p>
    <w:p w:rsidR="00000000" w:rsidDel="00000000" w:rsidP="00000000" w:rsidRDefault="00000000" w:rsidRPr="00000000" w14:paraId="00000063">
      <w:pPr>
        <w:spacing w:after="160" w:before="0" w:lineRule="auto"/>
        <w:rPr/>
      </w:pPr>
      <w:r w:rsidDel="00000000" w:rsidR="00000000" w:rsidRPr="00000000">
        <w:rPr>
          <w:rFonts w:ascii="Calibri" w:cs="Calibri" w:eastAsia="Calibri" w:hAnsi="Calibri"/>
          <w:b w:val="0"/>
          <w:bCs w:val="0"/>
          <w:i w:val="0"/>
          <w:iCs w:val="0"/>
          <w:color w:val="1e293b"/>
          <w:sz w:val="22"/>
          <w:szCs w:val="22"/>
          <w:rtl w:val="0"/>
        </w:rPr>
        <w:t xml:space="preserve">The 15-dealer network separates cleanly into three distinct pricing tiers with no overlap:</w:t>
      </w:r>
      <w:r w:rsidDel="00000000" w:rsidR="00000000" w:rsidRPr="00000000">
        <w:rPr>
          <w:rtl w:val="0"/>
        </w:rPr>
      </w:r>
    </w:p>
    <w:p w:rsidR="00000000" w:rsidDel="00000000" w:rsidP="00000000" w:rsidRDefault="00000000" w:rsidRPr="00000000" w14:paraId="00000064">
      <w:pPr>
        <w:spacing w:after="0" w:before="0" w:lineRule="auto"/>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Premium tier — BYD Electric India (avg ₹27.64L): ₹47.2bn total revenue, ranking 1st across all regions. BYD's revenue is ₹11.2bn ahead of the next dealer (Kia Motors Arena at ₹36bn), a gap of 31%.</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Mid-range tier — Kia, Nissan, MG, Jeep, Ford (avg ₹20–22L): Revenue ranging ₹33–36bn per dealer. This tier drives the majority of total network volume.</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Budget tier — Honda, Nexa, Volkswagen, Hyundai, Renault (avg ₹10–14L): Revenue ranging ₹17–23bn. High transaction counts but low unit prices limit revenue ceiling.</w:t>
      </w:r>
      <w:r w:rsidDel="00000000" w:rsidR="00000000" w:rsidRPr="00000000">
        <w:rPr>
          <w:rtl w:val="0"/>
        </w:rPr>
      </w:r>
    </w:p>
    <w:p w:rsidR="00000000" w:rsidDel="00000000" w:rsidP="00000000" w:rsidRDefault="00000000" w:rsidRPr="00000000" w14:paraId="00000068">
      <w:pPr>
        <w:spacing w:after="0" w:before="0" w:lineRule="auto"/>
        <w:rPr/>
      </w:pPr>
      <w:r w:rsidDel="00000000" w:rsidR="00000000" w:rsidRPr="00000000">
        <w:rPr>
          <w:rtl w:val="0"/>
        </w:rPr>
      </w:r>
    </w:p>
    <w:p w:rsidR="00000000" w:rsidDel="00000000" w:rsidP="00000000" w:rsidRDefault="00000000" w:rsidRPr="00000000" w14:paraId="00000069">
      <w:pPr>
        <w:spacing w:after="160" w:before="0" w:lineRule="auto"/>
        <w:rPr/>
      </w:pPr>
      <w:r w:rsidDel="00000000" w:rsidR="00000000" w:rsidRPr="00000000">
        <w:rPr>
          <w:rFonts w:ascii="Calibri" w:cs="Calibri" w:eastAsia="Calibri" w:hAnsi="Calibri"/>
          <w:b w:val="0"/>
          <w:bCs w:val="0"/>
          <w:i w:val="0"/>
          <w:iCs w:val="0"/>
          <w:color w:val="1e293b"/>
          <w:sz w:val="22"/>
          <w:szCs w:val="22"/>
          <w:rtl w:val="0"/>
        </w:rPr>
        <w:t xml:space="preserve">The quadrant analysis of satisfaction versus revenue reveals no meaningful correlation between the two — only 14.7% of dealer-region combinations achieve both high satisfaction and high revenue simultaneously. BYD consistently sits in the "Low Satisfaction, High Revenue" quadrant, demonstrating that premium pricing drives revenue independent of customer experience.</w:t>
      </w:r>
      <w:r w:rsidDel="00000000" w:rsidR="00000000" w:rsidRPr="00000000">
        <w:rPr>
          <w:rtl w:val="0"/>
        </w:rPr>
      </w:r>
    </w:p>
    <w:p w:rsidR="00000000" w:rsidDel="00000000" w:rsidP="00000000" w:rsidRDefault="00000000" w:rsidRPr="00000000" w14:paraId="0000006A">
      <w:pPr>
        <w:spacing w:after="160" w:before="0" w:lineRule="auto"/>
        <w:rPr/>
      </w:pPr>
      <w:r w:rsidDel="00000000" w:rsidR="00000000" w:rsidRPr="00000000">
        <w:rPr>
          <w:rtl w:val="0"/>
        </w:rPr>
      </w:r>
    </w:p>
    <w:p w:rsidR="00000000" w:rsidDel="00000000" w:rsidP="00000000" w:rsidRDefault="00000000" w:rsidRPr="00000000" w14:paraId="0000006B">
      <w:pPr>
        <w:spacing w:after="160" w:before="0" w:lineRule="auto"/>
        <w:rPr/>
      </w:pPr>
      <w:r w:rsidDel="00000000" w:rsidR="00000000" w:rsidRPr="00000000">
        <w:rPr>
          <w:rtl w:val="0"/>
        </w:rPr>
      </w:r>
    </w:p>
    <w:p w:rsidR="00000000" w:rsidDel="00000000" w:rsidP="00000000" w:rsidRDefault="00000000" w:rsidRPr="00000000" w14:paraId="0000006C">
      <w:pPr>
        <w:spacing w:after="160" w:before="0" w:lineRule="auto"/>
        <w:rPr/>
      </w:pPr>
      <w:r w:rsidDel="00000000" w:rsidR="00000000" w:rsidRPr="00000000">
        <w:rPr>
          <w:rtl w:val="0"/>
        </w:rPr>
      </w:r>
    </w:p>
    <w:p w:rsidR="00000000" w:rsidDel="00000000" w:rsidP="00000000" w:rsidRDefault="00000000" w:rsidRPr="00000000" w14:paraId="0000006D">
      <w:pPr>
        <w:spacing w:after="160" w:before="0" w:lineRule="auto"/>
        <w:rPr/>
      </w:pPr>
      <w:r w:rsidDel="00000000" w:rsidR="00000000" w:rsidRPr="00000000">
        <w:rPr>
          <w:rtl w:val="0"/>
        </w:rPr>
      </w:r>
    </w:p>
    <w:p w:rsidR="00000000" w:rsidDel="00000000" w:rsidP="00000000" w:rsidRDefault="00000000" w:rsidRPr="00000000" w14:paraId="0000006E">
      <w:pPr>
        <w:spacing w:after="160" w:before="0" w:lineRule="auto"/>
        <w:rPr/>
      </w:pPr>
      <w:r w:rsidDel="00000000" w:rsidR="00000000" w:rsidRPr="00000000">
        <w:rPr>
          <w:rtl w:val="0"/>
        </w:rPr>
      </w:r>
    </w:p>
    <w:p w:rsidR="00000000" w:rsidDel="00000000" w:rsidP="00000000" w:rsidRDefault="00000000" w:rsidRPr="00000000" w14:paraId="0000006F">
      <w:pPr>
        <w:pStyle w:val="Heading2"/>
        <w:spacing w:after="80" w:before="240" w:lineRule="auto"/>
        <w:rPr/>
      </w:pPr>
      <w:r w:rsidDel="00000000" w:rsidR="00000000" w:rsidRPr="00000000">
        <w:rPr>
          <w:rFonts w:ascii="Calibri" w:cs="Calibri" w:eastAsia="Calibri" w:hAnsi="Calibri"/>
          <w:b w:val="1"/>
          <w:bCs w:val="1"/>
          <w:color w:val="1e2761"/>
          <w:sz w:val="26"/>
          <w:szCs w:val="26"/>
          <w:rtl w:val="0"/>
        </w:rPr>
        <w:t xml:space="preserve">3.4 Category &amp; Fuel Type Analysis</w:t>
      </w:r>
      <w:r w:rsidDel="00000000" w:rsidR="00000000" w:rsidRPr="00000000">
        <w:rPr>
          <w:rtl w:val="0"/>
        </w:rPr>
      </w:r>
    </w:p>
    <w:p w:rsidR="00000000" w:rsidDel="00000000" w:rsidP="00000000" w:rsidRDefault="00000000" w:rsidRPr="00000000" w14:paraId="00000070">
      <w:pPr>
        <w:spacing w:after="160" w:before="0" w:lineRule="auto"/>
        <w:rPr/>
      </w:pPr>
      <w:r w:rsidDel="00000000" w:rsidR="00000000" w:rsidRPr="00000000">
        <w:rPr>
          <w:rFonts w:ascii="Calibri" w:cs="Calibri" w:eastAsia="Calibri" w:hAnsi="Calibri"/>
          <w:b w:val="0"/>
          <w:bCs w:val="0"/>
          <w:i w:val="0"/>
          <w:iCs w:val="0"/>
          <w:color w:val="1e293b"/>
          <w:sz w:val="22"/>
          <w:szCs w:val="22"/>
          <w:rtl w:val="0"/>
        </w:rPr>
        <w:t xml:space="preserve">SUVs dominate the revenue portfolio at 65.79% (₹279.5bn) from 53.15% of transactions — confirming both volume and pricing advantages. The Electric category is the most revenue-efficient segment despite representing only 6.8% of total units:</w:t>
      </w:r>
      <w:r w:rsidDel="00000000" w:rsidR="00000000" w:rsidRPr="00000000">
        <w:rPr>
          <w:rtl w:val="0"/>
        </w:rPr>
      </w:r>
    </w:p>
    <w:p w:rsidR="00000000" w:rsidDel="00000000" w:rsidP="00000000" w:rsidRDefault="00000000" w:rsidRPr="00000000" w14:paraId="00000071">
      <w:pPr>
        <w:spacing w:after="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2d6bd4" w:space="0" w:sz="12" w:val="single"/>
              <w:left w:color="e2e8f0" w:space="0" w:sz="4" w:val="single"/>
              <w:bottom w:color="e2e8f0" w:space="0" w:sz="4" w:val="single"/>
              <w:right w:color="e2e8f0" w:space="0" w:sz="4" w:val="single"/>
            </w:tcBorders>
            <w:shd w:fill="eff6ff" w:val="clear"/>
            <w:tcMar>
              <w:top w:w="120.0" w:type="dxa"/>
              <w:left w:w="120.0" w:type="dxa"/>
              <w:bottom w:w="120.0" w:type="dxa"/>
              <w:right w:w="120.0" w:type="dxa"/>
            </w:tcMar>
          </w:tcPr>
          <w:p w:rsidR="00000000" w:rsidDel="00000000" w:rsidP="00000000" w:rsidRDefault="00000000" w:rsidRPr="00000000" w14:paraId="00000072">
            <w:pPr>
              <w:spacing w:after="40" w:before="60" w:lineRule="auto"/>
              <w:jc w:val="center"/>
              <w:rPr/>
            </w:pPr>
            <w:r w:rsidDel="00000000" w:rsidR="00000000" w:rsidRPr="00000000">
              <w:rPr>
                <w:rFonts w:ascii="Calibri" w:cs="Calibri" w:eastAsia="Calibri" w:hAnsi="Calibri"/>
                <w:b w:val="1"/>
                <w:bCs w:val="1"/>
                <w:color w:val="1e2761"/>
                <w:sz w:val="36"/>
                <w:szCs w:val="36"/>
                <w:rtl w:val="0"/>
              </w:rPr>
              <w:t xml:space="preserve">65.79%</w:t>
            </w:r>
            <w:r w:rsidDel="00000000" w:rsidR="00000000" w:rsidRPr="00000000">
              <w:rPr>
                <w:rtl w:val="0"/>
              </w:rPr>
            </w:r>
          </w:p>
          <w:p w:rsidR="00000000" w:rsidDel="00000000" w:rsidP="00000000" w:rsidRDefault="00000000" w:rsidRPr="00000000" w14:paraId="00000073">
            <w:pPr>
              <w:spacing w:after="40" w:before="0" w:lineRule="auto"/>
              <w:jc w:val="center"/>
              <w:rPr/>
            </w:pPr>
            <w:r w:rsidDel="00000000" w:rsidR="00000000" w:rsidRPr="00000000">
              <w:rPr>
                <w:rFonts w:ascii="Calibri" w:cs="Calibri" w:eastAsia="Calibri" w:hAnsi="Calibri"/>
                <w:b w:val="1"/>
                <w:bCs w:val="1"/>
                <w:color w:val="2d6bd4"/>
                <w:sz w:val="18"/>
                <w:szCs w:val="18"/>
                <w:rtl w:val="0"/>
              </w:rPr>
              <w:t xml:space="preserve">SUV Revenue Share</w:t>
            </w:r>
            <w:r w:rsidDel="00000000" w:rsidR="00000000" w:rsidRPr="00000000">
              <w:rPr>
                <w:rtl w:val="0"/>
              </w:rPr>
            </w:r>
          </w:p>
          <w:p w:rsidR="00000000" w:rsidDel="00000000" w:rsidP="00000000" w:rsidRDefault="00000000" w:rsidRPr="00000000" w14:paraId="00000074">
            <w:pPr>
              <w:spacing w:after="60" w:before="0" w:lineRule="auto"/>
              <w:jc w:val="center"/>
              <w:rPr/>
            </w:pPr>
            <w:r w:rsidDel="00000000" w:rsidR="00000000" w:rsidRPr="00000000">
              <w:rPr>
                <w:rFonts w:ascii="Calibri" w:cs="Calibri" w:eastAsia="Calibri" w:hAnsi="Calibri"/>
                <w:color w:val="64748b"/>
                <w:sz w:val="16"/>
                <w:szCs w:val="16"/>
                <w:rtl w:val="0"/>
              </w:rPr>
              <w:t xml:space="preserve">₹279.5bn</w:t>
            </w:r>
            <w:r w:rsidDel="00000000" w:rsidR="00000000" w:rsidRPr="00000000">
              <w:rPr>
                <w:rtl w:val="0"/>
              </w:rPr>
            </w:r>
          </w:p>
        </w:tc>
        <w:tc>
          <w:tcPr>
            <w:tcBorders>
              <w:top w:color="2d6bd4" w:space="0" w:sz="12" w:val="single"/>
              <w:left w:color="e2e8f0" w:space="0" w:sz="4" w:val="single"/>
              <w:bottom w:color="e2e8f0" w:space="0" w:sz="4" w:val="single"/>
              <w:right w:color="e2e8f0" w:space="0" w:sz="4" w:val="single"/>
            </w:tcBorders>
            <w:shd w:fill="eff6ff" w:val="clear"/>
            <w:tcMar>
              <w:top w:w="120.0" w:type="dxa"/>
              <w:left w:w="120.0" w:type="dxa"/>
              <w:bottom w:w="120.0" w:type="dxa"/>
              <w:right w:w="120.0" w:type="dxa"/>
            </w:tcMar>
          </w:tcPr>
          <w:p w:rsidR="00000000" w:rsidDel="00000000" w:rsidP="00000000" w:rsidRDefault="00000000" w:rsidRPr="00000000" w14:paraId="00000075">
            <w:pPr>
              <w:spacing w:after="40" w:before="60" w:lineRule="auto"/>
              <w:jc w:val="center"/>
              <w:rPr/>
            </w:pPr>
            <w:r w:rsidDel="00000000" w:rsidR="00000000" w:rsidRPr="00000000">
              <w:rPr>
                <w:rFonts w:ascii="Calibri" w:cs="Calibri" w:eastAsia="Calibri" w:hAnsi="Calibri"/>
                <w:b w:val="1"/>
                <w:bCs w:val="1"/>
                <w:color w:val="1e2761"/>
                <w:sz w:val="36"/>
                <w:szCs w:val="36"/>
                <w:rtl w:val="0"/>
              </w:rPr>
              <w:t xml:space="preserve">11.10%</w:t>
            </w:r>
            <w:r w:rsidDel="00000000" w:rsidR="00000000" w:rsidRPr="00000000">
              <w:rPr>
                <w:rtl w:val="0"/>
              </w:rPr>
            </w:r>
          </w:p>
          <w:p w:rsidR="00000000" w:rsidDel="00000000" w:rsidP="00000000" w:rsidRDefault="00000000" w:rsidRPr="00000000" w14:paraId="00000076">
            <w:pPr>
              <w:spacing w:after="40" w:before="0" w:lineRule="auto"/>
              <w:jc w:val="center"/>
              <w:rPr/>
            </w:pPr>
            <w:r w:rsidDel="00000000" w:rsidR="00000000" w:rsidRPr="00000000">
              <w:rPr>
                <w:rFonts w:ascii="Calibri" w:cs="Calibri" w:eastAsia="Calibri" w:hAnsi="Calibri"/>
                <w:b w:val="1"/>
                <w:bCs w:val="1"/>
                <w:color w:val="2d6bd4"/>
                <w:sz w:val="18"/>
                <w:szCs w:val="18"/>
                <w:rtl w:val="0"/>
              </w:rPr>
              <w:t xml:space="preserve">Electric Revenue Share</w:t>
            </w:r>
            <w:r w:rsidDel="00000000" w:rsidR="00000000" w:rsidRPr="00000000">
              <w:rPr>
                <w:rtl w:val="0"/>
              </w:rPr>
            </w:r>
          </w:p>
          <w:p w:rsidR="00000000" w:rsidDel="00000000" w:rsidP="00000000" w:rsidRDefault="00000000" w:rsidRPr="00000000" w14:paraId="00000077">
            <w:pPr>
              <w:spacing w:after="60" w:before="0" w:lineRule="auto"/>
              <w:jc w:val="center"/>
              <w:rPr/>
            </w:pPr>
            <w:r w:rsidDel="00000000" w:rsidR="00000000" w:rsidRPr="00000000">
              <w:rPr>
                <w:rFonts w:ascii="Calibri" w:cs="Calibri" w:eastAsia="Calibri" w:hAnsi="Calibri"/>
                <w:color w:val="64748b"/>
                <w:sz w:val="16"/>
                <w:szCs w:val="16"/>
                <w:rtl w:val="0"/>
              </w:rPr>
              <w:t xml:space="preserve">₹47.2bn — 6.8% of units</w:t>
            </w:r>
            <w:r w:rsidDel="00000000" w:rsidR="00000000" w:rsidRPr="00000000">
              <w:rPr>
                <w:rtl w:val="0"/>
              </w:rPr>
            </w:r>
          </w:p>
        </w:tc>
        <w:tc>
          <w:tcPr>
            <w:tcBorders>
              <w:top w:color="2d6bd4" w:space="0" w:sz="12" w:val="single"/>
              <w:left w:color="e2e8f0" w:space="0" w:sz="4" w:val="single"/>
              <w:bottom w:color="e2e8f0" w:space="0" w:sz="4" w:val="single"/>
              <w:right w:color="e2e8f0" w:space="0" w:sz="4" w:val="single"/>
            </w:tcBorders>
            <w:shd w:fill="eff6ff" w:val="clear"/>
            <w:tcMar>
              <w:top w:w="120.0" w:type="dxa"/>
              <w:left w:w="120.0" w:type="dxa"/>
              <w:bottom w:w="120.0" w:type="dxa"/>
              <w:right w:w="120.0" w:type="dxa"/>
            </w:tcMar>
          </w:tcPr>
          <w:p w:rsidR="00000000" w:rsidDel="00000000" w:rsidP="00000000" w:rsidRDefault="00000000" w:rsidRPr="00000000" w14:paraId="00000078">
            <w:pPr>
              <w:spacing w:after="40" w:before="60" w:lineRule="auto"/>
              <w:jc w:val="center"/>
              <w:rPr/>
            </w:pPr>
            <w:r w:rsidDel="00000000" w:rsidR="00000000" w:rsidRPr="00000000">
              <w:rPr>
                <w:rFonts w:ascii="Calibri" w:cs="Calibri" w:eastAsia="Calibri" w:hAnsi="Calibri"/>
                <w:b w:val="1"/>
                <w:bCs w:val="1"/>
                <w:color w:val="1e2761"/>
                <w:sz w:val="36"/>
                <w:szCs w:val="36"/>
                <w:rtl w:val="0"/>
              </w:rPr>
              <w:t xml:space="preserve">13.78%</w:t>
            </w:r>
            <w:r w:rsidDel="00000000" w:rsidR="00000000" w:rsidRPr="00000000">
              <w:rPr>
                <w:rtl w:val="0"/>
              </w:rPr>
            </w:r>
          </w:p>
          <w:p w:rsidR="00000000" w:rsidDel="00000000" w:rsidP="00000000" w:rsidRDefault="00000000" w:rsidRPr="00000000" w14:paraId="00000079">
            <w:pPr>
              <w:spacing w:after="40" w:before="0" w:lineRule="auto"/>
              <w:jc w:val="center"/>
              <w:rPr/>
            </w:pPr>
            <w:r w:rsidDel="00000000" w:rsidR="00000000" w:rsidRPr="00000000">
              <w:rPr>
                <w:rFonts w:ascii="Calibri" w:cs="Calibri" w:eastAsia="Calibri" w:hAnsi="Calibri"/>
                <w:b w:val="1"/>
                <w:bCs w:val="1"/>
                <w:color w:val="2d6bd4"/>
                <w:sz w:val="18"/>
                <w:szCs w:val="18"/>
                <w:rtl w:val="0"/>
              </w:rPr>
              <w:t xml:space="preserve">Sedan Revenue Share</w:t>
            </w:r>
            <w:r w:rsidDel="00000000" w:rsidR="00000000" w:rsidRPr="00000000">
              <w:rPr>
                <w:rtl w:val="0"/>
              </w:rPr>
            </w:r>
          </w:p>
          <w:p w:rsidR="00000000" w:rsidDel="00000000" w:rsidP="00000000" w:rsidRDefault="00000000" w:rsidRPr="00000000" w14:paraId="0000007A">
            <w:pPr>
              <w:spacing w:after="60" w:before="0" w:lineRule="auto"/>
              <w:jc w:val="center"/>
              <w:rPr/>
            </w:pPr>
            <w:r w:rsidDel="00000000" w:rsidR="00000000" w:rsidRPr="00000000">
              <w:rPr>
                <w:rFonts w:ascii="Calibri" w:cs="Calibri" w:eastAsia="Calibri" w:hAnsi="Calibri"/>
                <w:color w:val="64748b"/>
                <w:sz w:val="16"/>
                <w:szCs w:val="16"/>
                <w:rtl w:val="0"/>
              </w:rPr>
              <w:t xml:space="preserve">₹58.6bn</w:t>
            </w:r>
            <w:r w:rsidDel="00000000" w:rsidR="00000000" w:rsidRPr="00000000">
              <w:rPr>
                <w:rtl w:val="0"/>
              </w:rPr>
            </w:r>
          </w:p>
        </w:tc>
        <w:tc>
          <w:tcPr>
            <w:tcBorders>
              <w:top w:color="2d6bd4" w:space="0" w:sz="12" w:val="single"/>
              <w:left w:color="e2e8f0" w:space="0" w:sz="4" w:val="single"/>
              <w:bottom w:color="e2e8f0" w:space="0" w:sz="4" w:val="single"/>
              <w:right w:color="e2e8f0" w:space="0" w:sz="4" w:val="single"/>
            </w:tcBorders>
            <w:shd w:fill="eff6ff" w:val="clear"/>
            <w:tcMar>
              <w:top w:w="120.0" w:type="dxa"/>
              <w:left w:w="120.0" w:type="dxa"/>
              <w:bottom w:w="120.0" w:type="dxa"/>
              <w:right w:w="120.0" w:type="dxa"/>
            </w:tcMar>
          </w:tcPr>
          <w:p w:rsidR="00000000" w:rsidDel="00000000" w:rsidP="00000000" w:rsidRDefault="00000000" w:rsidRPr="00000000" w14:paraId="0000007B">
            <w:pPr>
              <w:spacing w:after="40" w:before="60" w:lineRule="auto"/>
              <w:jc w:val="center"/>
              <w:rPr/>
            </w:pPr>
            <w:r w:rsidDel="00000000" w:rsidR="00000000" w:rsidRPr="00000000">
              <w:rPr>
                <w:rFonts w:ascii="Calibri" w:cs="Calibri" w:eastAsia="Calibri" w:hAnsi="Calibri"/>
                <w:b w:val="1"/>
                <w:bCs w:val="1"/>
                <w:color w:val="1e2761"/>
                <w:sz w:val="36"/>
                <w:szCs w:val="36"/>
                <w:rtl w:val="0"/>
              </w:rPr>
              <w:t xml:space="preserve">9.33%</w:t>
            </w:r>
            <w:r w:rsidDel="00000000" w:rsidR="00000000" w:rsidRPr="00000000">
              <w:rPr>
                <w:rtl w:val="0"/>
              </w:rPr>
            </w:r>
          </w:p>
          <w:p w:rsidR="00000000" w:rsidDel="00000000" w:rsidP="00000000" w:rsidRDefault="00000000" w:rsidRPr="00000000" w14:paraId="0000007C">
            <w:pPr>
              <w:spacing w:after="40" w:before="0" w:lineRule="auto"/>
              <w:jc w:val="center"/>
              <w:rPr/>
            </w:pPr>
            <w:r w:rsidDel="00000000" w:rsidR="00000000" w:rsidRPr="00000000">
              <w:rPr>
                <w:rFonts w:ascii="Calibri" w:cs="Calibri" w:eastAsia="Calibri" w:hAnsi="Calibri"/>
                <w:b w:val="1"/>
                <w:bCs w:val="1"/>
                <w:color w:val="2d6bd4"/>
                <w:sz w:val="18"/>
                <w:szCs w:val="18"/>
                <w:rtl w:val="0"/>
              </w:rPr>
              <w:t xml:space="preserve">Hatchback Revenue Share</w:t>
            </w:r>
            <w:r w:rsidDel="00000000" w:rsidR="00000000" w:rsidRPr="00000000">
              <w:rPr>
                <w:rtl w:val="0"/>
              </w:rPr>
            </w:r>
          </w:p>
          <w:p w:rsidR="00000000" w:rsidDel="00000000" w:rsidP="00000000" w:rsidRDefault="00000000" w:rsidRPr="00000000" w14:paraId="0000007D">
            <w:pPr>
              <w:spacing w:after="60" w:before="0" w:lineRule="auto"/>
              <w:jc w:val="center"/>
              <w:rPr/>
            </w:pPr>
            <w:r w:rsidDel="00000000" w:rsidR="00000000" w:rsidRPr="00000000">
              <w:rPr>
                <w:rFonts w:ascii="Calibri" w:cs="Calibri" w:eastAsia="Calibri" w:hAnsi="Calibri"/>
                <w:color w:val="64748b"/>
                <w:sz w:val="16"/>
                <w:szCs w:val="16"/>
                <w:rtl w:val="0"/>
              </w:rPr>
              <w:t xml:space="preserve">₹39.6bn — highest satisfaction</w:t>
            </w:r>
            <w:r w:rsidDel="00000000" w:rsidR="00000000" w:rsidRPr="00000000">
              <w:rPr>
                <w:rtl w:val="0"/>
              </w:rPr>
            </w:r>
          </w:p>
        </w:tc>
      </w:tr>
    </w:tbl>
    <w:p w:rsidR="00000000" w:rsidDel="00000000" w:rsidP="00000000" w:rsidRDefault="00000000" w:rsidRPr="00000000" w14:paraId="0000007E">
      <w:pPr>
        <w:spacing w:after="160" w:before="0" w:lineRule="auto"/>
        <w:rPr/>
      </w:pPr>
      <w:r w:rsidDel="00000000" w:rsidR="00000000" w:rsidRPr="00000000">
        <w:rPr>
          <w:rtl w:val="0"/>
        </w:rPr>
      </w:r>
    </w:p>
    <w:p w:rsidR="00000000" w:rsidDel="00000000" w:rsidP="00000000" w:rsidRDefault="00000000" w:rsidRPr="00000000" w14:paraId="0000007F">
      <w:pPr>
        <w:pStyle w:val="Heading2"/>
        <w:spacing w:after="80" w:before="240" w:lineRule="auto"/>
        <w:rPr/>
      </w:pPr>
      <w:r w:rsidDel="00000000" w:rsidR="00000000" w:rsidRPr="00000000">
        <w:rPr>
          <w:rFonts w:ascii="Calibri" w:cs="Calibri" w:eastAsia="Calibri" w:hAnsi="Calibri"/>
          <w:b w:val="1"/>
          <w:bCs w:val="1"/>
          <w:color w:val="1e2761"/>
          <w:sz w:val="26"/>
          <w:szCs w:val="26"/>
          <w:rtl w:val="0"/>
        </w:rPr>
        <w:t xml:space="preserve">3.5 EV Adoption — The Reality Check</w:t>
      </w:r>
      <w:r w:rsidDel="00000000" w:rsidR="00000000" w:rsidRPr="00000000">
        <w:rPr>
          <w:rtl w:val="0"/>
        </w:rPr>
      </w:r>
    </w:p>
    <w:p w:rsidR="00000000" w:rsidDel="00000000" w:rsidP="00000000" w:rsidRDefault="00000000" w:rsidRPr="00000000" w14:paraId="00000080">
      <w:pPr>
        <w:spacing w:after="160" w:before="0" w:lineRule="auto"/>
        <w:rPr/>
      </w:pPr>
      <w:r w:rsidDel="00000000" w:rsidR="00000000" w:rsidRPr="00000000">
        <w:rPr>
          <w:rFonts w:ascii="Calibri" w:cs="Calibri" w:eastAsia="Calibri" w:hAnsi="Calibri"/>
          <w:b w:val="0"/>
          <w:bCs w:val="0"/>
          <w:i w:val="0"/>
          <w:iCs w:val="0"/>
          <w:color w:val="1e293b"/>
          <w:sz w:val="22"/>
          <w:szCs w:val="22"/>
          <w:rtl w:val="0"/>
        </w:rPr>
        <w:t xml:space="preserve">This is the most counterintuitive finding of the project. EV unit share has remained flat between 8.95% (2024) and 10.51% (2020) for all six consecutive years — showing zero net acceleration despite India's widely reported EV push.</w:t>
      </w:r>
      <w:r w:rsidDel="00000000" w:rsidR="00000000" w:rsidRPr="00000000">
        <w:rPr>
          <w:rtl w:val="0"/>
        </w:rPr>
      </w:r>
    </w:p>
    <w:p w:rsidR="00000000" w:rsidDel="00000000" w:rsidP="00000000" w:rsidRDefault="00000000" w:rsidRPr="00000000" w14:paraId="00000081">
      <w:pPr>
        <w:spacing w:after="0" w:before="0" w:lineRule="auto"/>
        <w:rPr/>
      </w:pPr>
      <w:r w:rsidDel="00000000" w:rsidR="00000000" w:rsidRPr="00000000">
        <w:rPr>
          <w:rtl w:val="0"/>
        </w:rPr>
      </w:r>
    </w:p>
    <w:p w:rsidR="00000000" w:rsidDel="00000000" w:rsidP="00000000" w:rsidRDefault="00000000" w:rsidRPr="00000000" w14:paraId="00000082">
      <w:pPr>
        <w:spacing w:after="160" w:before="0" w:lineRule="auto"/>
        <w:rPr/>
      </w:pPr>
      <w:r w:rsidDel="00000000" w:rsidR="00000000" w:rsidRPr="00000000">
        <w:rPr>
          <w:rFonts w:ascii="Calibri" w:cs="Calibri" w:eastAsia="Calibri" w:hAnsi="Calibri"/>
          <w:b w:val="0"/>
          <w:bCs w:val="0"/>
          <w:i w:val="0"/>
          <w:iCs w:val="0"/>
          <w:color w:val="1e293b"/>
          <w:sz w:val="22"/>
          <w:szCs w:val="22"/>
          <w:rtl w:val="0"/>
        </w:rPr>
        <w:t xml:space="preserve">A year-by-year fuel type analysis reveals the actual shift: Diesel declined from 44.80% (2020) to 44.63% (2025) while Petrol rose from 44.68% to 45.60%. The dominant fuel transition in this dealer network during 2020–2025 was Diesel-to-Petrol, not ICE-to-Electric.</w:t>
      </w:r>
      <w:r w:rsidDel="00000000" w:rsidR="00000000" w:rsidRPr="00000000">
        <w:rPr>
          <w:rtl w:val="0"/>
        </w:rPr>
      </w:r>
    </w:p>
    <w:p w:rsidR="00000000" w:rsidDel="00000000" w:rsidP="00000000" w:rsidRDefault="00000000" w:rsidRPr="00000000" w14:paraId="00000083">
      <w:pPr>
        <w:spacing w:after="0" w:before="0" w:lineRule="auto"/>
        <w:rPr/>
      </w:pPr>
      <w:r w:rsidDel="00000000" w:rsidR="00000000" w:rsidRPr="00000000">
        <w:rPr>
          <w:rtl w:val="0"/>
        </w:rPr>
      </w:r>
    </w:p>
    <w:p w:rsidR="00000000" w:rsidDel="00000000" w:rsidP="00000000" w:rsidRDefault="00000000" w:rsidRPr="00000000" w14:paraId="00000084">
      <w:pPr>
        <w:spacing w:after="160" w:before="0" w:lineRule="auto"/>
        <w:rPr/>
      </w:pPr>
      <w:r w:rsidDel="00000000" w:rsidR="00000000" w:rsidRPr="00000000">
        <w:rPr>
          <w:rFonts w:ascii="Calibri" w:cs="Calibri" w:eastAsia="Calibri" w:hAnsi="Calibri"/>
          <w:b w:val="0"/>
          <w:bCs w:val="0"/>
          <w:i w:val="0"/>
          <w:iCs w:val="0"/>
          <w:color w:val="1e293b"/>
          <w:sz w:val="22"/>
          <w:szCs w:val="22"/>
          <w:rtl w:val="0"/>
        </w:rPr>
        <w:t xml:space="preserve">Despite flat unit share, EVs contribute a disproportionately high 11.10% of total revenue from just 6.8% of units — driven entirely by BYD's premium pricing. This confirms that EV revenue performance in this network is a BYD-specific story, not a sector-wide trend.</w:t>
      </w:r>
      <w:r w:rsidDel="00000000" w:rsidR="00000000" w:rsidRPr="00000000">
        <w:rPr>
          <w:rtl w:val="0"/>
        </w:rPr>
      </w:r>
    </w:p>
    <w:p w:rsidR="00000000" w:rsidDel="00000000" w:rsidP="00000000" w:rsidRDefault="00000000" w:rsidRPr="00000000" w14:paraId="00000085">
      <w:pPr>
        <w:spacing w:after="160" w:before="0" w:lineRule="auto"/>
        <w:rPr/>
      </w:pPr>
      <w:r w:rsidDel="00000000" w:rsidR="00000000" w:rsidRPr="00000000">
        <w:rPr>
          <w:rtl w:val="0"/>
        </w:rPr>
      </w:r>
    </w:p>
    <w:p w:rsidR="00000000" w:rsidDel="00000000" w:rsidP="00000000" w:rsidRDefault="00000000" w:rsidRPr="00000000" w14:paraId="00000086">
      <w:pPr>
        <w:pStyle w:val="Heading2"/>
        <w:spacing w:after="80" w:before="240" w:lineRule="auto"/>
        <w:rPr/>
      </w:pPr>
      <w:r w:rsidDel="00000000" w:rsidR="00000000" w:rsidRPr="00000000">
        <w:rPr>
          <w:rFonts w:ascii="Calibri" w:cs="Calibri" w:eastAsia="Calibri" w:hAnsi="Calibri"/>
          <w:b w:val="1"/>
          <w:bCs w:val="1"/>
          <w:color w:val="1e2761"/>
          <w:sz w:val="26"/>
          <w:szCs w:val="26"/>
          <w:rtl w:val="0"/>
        </w:rPr>
        <w:t xml:space="preserve">3.6 Vehicle Model Pareto Analysis</w:t>
      </w:r>
      <w:r w:rsidDel="00000000" w:rsidR="00000000" w:rsidRPr="00000000">
        <w:rPr>
          <w:rtl w:val="0"/>
        </w:rPr>
      </w:r>
    </w:p>
    <w:p w:rsidR="00000000" w:rsidDel="00000000" w:rsidP="00000000" w:rsidRDefault="00000000" w:rsidRPr="00000000" w14:paraId="00000087">
      <w:pPr>
        <w:spacing w:after="160" w:before="0" w:lineRule="auto"/>
        <w:rPr/>
      </w:pPr>
      <w:r w:rsidDel="00000000" w:rsidR="00000000" w:rsidRPr="00000000">
        <w:rPr>
          <w:rFonts w:ascii="Calibri" w:cs="Calibri" w:eastAsia="Calibri" w:hAnsi="Calibri"/>
          <w:b w:val="0"/>
          <w:bCs w:val="0"/>
          <w:i w:val="0"/>
          <w:iCs w:val="0"/>
          <w:color w:val="1e293b"/>
          <w:sz w:val="22"/>
          <w:szCs w:val="22"/>
          <w:rtl w:val="0"/>
        </w:rPr>
        <w:t xml:space="preserve">The top 2 revenue-generating models are both BYD EVs — e6 (₹25.56bn, rank 1) and Atto 3 (₹21.60bn, rank 2). Ranks 3 through 22 are exclusively SUVs. The first non-SUV, non-EV model appears at rank 12 (Virtus, Sedan).</w:t>
      </w:r>
      <w:r w:rsidDel="00000000" w:rsidR="00000000" w:rsidRPr="00000000">
        <w:rPr>
          <w:rtl w:val="0"/>
        </w:rPr>
      </w:r>
    </w:p>
    <w:p w:rsidR="00000000" w:rsidDel="00000000" w:rsidP="00000000" w:rsidRDefault="00000000" w:rsidRPr="00000000" w14:paraId="00000088">
      <w:pPr>
        <w:spacing w:after="0" w:before="0" w:lineRule="auto"/>
        <w:rPr/>
      </w:pPr>
      <w:r w:rsidDel="00000000" w:rsidR="00000000" w:rsidRPr="00000000">
        <w:rPr>
          <w:rtl w:val="0"/>
        </w:rPr>
      </w:r>
    </w:p>
    <w:p w:rsidR="00000000" w:rsidDel="00000000" w:rsidP="00000000" w:rsidRDefault="00000000" w:rsidRPr="00000000" w14:paraId="00000089">
      <w:pPr>
        <w:spacing w:after="160" w:before="0" w:lineRule="auto"/>
        <w:rPr/>
      </w:pPr>
      <w:r w:rsidDel="00000000" w:rsidR="00000000" w:rsidRPr="00000000">
        <w:rPr>
          <w:rFonts w:ascii="Calibri" w:cs="Calibri" w:eastAsia="Calibri" w:hAnsi="Calibri"/>
          <w:b w:val="0"/>
          <w:bCs w:val="0"/>
          <w:i w:val="0"/>
          <w:iCs w:val="0"/>
          <w:color w:val="1e293b"/>
          <w:sz w:val="22"/>
          <w:szCs w:val="22"/>
          <w:rtl w:val="0"/>
        </w:rPr>
        <w:t xml:space="preserve">A Pareto analysis shows that 28 of 47 models (59.6%) are required to reach 80% of total revenue — a healthier distribution than the classic 80/20 rule</w:t>
      </w:r>
      <w:r w:rsidDel="00000000" w:rsidR="00000000" w:rsidRPr="00000000">
        <w:rPr>
          <w:color w:val="1e293b"/>
          <w:rtl w:val="0"/>
        </w:rPr>
        <w:t xml:space="preserve">,</w:t>
      </w:r>
      <w:r w:rsidDel="00000000" w:rsidR="00000000" w:rsidRPr="00000000">
        <w:rPr>
          <w:rFonts w:ascii="Calibri" w:cs="Calibri" w:eastAsia="Calibri" w:hAnsi="Calibri"/>
          <w:b w:val="0"/>
          <w:bCs w:val="0"/>
          <w:i w:val="0"/>
          <w:iCs w:val="0"/>
          <w:color w:val="1e293b"/>
          <w:sz w:val="22"/>
          <w:szCs w:val="22"/>
          <w:rtl w:val="0"/>
        </w:rPr>
        <w:t xml:space="preserve"> which would predict just 9–10 models. The bottom 19 models collectively contribute only 20% of revenue and may warrant a portfolio </w:t>
      </w:r>
      <w:r w:rsidDel="00000000" w:rsidR="00000000" w:rsidRPr="00000000">
        <w:rPr>
          <w:color w:val="1e293b"/>
          <w:rtl w:val="0"/>
        </w:rPr>
        <w:t xml:space="preserve">rationalization</w:t>
      </w:r>
      <w:r w:rsidDel="00000000" w:rsidR="00000000" w:rsidRPr="00000000">
        <w:rPr>
          <w:rFonts w:ascii="Calibri" w:cs="Calibri" w:eastAsia="Calibri" w:hAnsi="Calibri"/>
          <w:b w:val="0"/>
          <w:bCs w:val="0"/>
          <w:i w:val="0"/>
          <w:iCs w:val="0"/>
          <w:color w:val="1e293b"/>
          <w:sz w:val="22"/>
          <w:szCs w:val="22"/>
          <w:rtl w:val="0"/>
        </w:rPr>
        <w:t xml:space="preserve"> review.</w:t>
      </w:r>
      <w:r w:rsidDel="00000000" w:rsidR="00000000" w:rsidRPr="00000000">
        <w:rPr>
          <w:rtl w:val="0"/>
        </w:rPr>
      </w:r>
    </w:p>
    <w:p w:rsidR="00000000" w:rsidDel="00000000" w:rsidP="00000000" w:rsidRDefault="00000000" w:rsidRPr="00000000" w14:paraId="0000008A">
      <w:pPr>
        <w:spacing w:after="160" w:before="0" w:lineRule="auto"/>
        <w:rPr/>
      </w:pPr>
      <w:r w:rsidDel="00000000" w:rsidR="00000000" w:rsidRPr="00000000">
        <w:rPr>
          <w:rtl w:val="0"/>
        </w:rPr>
      </w:r>
    </w:p>
    <w:p w:rsidR="00000000" w:rsidDel="00000000" w:rsidP="00000000" w:rsidRDefault="00000000" w:rsidRPr="00000000" w14:paraId="0000008B">
      <w:pPr>
        <w:pStyle w:val="Heading2"/>
        <w:spacing w:after="80" w:before="240" w:lineRule="auto"/>
        <w:rPr/>
      </w:pPr>
      <w:r w:rsidDel="00000000" w:rsidR="00000000" w:rsidRPr="00000000">
        <w:rPr>
          <w:rFonts w:ascii="Calibri" w:cs="Calibri" w:eastAsia="Calibri" w:hAnsi="Calibri"/>
          <w:b w:val="1"/>
          <w:bCs w:val="1"/>
          <w:color w:val="1e2761"/>
          <w:sz w:val="26"/>
          <w:szCs w:val="26"/>
          <w:rtl w:val="0"/>
        </w:rPr>
        <w:t xml:space="preserve">3.7 Seasonality</w:t>
      </w:r>
      <w:r w:rsidDel="00000000" w:rsidR="00000000" w:rsidRPr="00000000">
        <w:rPr>
          <w:rtl w:val="0"/>
        </w:rPr>
      </w:r>
    </w:p>
    <w:p w:rsidR="00000000" w:rsidDel="00000000" w:rsidP="00000000" w:rsidRDefault="00000000" w:rsidRPr="00000000" w14:paraId="0000008C">
      <w:pPr>
        <w:spacing w:after="160" w:before="0" w:lineRule="auto"/>
        <w:rPr/>
      </w:pPr>
      <w:r w:rsidDel="00000000" w:rsidR="00000000" w:rsidRPr="00000000">
        <w:rPr>
          <w:rFonts w:ascii="Calibri" w:cs="Calibri" w:eastAsia="Calibri" w:hAnsi="Calibri"/>
          <w:b w:val="0"/>
          <w:bCs w:val="0"/>
          <w:i w:val="0"/>
          <w:iCs w:val="0"/>
          <w:color w:val="1e293b"/>
          <w:sz w:val="22"/>
          <w:szCs w:val="22"/>
          <w:rtl w:val="0"/>
        </w:rPr>
        <w:t xml:space="preserve">In aggregate, March is the strongest month (₹39.59bn across 6 years) driven by India's financial year-end effect, followed by August (₹37.79bn)</w:t>
      </w:r>
      <w:r w:rsidDel="00000000" w:rsidR="00000000" w:rsidRPr="00000000">
        <w:rPr>
          <w:color w:val="1e293b"/>
          <w:rtl w:val="0"/>
        </w:rPr>
        <w:t xml:space="preserve">,</w:t>
      </w:r>
      <w:r w:rsidDel="00000000" w:rsidR="00000000" w:rsidRPr="00000000">
        <w:rPr>
          <w:rFonts w:ascii="Calibri" w:cs="Calibri" w:eastAsia="Calibri" w:hAnsi="Calibri"/>
          <w:b w:val="0"/>
          <w:bCs w:val="0"/>
          <w:i w:val="0"/>
          <w:iCs w:val="0"/>
          <w:color w:val="1e293b"/>
          <w:sz w:val="22"/>
          <w:szCs w:val="22"/>
          <w:rtl w:val="0"/>
        </w:rPr>
        <w:t xml:space="preserve"> reflecting pre-festive season demand. Q1 (Jan–Mar) is the strongest quarter at 26.06% of annual revenue.</w:t>
      </w:r>
      <w:r w:rsidDel="00000000" w:rsidR="00000000" w:rsidRPr="00000000">
        <w:rPr>
          <w:rtl w:val="0"/>
        </w:rPr>
      </w:r>
    </w:p>
    <w:p w:rsidR="00000000" w:rsidDel="00000000" w:rsidP="00000000" w:rsidRDefault="00000000" w:rsidRPr="00000000" w14:paraId="0000008D">
      <w:pPr>
        <w:spacing w:after="0" w:before="0" w:lineRule="auto"/>
        <w:rPr/>
      </w:pPr>
      <w:r w:rsidDel="00000000" w:rsidR="00000000" w:rsidRPr="00000000">
        <w:rPr>
          <w:rtl w:val="0"/>
        </w:rPr>
      </w:r>
    </w:p>
    <w:p w:rsidR="00000000" w:rsidDel="00000000" w:rsidP="00000000" w:rsidRDefault="00000000" w:rsidRPr="00000000" w14:paraId="0000008E">
      <w:pPr>
        <w:spacing w:after="160" w:before="0" w:lineRule="auto"/>
        <w:rPr/>
      </w:pPr>
      <w:r w:rsidDel="00000000" w:rsidR="00000000" w:rsidRPr="00000000">
        <w:rPr>
          <w:rFonts w:ascii="Calibri" w:cs="Calibri" w:eastAsia="Calibri" w:hAnsi="Calibri"/>
          <w:b w:val="0"/>
          <w:bCs w:val="0"/>
          <w:i w:val="0"/>
          <w:iCs w:val="0"/>
          <w:color w:val="1e293b"/>
          <w:sz w:val="22"/>
          <w:szCs w:val="22"/>
          <w:rtl w:val="0"/>
        </w:rPr>
        <w:t xml:space="preserve">However, a year-by-year decomposition reveals inconsistency — the March peak holds only in 2022 and 2023. The 2020 peak was </w:t>
      </w:r>
      <w:r w:rsidDel="00000000" w:rsidR="00000000" w:rsidRPr="00000000">
        <w:rPr>
          <w:color w:val="1e293b"/>
          <w:rtl w:val="0"/>
        </w:rPr>
        <w:t xml:space="preserve">in </w:t>
      </w:r>
      <w:r w:rsidDel="00000000" w:rsidR="00000000" w:rsidRPr="00000000">
        <w:rPr>
          <w:rFonts w:ascii="Calibri" w:cs="Calibri" w:eastAsia="Calibri" w:hAnsi="Calibri"/>
          <w:b w:val="0"/>
          <w:bCs w:val="0"/>
          <w:i w:val="0"/>
          <w:iCs w:val="0"/>
          <w:color w:val="1e293b"/>
          <w:sz w:val="22"/>
          <w:szCs w:val="22"/>
          <w:rtl w:val="0"/>
        </w:rPr>
        <w:t xml:space="preserve">September (COVID delayed fiscal year-end purchasing), 2024 peaked in July, and 2025 in August. October is the most consistent trough, appearing as the weakest month in 4 of 6 years — contradicting the expectation that Diwali would drive Q4 strength.</w:t>
      </w:r>
      <w:r w:rsidDel="00000000" w:rsidR="00000000" w:rsidRPr="00000000">
        <w:rPr>
          <w:rtl w:val="0"/>
        </w:rPr>
      </w:r>
    </w:p>
    <w:p w:rsidR="00000000" w:rsidDel="00000000" w:rsidP="00000000" w:rsidRDefault="00000000" w:rsidRPr="00000000" w14:paraId="0000008F">
      <w:pPr>
        <w:spacing w:after="160" w:before="0" w:lineRule="auto"/>
        <w:rPr/>
      </w:pPr>
      <w:r w:rsidDel="00000000" w:rsidR="00000000" w:rsidRPr="00000000">
        <w:rPr>
          <w:rtl w:val="0"/>
        </w:rPr>
      </w:r>
    </w:p>
    <w:p w:rsidR="00000000" w:rsidDel="00000000" w:rsidP="00000000" w:rsidRDefault="00000000" w:rsidRPr="00000000" w14:paraId="00000090">
      <w:pPr>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pBdr>
          <w:bottom w:color="2d6bd4" w:space="0" w:sz="8" w:val="single"/>
        </w:pBdr>
        <w:spacing w:after="120" w:before="360" w:lineRule="auto"/>
        <w:rPr/>
      </w:pPr>
      <w:r w:rsidDel="00000000" w:rsidR="00000000" w:rsidRPr="00000000">
        <w:rPr>
          <w:rFonts w:ascii="Calibri" w:cs="Calibri" w:eastAsia="Calibri" w:hAnsi="Calibri"/>
          <w:b w:val="1"/>
          <w:bCs w:val="1"/>
          <w:color w:val="1e2761"/>
          <w:sz w:val="36"/>
          <w:szCs w:val="36"/>
          <w:rtl w:val="0"/>
        </w:rPr>
        <w:t xml:space="preserve">4. Recommendations</w:t>
      </w:r>
      <w:r w:rsidDel="00000000" w:rsidR="00000000" w:rsidRPr="00000000">
        <w:rPr>
          <w:rtl w:val="0"/>
        </w:rPr>
      </w:r>
    </w:p>
    <w:p w:rsidR="00000000" w:rsidDel="00000000" w:rsidP="00000000" w:rsidRDefault="00000000" w:rsidRPr="00000000" w14:paraId="00000092">
      <w:pPr>
        <w:spacing w:after="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dc2626" w:space="0" w:sz="4" w:val="single"/>
              <w:left w:color="dc2626" w:space="0" w:sz="4" w:val="single"/>
              <w:bottom w:color="dc2626" w:space="0" w:sz="4" w:val="single"/>
              <w:right w:color="dc2626" w:space="0" w:sz="4" w:val="single"/>
            </w:tcBorders>
            <w:shd w:fill="dc2626" w:val="clear"/>
            <w:tcMar>
              <w:top w:w="80.0" w:type="dxa"/>
              <w:left w:w="80.0" w:type="dxa"/>
              <w:bottom w:w="80.0" w:type="dxa"/>
              <w:right w:w="80.0" w:type="dxa"/>
            </w:tcMar>
            <w:vAlign w:val="center"/>
          </w:tcPr>
          <w:p w:rsidR="00000000" w:rsidDel="00000000" w:rsidP="00000000" w:rsidRDefault="00000000" w:rsidRPr="00000000" w14:paraId="00000093">
            <w:pPr>
              <w:jc w:val="center"/>
              <w:rPr/>
            </w:pPr>
            <w:r w:rsidDel="00000000" w:rsidR="00000000" w:rsidRPr="00000000">
              <w:rPr>
                <w:rFonts w:ascii="Calibri" w:cs="Calibri" w:eastAsia="Calibri" w:hAnsi="Calibri"/>
                <w:b w:val="1"/>
                <w:bCs w:val="1"/>
                <w:color w:val="ffffff"/>
                <w:sz w:val="28"/>
                <w:szCs w:val="28"/>
                <w:rtl w:val="0"/>
              </w:rPr>
              <w:t xml:space="preserve">01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20.0" w:type="dxa"/>
            </w:tcMar>
          </w:tcPr>
          <w:p w:rsidR="00000000" w:rsidDel="00000000" w:rsidP="00000000" w:rsidRDefault="00000000" w:rsidRPr="00000000" w14:paraId="00000094">
            <w:pPr>
              <w:spacing w:after="40" w:before="40" w:lineRule="auto"/>
              <w:rPr/>
            </w:pPr>
            <w:r w:rsidDel="00000000" w:rsidR="00000000" w:rsidRPr="00000000">
              <w:rPr>
                <w:rFonts w:ascii="Calibri" w:cs="Calibri" w:eastAsia="Calibri" w:hAnsi="Calibri"/>
                <w:b w:val="1"/>
                <w:bCs w:val="1"/>
                <w:color w:val="1e293b"/>
                <w:sz w:val="22"/>
                <w:szCs w:val="22"/>
                <w:rtl w:val="0"/>
              </w:rPr>
              <w:t xml:space="preserve">Revenue </w:t>
            </w:r>
            <w:r w:rsidDel="00000000" w:rsidR="00000000" w:rsidRPr="00000000">
              <w:rPr>
                <w:b w:val="1"/>
                <w:bCs w:val="1"/>
                <w:color w:val="1e293b"/>
                <w:rtl w:val="0"/>
              </w:rPr>
              <w:t xml:space="preserve">is </w:t>
            </w:r>
            <w:r w:rsidDel="00000000" w:rsidR="00000000" w:rsidRPr="00000000">
              <w:rPr>
                <w:rFonts w:ascii="Calibri" w:cs="Calibri" w:eastAsia="Calibri" w:hAnsi="Calibri"/>
                <w:b w:val="1"/>
                <w:bCs w:val="1"/>
                <w:color w:val="1e293b"/>
                <w:sz w:val="22"/>
                <w:szCs w:val="22"/>
                <w:rtl w:val="0"/>
              </w:rPr>
              <w:t xml:space="preserve">declining despite stable unit volume</w:t>
            </w:r>
            <w:r w:rsidDel="00000000" w:rsidR="00000000" w:rsidRPr="00000000">
              <w:rPr>
                <w:rtl w:val="0"/>
              </w:rPr>
            </w:r>
          </w:p>
          <w:p w:rsidR="00000000" w:rsidDel="00000000" w:rsidP="00000000" w:rsidRDefault="00000000" w:rsidRPr="00000000" w14:paraId="00000095">
            <w:pPr>
              <w:spacing w:after="60" w:before="0" w:lineRule="auto"/>
              <w:rPr/>
            </w:pPr>
            <w:r w:rsidDel="00000000" w:rsidR="00000000" w:rsidRPr="00000000">
              <w:rPr>
                <w:rFonts w:ascii="Calibri" w:cs="Calibri" w:eastAsia="Calibri" w:hAnsi="Calibri"/>
                <w:i w:val="1"/>
                <w:iCs w:val="1"/>
                <w:color w:val="64748b"/>
                <w:sz w:val="20"/>
                <w:szCs w:val="20"/>
                <w:rtl w:val="0"/>
              </w:rPr>
              <w:t xml:space="preserve">→  Audit pricing strategy across mid-range dealers. The 2024–2025 decline is a price compression issue, not a demand problem. Identify which models are being discounted and by how much.</w:t>
            </w:r>
            <w:r w:rsidDel="00000000" w:rsidR="00000000" w:rsidRPr="00000000">
              <w:rPr>
                <w:rtl w:val="0"/>
              </w:rPr>
            </w:r>
          </w:p>
        </w:tc>
      </w:tr>
    </w:tbl>
    <w:p w:rsidR="00000000" w:rsidDel="00000000" w:rsidP="00000000" w:rsidRDefault="00000000" w:rsidRPr="00000000" w14:paraId="00000096">
      <w:pPr>
        <w:spacing w:after="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2d6bd4" w:space="0" w:sz="4" w:val="single"/>
              <w:left w:color="2d6bd4" w:space="0" w:sz="4" w:val="single"/>
              <w:bottom w:color="2d6bd4" w:space="0" w:sz="4" w:val="single"/>
              <w:right w:color="2d6bd4" w:space="0" w:sz="4" w:val="single"/>
            </w:tcBorders>
            <w:shd w:fill="2d6bd4" w:val="clear"/>
            <w:tcMar>
              <w:top w:w="80.0" w:type="dxa"/>
              <w:left w:w="80.0" w:type="dxa"/>
              <w:bottom w:w="80.0" w:type="dxa"/>
              <w:right w:w="80.0" w:type="dxa"/>
            </w:tcMar>
            <w:vAlign w:val="center"/>
          </w:tcPr>
          <w:p w:rsidR="00000000" w:rsidDel="00000000" w:rsidP="00000000" w:rsidRDefault="00000000" w:rsidRPr="00000000" w14:paraId="00000097">
            <w:pPr>
              <w:jc w:val="center"/>
              <w:rPr/>
            </w:pPr>
            <w:r w:rsidDel="00000000" w:rsidR="00000000" w:rsidRPr="00000000">
              <w:rPr>
                <w:rFonts w:ascii="Calibri" w:cs="Calibri" w:eastAsia="Calibri" w:hAnsi="Calibri"/>
                <w:b w:val="1"/>
                <w:bCs w:val="1"/>
                <w:color w:val="ffffff"/>
                <w:sz w:val="28"/>
                <w:szCs w:val="28"/>
                <w:rtl w:val="0"/>
              </w:rPr>
              <w:t xml:space="preserve">02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20.0" w:type="dxa"/>
            </w:tcMar>
          </w:tcPr>
          <w:p w:rsidR="00000000" w:rsidDel="00000000" w:rsidP="00000000" w:rsidRDefault="00000000" w:rsidRPr="00000000" w14:paraId="00000098">
            <w:pPr>
              <w:spacing w:after="40" w:before="40" w:lineRule="auto"/>
              <w:rPr/>
            </w:pPr>
            <w:r w:rsidDel="00000000" w:rsidR="00000000" w:rsidRPr="00000000">
              <w:rPr>
                <w:rFonts w:ascii="Calibri" w:cs="Calibri" w:eastAsia="Calibri" w:hAnsi="Calibri"/>
                <w:b w:val="1"/>
                <w:bCs w:val="1"/>
                <w:color w:val="1e293b"/>
                <w:sz w:val="22"/>
                <w:szCs w:val="22"/>
                <w:rtl w:val="0"/>
              </w:rPr>
              <w:t xml:space="preserve">BYD dominates through pricing power, not volume</w:t>
            </w:r>
            <w:r w:rsidDel="00000000" w:rsidR="00000000" w:rsidRPr="00000000">
              <w:rPr>
                <w:rtl w:val="0"/>
              </w:rPr>
            </w:r>
          </w:p>
          <w:p w:rsidR="00000000" w:rsidDel="00000000" w:rsidP="00000000" w:rsidRDefault="00000000" w:rsidRPr="00000000" w14:paraId="00000099">
            <w:pPr>
              <w:spacing w:after="60" w:before="0" w:lineRule="auto"/>
              <w:rPr/>
            </w:pPr>
            <w:r w:rsidDel="00000000" w:rsidR="00000000" w:rsidRPr="00000000">
              <w:rPr>
                <w:rFonts w:ascii="Calibri" w:cs="Calibri" w:eastAsia="Calibri" w:hAnsi="Calibri"/>
                <w:i w:val="1"/>
                <w:iCs w:val="1"/>
                <w:color w:val="64748b"/>
                <w:sz w:val="20"/>
                <w:szCs w:val="20"/>
                <w:rtl w:val="0"/>
              </w:rPr>
              <w:t xml:space="preserve">→  Expand premium EV product allocation across more dealer locations. One BYD unit generates ~4x the revenue of a hatchback. Mid-range dealers should evaluate adding a premium EV line.</w:t>
            </w:r>
            <w:r w:rsidDel="00000000" w:rsidR="00000000" w:rsidRPr="00000000">
              <w:rPr>
                <w:rtl w:val="0"/>
              </w:rPr>
            </w:r>
          </w:p>
        </w:tc>
      </w:tr>
    </w:tbl>
    <w:p w:rsidR="00000000" w:rsidDel="00000000" w:rsidP="00000000" w:rsidRDefault="00000000" w:rsidRPr="00000000" w14:paraId="0000009A">
      <w:pPr>
        <w:spacing w:after="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d97706" w:space="0" w:sz="4" w:val="single"/>
              <w:left w:color="d97706" w:space="0" w:sz="4" w:val="single"/>
              <w:bottom w:color="d97706" w:space="0" w:sz="4" w:val="single"/>
              <w:right w:color="d97706" w:space="0" w:sz="4" w:val="single"/>
            </w:tcBorders>
            <w:shd w:fill="d97706" w:val="clear"/>
            <w:tcMar>
              <w:top w:w="80.0" w:type="dxa"/>
              <w:left w:w="80.0" w:type="dxa"/>
              <w:bottom w:w="80.0" w:type="dxa"/>
              <w:right w:w="80.0" w:type="dxa"/>
            </w:tcMar>
            <w:vAlign w:val="center"/>
          </w:tcPr>
          <w:p w:rsidR="00000000" w:rsidDel="00000000" w:rsidP="00000000" w:rsidRDefault="00000000" w:rsidRPr="00000000" w14:paraId="0000009B">
            <w:pPr>
              <w:jc w:val="center"/>
              <w:rPr/>
            </w:pPr>
            <w:r w:rsidDel="00000000" w:rsidR="00000000" w:rsidRPr="00000000">
              <w:rPr>
                <w:rFonts w:ascii="Calibri" w:cs="Calibri" w:eastAsia="Calibri" w:hAnsi="Calibri"/>
                <w:b w:val="1"/>
                <w:bCs w:val="1"/>
                <w:color w:val="ffffff"/>
                <w:sz w:val="28"/>
                <w:szCs w:val="28"/>
                <w:rtl w:val="0"/>
              </w:rPr>
              <w:t xml:space="preserve">03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20.0" w:type="dxa"/>
            </w:tcMar>
          </w:tcPr>
          <w:p w:rsidR="00000000" w:rsidDel="00000000" w:rsidP="00000000" w:rsidRDefault="00000000" w:rsidRPr="00000000" w14:paraId="0000009C">
            <w:pPr>
              <w:spacing w:after="40" w:before="40" w:lineRule="auto"/>
              <w:rPr/>
            </w:pPr>
            <w:r w:rsidDel="00000000" w:rsidR="00000000" w:rsidRPr="00000000">
              <w:rPr>
                <w:rFonts w:ascii="Calibri" w:cs="Calibri" w:eastAsia="Calibri" w:hAnsi="Calibri"/>
                <w:b w:val="1"/>
                <w:bCs w:val="1"/>
                <w:color w:val="1e293b"/>
                <w:sz w:val="22"/>
                <w:szCs w:val="22"/>
                <w:rtl w:val="0"/>
              </w:rPr>
              <w:t xml:space="preserve">EV share flat at 9–10% for 6 consecutive years</w:t>
            </w:r>
            <w:r w:rsidDel="00000000" w:rsidR="00000000" w:rsidRPr="00000000">
              <w:rPr>
                <w:rtl w:val="0"/>
              </w:rPr>
            </w:r>
          </w:p>
          <w:p w:rsidR="00000000" w:rsidDel="00000000" w:rsidP="00000000" w:rsidRDefault="00000000" w:rsidRPr="00000000" w14:paraId="0000009D">
            <w:pPr>
              <w:spacing w:after="60" w:before="0" w:lineRule="auto"/>
              <w:rPr/>
            </w:pPr>
            <w:r w:rsidDel="00000000" w:rsidR="00000000" w:rsidRPr="00000000">
              <w:rPr>
                <w:rFonts w:ascii="Calibri" w:cs="Calibri" w:eastAsia="Calibri" w:hAnsi="Calibri"/>
                <w:i w:val="1"/>
                <w:iCs w:val="1"/>
                <w:color w:val="64748b"/>
                <w:sz w:val="20"/>
                <w:szCs w:val="20"/>
                <w:rtl w:val="0"/>
              </w:rPr>
              <w:t xml:space="preserve">→  Invest in EV-specific dealer training, showroom experience, and test drive programmes. The data suggests EV adoption is stalled at the point-of-sale level, not at the consumer demand level.</w:t>
            </w:r>
            <w:r w:rsidDel="00000000" w:rsidR="00000000" w:rsidRPr="00000000">
              <w:rPr>
                <w:rtl w:val="0"/>
              </w:rPr>
            </w:r>
          </w:p>
        </w:tc>
      </w:tr>
    </w:tbl>
    <w:p w:rsidR="00000000" w:rsidDel="00000000" w:rsidP="00000000" w:rsidRDefault="00000000" w:rsidRPr="00000000" w14:paraId="0000009E">
      <w:pPr>
        <w:spacing w:after="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16a34a" w:space="0" w:sz="4" w:val="single"/>
              <w:left w:color="16a34a" w:space="0" w:sz="4" w:val="single"/>
              <w:bottom w:color="16a34a" w:space="0" w:sz="4" w:val="single"/>
              <w:right w:color="16a34a" w:space="0" w:sz="4" w:val="single"/>
            </w:tcBorders>
            <w:shd w:fill="16a34a" w:val="clear"/>
            <w:tcMar>
              <w:top w:w="80.0" w:type="dxa"/>
              <w:left w:w="80.0" w:type="dxa"/>
              <w:bottom w:w="80.0" w:type="dxa"/>
              <w:right w:w="80.0" w:type="dxa"/>
            </w:tcMar>
            <w:vAlign w:val="center"/>
          </w:tcPr>
          <w:p w:rsidR="00000000" w:rsidDel="00000000" w:rsidP="00000000" w:rsidRDefault="00000000" w:rsidRPr="00000000" w14:paraId="0000009F">
            <w:pPr>
              <w:jc w:val="center"/>
              <w:rPr/>
            </w:pPr>
            <w:r w:rsidDel="00000000" w:rsidR="00000000" w:rsidRPr="00000000">
              <w:rPr>
                <w:rFonts w:ascii="Calibri" w:cs="Calibri" w:eastAsia="Calibri" w:hAnsi="Calibri"/>
                <w:b w:val="1"/>
                <w:bCs w:val="1"/>
                <w:color w:val="ffffff"/>
                <w:sz w:val="28"/>
                <w:szCs w:val="28"/>
                <w:rtl w:val="0"/>
              </w:rPr>
              <w:t xml:space="preserve">04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20.0" w:type="dxa"/>
            </w:tcMar>
          </w:tcPr>
          <w:p w:rsidR="00000000" w:rsidDel="00000000" w:rsidP="00000000" w:rsidRDefault="00000000" w:rsidRPr="00000000" w14:paraId="000000A0">
            <w:pPr>
              <w:spacing w:after="40" w:before="40" w:lineRule="auto"/>
              <w:rPr/>
            </w:pPr>
            <w:r w:rsidDel="00000000" w:rsidR="00000000" w:rsidRPr="00000000">
              <w:rPr>
                <w:rFonts w:ascii="Calibri" w:cs="Calibri" w:eastAsia="Calibri" w:hAnsi="Calibri"/>
                <w:b w:val="1"/>
                <w:bCs w:val="1"/>
                <w:color w:val="1e293b"/>
                <w:sz w:val="22"/>
                <w:szCs w:val="22"/>
                <w:rtl w:val="0"/>
              </w:rPr>
              <w:t xml:space="preserve">Satisfaction shows zero correlation with revenue</w:t>
            </w:r>
            <w:r w:rsidDel="00000000" w:rsidR="00000000" w:rsidRPr="00000000">
              <w:rPr>
                <w:rtl w:val="0"/>
              </w:rPr>
            </w:r>
          </w:p>
          <w:p w:rsidR="00000000" w:rsidDel="00000000" w:rsidP="00000000" w:rsidRDefault="00000000" w:rsidRPr="00000000" w14:paraId="000000A1">
            <w:pPr>
              <w:spacing w:after="60" w:before="0" w:lineRule="auto"/>
              <w:rPr/>
            </w:pPr>
            <w:r w:rsidDel="00000000" w:rsidR="00000000" w:rsidRPr="00000000">
              <w:rPr>
                <w:rFonts w:ascii="Calibri" w:cs="Calibri" w:eastAsia="Calibri" w:hAnsi="Calibri"/>
                <w:i w:val="1"/>
                <w:iCs w:val="1"/>
                <w:color w:val="64748b"/>
                <w:sz w:val="20"/>
                <w:szCs w:val="20"/>
                <w:rtl w:val="0"/>
              </w:rPr>
              <w:t xml:space="preserve">→  Redirect customer experience investment toward pricing strategy and product mix </w:t>
            </w:r>
            <w:r w:rsidDel="00000000" w:rsidR="00000000" w:rsidRPr="00000000">
              <w:rPr>
                <w:i w:val="1"/>
                <w:iCs w:val="1"/>
                <w:color w:val="64748b"/>
                <w:sz w:val="20"/>
                <w:szCs w:val="20"/>
                <w:rtl w:val="0"/>
              </w:rPr>
              <w:t xml:space="preserve">optimization</w:t>
            </w:r>
            <w:r w:rsidDel="00000000" w:rsidR="00000000" w:rsidRPr="00000000">
              <w:rPr>
                <w:rFonts w:ascii="Calibri" w:cs="Calibri" w:eastAsia="Calibri" w:hAnsi="Calibri"/>
                <w:i w:val="1"/>
                <w:iCs w:val="1"/>
                <w:color w:val="64748b"/>
                <w:sz w:val="20"/>
                <w:szCs w:val="20"/>
                <w:rtl w:val="0"/>
              </w:rPr>
              <w:t xml:space="preserve">. High satisfaction in the budget tier is not converting to revenue — the business model needs to shift, not the service quality.</w:t>
            </w:r>
            <w:r w:rsidDel="00000000" w:rsidR="00000000" w:rsidRPr="00000000">
              <w:rPr>
                <w:rtl w:val="0"/>
              </w:rPr>
            </w:r>
          </w:p>
        </w:tc>
      </w:tr>
    </w:tbl>
    <w:p w:rsidR="00000000" w:rsidDel="00000000" w:rsidP="00000000" w:rsidRDefault="00000000" w:rsidRPr="00000000" w14:paraId="000000A2">
      <w:pPr>
        <w:spacing w:after="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1e2761" w:space="0" w:sz="4" w:val="single"/>
              <w:left w:color="1e2761" w:space="0" w:sz="4" w:val="single"/>
              <w:bottom w:color="1e2761" w:space="0" w:sz="4" w:val="single"/>
              <w:right w:color="1e2761" w:space="0" w:sz="4" w:val="single"/>
            </w:tcBorders>
            <w:shd w:fill="1e2761" w:val="clear"/>
            <w:tcMar>
              <w:top w:w="80.0" w:type="dxa"/>
              <w:left w:w="80.0" w:type="dxa"/>
              <w:bottom w:w="80.0" w:type="dxa"/>
              <w:right w:w="80.0" w:type="dxa"/>
            </w:tcMar>
            <w:vAlign w:val="center"/>
          </w:tcPr>
          <w:p w:rsidR="00000000" w:rsidDel="00000000" w:rsidP="00000000" w:rsidRDefault="00000000" w:rsidRPr="00000000" w14:paraId="000000A3">
            <w:pPr>
              <w:jc w:val="center"/>
              <w:rPr/>
            </w:pPr>
            <w:r w:rsidDel="00000000" w:rsidR="00000000" w:rsidRPr="00000000">
              <w:rPr>
                <w:rFonts w:ascii="Calibri" w:cs="Calibri" w:eastAsia="Calibri" w:hAnsi="Calibri"/>
                <w:b w:val="1"/>
                <w:bCs w:val="1"/>
                <w:color w:val="ffffff"/>
                <w:sz w:val="28"/>
                <w:szCs w:val="28"/>
                <w:rtl w:val="0"/>
              </w:rPr>
              <w:t xml:space="preserve">05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20.0" w:type="dxa"/>
            </w:tcMar>
          </w:tcPr>
          <w:p w:rsidR="00000000" w:rsidDel="00000000" w:rsidP="00000000" w:rsidRDefault="00000000" w:rsidRPr="00000000" w14:paraId="000000A4">
            <w:pPr>
              <w:spacing w:after="40" w:before="40" w:lineRule="auto"/>
              <w:rPr/>
            </w:pPr>
            <w:r w:rsidDel="00000000" w:rsidR="00000000" w:rsidRPr="00000000">
              <w:rPr>
                <w:rFonts w:ascii="Calibri" w:cs="Calibri" w:eastAsia="Calibri" w:hAnsi="Calibri"/>
                <w:b w:val="1"/>
                <w:bCs w:val="1"/>
                <w:color w:val="1e293b"/>
                <w:sz w:val="22"/>
                <w:szCs w:val="22"/>
                <w:rtl w:val="0"/>
              </w:rPr>
              <w:t xml:space="preserve">Q1 and March </w:t>
            </w:r>
            <w:r w:rsidDel="00000000" w:rsidR="00000000" w:rsidRPr="00000000">
              <w:rPr>
                <w:b w:val="1"/>
                <w:bCs w:val="1"/>
                <w:color w:val="1e293b"/>
                <w:rtl w:val="0"/>
              </w:rPr>
              <w:t xml:space="preserve">are </w:t>
            </w:r>
            <w:r w:rsidDel="00000000" w:rsidR="00000000" w:rsidRPr="00000000">
              <w:rPr>
                <w:rFonts w:ascii="Calibri" w:cs="Calibri" w:eastAsia="Calibri" w:hAnsi="Calibri"/>
                <w:b w:val="1"/>
                <w:bCs w:val="1"/>
                <w:color w:val="1e293b"/>
                <w:sz w:val="22"/>
                <w:szCs w:val="22"/>
                <w:rtl w:val="0"/>
              </w:rPr>
              <w:t xml:space="preserve">consistently the strongest </w:t>
            </w:r>
            <w:r w:rsidDel="00000000" w:rsidR="00000000" w:rsidRPr="00000000">
              <w:rPr>
                <w:b w:val="1"/>
                <w:bCs w:val="1"/>
                <w:color w:val="1e293b"/>
                <w:rtl w:val="0"/>
              </w:rPr>
              <w:t xml:space="preserve">periods</w:t>
            </w:r>
            <w:r w:rsidDel="00000000" w:rsidR="00000000" w:rsidRPr="00000000">
              <w:rPr>
                <w:rtl w:val="0"/>
              </w:rPr>
            </w:r>
          </w:p>
          <w:p w:rsidR="00000000" w:rsidDel="00000000" w:rsidP="00000000" w:rsidRDefault="00000000" w:rsidRPr="00000000" w14:paraId="000000A5">
            <w:pPr>
              <w:spacing w:after="60" w:before="0" w:lineRule="auto"/>
              <w:rPr/>
            </w:pPr>
            <w:r w:rsidDel="00000000" w:rsidR="00000000" w:rsidRPr="00000000">
              <w:rPr>
                <w:rFonts w:ascii="Calibri" w:cs="Calibri" w:eastAsia="Calibri" w:hAnsi="Calibri"/>
                <w:i w:val="1"/>
                <w:iCs w:val="1"/>
                <w:color w:val="64748b"/>
                <w:sz w:val="20"/>
                <w:szCs w:val="20"/>
                <w:rtl w:val="0"/>
              </w:rPr>
              <w:t xml:space="preserve">→  Front-load inventory stocking and dealer incentive programmes to February, ahead of the March fiscal year-end surge. Do not rely on Diwali (October) as a primary peak — the data does not support this assumption for this dealer network.</w:t>
            </w:r>
            <w:r w:rsidDel="00000000" w:rsidR="00000000" w:rsidRPr="00000000">
              <w:rPr>
                <w:rtl w:val="0"/>
              </w:rPr>
            </w:r>
          </w:p>
        </w:tc>
      </w:tr>
    </w:tbl>
    <w:p w:rsidR="00000000" w:rsidDel="00000000" w:rsidP="00000000" w:rsidRDefault="00000000" w:rsidRPr="00000000" w14:paraId="000000A6">
      <w:pPr>
        <w:spacing w:after="160" w:before="0" w:lineRule="auto"/>
        <w:rPr/>
      </w:pPr>
      <w:r w:rsidDel="00000000" w:rsidR="00000000" w:rsidRPr="00000000">
        <w:rPr>
          <w:rtl w:val="0"/>
        </w:rPr>
      </w:r>
    </w:p>
    <w:p w:rsidR="00000000" w:rsidDel="00000000" w:rsidP="00000000" w:rsidRDefault="00000000" w:rsidRPr="00000000" w14:paraId="000000A7">
      <w:pPr>
        <w:rPr/>
      </w:pPr>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1"/>
        <w:pBdr>
          <w:bottom w:color="2d6bd4" w:space="0" w:sz="8" w:val="single"/>
        </w:pBdr>
        <w:spacing w:after="120" w:before="360" w:lineRule="auto"/>
        <w:rPr/>
      </w:pPr>
      <w:r w:rsidDel="00000000" w:rsidR="00000000" w:rsidRPr="00000000">
        <w:rPr>
          <w:rFonts w:ascii="Calibri" w:cs="Calibri" w:eastAsia="Calibri" w:hAnsi="Calibri"/>
          <w:b w:val="1"/>
          <w:bCs w:val="1"/>
          <w:color w:val="1e2761"/>
          <w:sz w:val="36"/>
          <w:szCs w:val="36"/>
          <w:rtl w:val="0"/>
        </w:rPr>
        <w:t xml:space="preserve">5. Limitations &amp; Next Steps</w:t>
      </w:r>
      <w:r w:rsidDel="00000000" w:rsidR="00000000" w:rsidRPr="00000000">
        <w:rPr>
          <w:rtl w:val="0"/>
        </w:rPr>
      </w:r>
    </w:p>
    <w:p w:rsidR="00000000" w:rsidDel="00000000" w:rsidP="00000000" w:rsidRDefault="00000000" w:rsidRPr="00000000" w14:paraId="000000A9">
      <w:pPr>
        <w:pStyle w:val="Heading2"/>
        <w:spacing w:after="80" w:before="240" w:lineRule="auto"/>
        <w:rPr/>
      </w:pPr>
      <w:r w:rsidDel="00000000" w:rsidR="00000000" w:rsidRPr="00000000">
        <w:rPr>
          <w:rFonts w:ascii="Calibri" w:cs="Calibri" w:eastAsia="Calibri" w:hAnsi="Calibri"/>
          <w:b w:val="1"/>
          <w:bCs w:val="1"/>
          <w:color w:val="1e2761"/>
          <w:sz w:val="26"/>
          <w:szCs w:val="26"/>
          <w:rtl w:val="0"/>
        </w:rPr>
        <w:t xml:space="preserve">5.1 Data Limitations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Customer satisfaction scores show near-zero variance across all dealers and categories (range: 7.17–7.83 on a 10-point scale). This limits the analytical differentiation of satisfaction as a business metric and may reflect a data collection constraint rather than genuinely uniform service quality.</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Revenue data captures gross sales only. No cost, margin, or profitability data is available. Revenue leadership does not imply profit leadership — BYD's premium pricing may carry higher dealer costs that compress margins.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The dataset covers a specific multi-brand dealer network. Findings may not </w:t>
      </w:r>
      <w:r w:rsidDel="00000000" w:rsidR="00000000" w:rsidRPr="00000000">
        <w:rPr>
          <w:color w:val="1e293b"/>
          <w:rtl w:val="0"/>
        </w:rPr>
        <w:t xml:space="preserve">generalize</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 to the broader Indian automobile market, OEM direct sales, or online channels.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No customer demographic data is available — age, income, geography within region, or purchase financing — limiting the ability to segment the customer base.</w:t>
      </w:r>
      <w:r w:rsidDel="00000000" w:rsidR="00000000" w:rsidRPr="00000000">
        <w:rPr>
          <w:rtl w:val="0"/>
        </w:rPr>
      </w:r>
    </w:p>
    <w:p w:rsidR="00000000" w:rsidDel="00000000" w:rsidP="00000000" w:rsidRDefault="00000000" w:rsidRPr="00000000" w14:paraId="000000AE">
      <w:pPr>
        <w:pStyle w:val="Heading2"/>
        <w:spacing w:after="80" w:before="240" w:lineRule="auto"/>
        <w:rPr/>
      </w:pPr>
      <w:r w:rsidDel="00000000" w:rsidR="00000000" w:rsidRPr="00000000">
        <w:rPr>
          <w:rFonts w:ascii="Calibri" w:cs="Calibri" w:eastAsia="Calibri" w:hAnsi="Calibri"/>
          <w:b w:val="1"/>
          <w:bCs w:val="1"/>
          <w:color w:val="1e2761"/>
          <w:sz w:val="26"/>
          <w:szCs w:val="26"/>
          <w:rtl w:val="0"/>
        </w:rPr>
        <w:t xml:space="preserve">5.2 Analytical Limitations</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Correlation analysis confirmed that satisfaction and revenue are uncorrelated, but causality cannot be established. A </w:t>
      </w:r>
      <w:r w:rsidDel="00000000" w:rsidR="00000000" w:rsidRPr="00000000">
        <w:rPr>
          <w:color w:val="1e293b"/>
          <w:rtl w:val="0"/>
        </w:rPr>
        <w:t xml:space="preserve">randomized</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 experiment or panel data would be needed to determine whether improving satisfaction would actually increase revenue.</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The seasonality analysis found inconsistent patterns year-over-year. With only 6 years of data, distinguishing genuine structural seasonality from year-specific events (COVID-2020, EV launches, policy changes) requires a longer time series.</w:t>
      </w:r>
      <w:r w:rsidDel="00000000" w:rsidR="00000000" w:rsidRPr="00000000">
        <w:rPr>
          <w:rtl w:val="0"/>
        </w:rPr>
      </w:r>
    </w:p>
    <w:p w:rsidR="00000000" w:rsidDel="00000000" w:rsidP="00000000" w:rsidRDefault="00000000" w:rsidRPr="00000000" w14:paraId="000000B1">
      <w:pPr>
        <w:pStyle w:val="Heading2"/>
        <w:spacing w:after="80" w:before="240" w:lineRule="auto"/>
        <w:rPr/>
      </w:pPr>
      <w:r w:rsidDel="00000000" w:rsidR="00000000" w:rsidRPr="00000000">
        <w:rPr>
          <w:rFonts w:ascii="Calibri" w:cs="Calibri" w:eastAsia="Calibri" w:hAnsi="Calibri"/>
          <w:b w:val="1"/>
          <w:bCs w:val="1"/>
          <w:color w:val="1e2761"/>
          <w:sz w:val="26"/>
          <w:szCs w:val="26"/>
          <w:rtl w:val="0"/>
        </w:rPr>
        <w:t xml:space="preserve">5.3 Recommended Next Steps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Add cost and margin data to convert revenue analysis into profitability analysis — the most actionable upgrade to this project.</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Collect customer demographic data to enable buyer segmentation — who is buying EVs vs SUVs, and what is their income and location profile?</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Extend the dataset to 10 years to improve seasonal pattern detection and distinguish structural trends from cyclical noise.</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Build a predictive model (time series forecasting) to project 2026 revenue by dealer and category using the trends identified in this analysis.</w:t>
      </w:r>
      <w:r w:rsidDel="00000000" w:rsidR="00000000" w:rsidRPr="00000000">
        <w:rPr>
          <w:rtl w:val="0"/>
        </w:rPr>
      </w:r>
    </w:p>
    <w:p w:rsidR="00000000" w:rsidDel="00000000" w:rsidP="00000000" w:rsidRDefault="00000000" w:rsidRPr="00000000" w14:paraId="000000B6">
      <w:pPr>
        <w:spacing w:after="160" w:before="0" w:lineRule="auto"/>
        <w:rPr/>
      </w:pPr>
      <w:r w:rsidDel="00000000" w:rsidR="00000000" w:rsidRPr="00000000">
        <w:rPr>
          <w:rtl w:val="0"/>
        </w:rPr>
      </w:r>
    </w:p>
    <w:p w:rsidR="00000000" w:rsidDel="00000000" w:rsidP="00000000" w:rsidRDefault="00000000" w:rsidRPr="00000000" w14:paraId="000000B7">
      <w:pPr>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pBdr>
          <w:bottom w:color="2d6bd4" w:space="0" w:sz="8" w:val="single"/>
        </w:pBdr>
        <w:spacing w:after="120" w:before="360" w:lineRule="auto"/>
        <w:rPr/>
      </w:pPr>
      <w:r w:rsidDel="00000000" w:rsidR="00000000" w:rsidRPr="00000000">
        <w:rPr>
          <w:rFonts w:ascii="Calibri" w:cs="Calibri" w:eastAsia="Calibri" w:hAnsi="Calibri"/>
          <w:b w:val="1"/>
          <w:bCs w:val="1"/>
          <w:color w:val="1e2761"/>
          <w:sz w:val="36"/>
          <w:szCs w:val="36"/>
          <w:rtl w:val="0"/>
        </w:rPr>
        <w:t xml:space="preserve">6. Project Deliverables</w:t>
      </w:r>
      <w:r w:rsidDel="00000000" w:rsidR="00000000" w:rsidRPr="00000000">
        <w:rPr>
          <w:rtl w:val="0"/>
        </w:rPr>
      </w:r>
    </w:p>
    <w:p w:rsidR="00000000" w:rsidDel="00000000" w:rsidP="00000000" w:rsidRDefault="00000000" w:rsidRPr="00000000" w14:paraId="000000B9">
      <w:pPr>
        <w:spacing w:after="160" w:before="0" w:lineRule="auto"/>
        <w:rPr/>
      </w:pPr>
      <w:r w:rsidDel="00000000" w:rsidR="00000000" w:rsidRPr="00000000">
        <w:rPr>
          <w:rFonts w:ascii="Calibri" w:cs="Calibri" w:eastAsia="Calibri" w:hAnsi="Calibri"/>
          <w:b w:val="0"/>
          <w:bCs w:val="0"/>
          <w:i w:val="0"/>
          <w:iCs w:val="0"/>
          <w:color w:val="1e293b"/>
          <w:sz w:val="22"/>
          <w:szCs w:val="22"/>
          <w:rtl w:val="0"/>
        </w:rPr>
        <w:t xml:space="preserve">This project produced the following portfolio deliverables:</w:t>
      </w:r>
      <w:r w:rsidDel="00000000" w:rsidR="00000000" w:rsidRPr="00000000">
        <w:rPr>
          <w:rtl w:val="0"/>
        </w:rPr>
      </w:r>
    </w:p>
    <w:p w:rsidR="00000000" w:rsidDel="00000000" w:rsidP="00000000" w:rsidRDefault="00000000" w:rsidRPr="00000000" w14:paraId="000000BA">
      <w:pPr>
        <w:spacing w:after="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800"/>
        <w:gridCol w:w="4760"/>
        <w:tblGridChange w:id="0">
          <w:tblGrid>
            <w:gridCol w:w="1800"/>
            <w:gridCol w:w="2800"/>
            <w:gridCol w:w="4760"/>
          </w:tblGrid>
        </w:tblGridChange>
      </w:tblGrid>
      <w:tr>
        <w:trPr>
          <w:cantSplit w:val="0"/>
          <w:tblHeader w:val="0"/>
        </w:trPr>
        <w:tc>
          <w:tcPr>
            <w:tcBorders>
              <w:top w:color="1e2761" w:space="0" w:sz="4" w:val="single"/>
              <w:left w:color="1e2761" w:space="0" w:sz="4" w:val="single"/>
              <w:bottom w:color="1e2761" w:space="0" w:sz="4" w:val="single"/>
              <w:right w:color="1e2761" w:space="0" w:sz="4" w:val="single"/>
            </w:tcBorders>
            <w:shd w:fill="1e2761"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Calibri" w:cs="Calibri" w:eastAsia="Calibri" w:hAnsi="Calibri"/>
                <w:b w:val="1"/>
                <w:bCs w:val="1"/>
                <w:color w:val="ffffff"/>
                <w:sz w:val="20"/>
                <w:szCs w:val="20"/>
                <w:rtl w:val="0"/>
              </w:rPr>
              <w:t xml:space="preserve">Phase</w:t>
            </w:r>
            <w:r w:rsidDel="00000000" w:rsidR="00000000" w:rsidRPr="00000000">
              <w:rPr>
                <w:rtl w:val="0"/>
              </w:rPr>
            </w:r>
          </w:p>
        </w:tc>
        <w:tc>
          <w:tcPr>
            <w:tcBorders>
              <w:top w:color="1e2761" w:space="0" w:sz="4" w:val="single"/>
              <w:left w:color="1e2761" w:space="0" w:sz="4" w:val="single"/>
              <w:bottom w:color="1e2761" w:space="0" w:sz="4" w:val="single"/>
              <w:right w:color="1e2761" w:space="0" w:sz="4" w:val="single"/>
            </w:tcBorders>
            <w:shd w:fill="1e2761"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Calibri" w:cs="Calibri" w:eastAsia="Calibri" w:hAnsi="Calibri"/>
                <w:b w:val="1"/>
                <w:bCs w:val="1"/>
                <w:color w:val="ffffff"/>
                <w:sz w:val="20"/>
                <w:szCs w:val="20"/>
                <w:rtl w:val="0"/>
              </w:rPr>
              <w:t xml:space="preserve">Deliverable</w:t>
            </w:r>
            <w:r w:rsidDel="00000000" w:rsidR="00000000" w:rsidRPr="00000000">
              <w:rPr>
                <w:rtl w:val="0"/>
              </w:rPr>
            </w:r>
          </w:p>
        </w:tc>
        <w:tc>
          <w:tcPr>
            <w:tcBorders>
              <w:top w:color="1e2761" w:space="0" w:sz="4" w:val="single"/>
              <w:left w:color="1e2761" w:space="0" w:sz="4" w:val="single"/>
              <w:bottom w:color="1e2761" w:space="0" w:sz="4" w:val="single"/>
              <w:right w:color="1e2761" w:space="0" w:sz="4" w:val="single"/>
            </w:tcBorders>
            <w:shd w:fill="1e2761"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BE">
            <w:pPr>
              <w:rPr/>
            </w:pPr>
            <w:r w:rsidDel="00000000" w:rsidR="00000000" w:rsidRPr="00000000">
              <w:rPr>
                <w:rFonts w:ascii="Calibri" w:cs="Calibri" w:eastAsia="Calibri" w:hAnsi="Calibri"/>
                <w:color w:val="1e293b"/>
                <w:sz w:val="19"/>
                <w:szCs w:val="19"/>
                <w:rtl w:val="0"/>
              </w:rPr>
              <w:t xml:space="preserve">Phase 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BF">
            <w:pPr>
              <w:rPr/>
            </w:pPr>
            <w:r w:rsidDel="00000000" w:rsidR="00000000" w:rsidRPr="00000000">
              <w:rPr>
                <w:rFonts w:ascii="Calibri" w:cs="Calibri" w:eastAsia="Calibri" w:hAnsi="Calibri"/>
                <w:color w:val="1e293b"/>
                <w:sz w:val="19"/>
                <w:szCs w:val="19"/>
                <w:rtl w:val="0"/>
              </w:rPr>
              <w:t xml:space="preserve">01_data_cleaning.ipynb</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C0">
            <w:pPr>
              <w:rPr/>
            </w:pPr>
            <w:r w:rsidDel="00000000" w:rsidR="00000000" w:rsidRPr="00000000">
              <w:rPr>
                <w:rFonts w:ascii="Calibri" w:cs="Calibri" w:eastAsia="Calibri" w:hAnsi="Calibri"/>
                <w:color w:val="1e293b"/>
                <w:sz w:val="19"/>
                <w:szCs w:val="19"/>
                <w:rtl w:val="0"/>
              </w:rPr>
              <w:t xml:space="preserve">Data loading, quality checks, cleaning, feature extraction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0C1">
            <w:pPr>
              <w:rPr/>
            </w:pPr>
            <w:r w:rsidDel="00000000" w:rsidR="00000000" w:rsidRPr="00000000">
              <w:rPr>
                <w:rFonts w:ascii="Calibri" w:cs="Calibri" w:eastAsia="Calibri" w:hAnsi="Calibri"/>
                <w:color w:val="1e293b"/>
                <w:sz w:val="19"/>
                <w:szCs w:val="19"/>
                <w:rtl w:val="0"/>
              </w:rPr>
              <w:t xml:space="preserve">Phase 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0C2">
            <w:pPr>
              <w:rPr/>
            </w:pPr>
            <w:r w:rsidDel="00000000" w:rsidR="00000000" w:rsidRPr="00000000">
              <w:rPr>
                <w:rFonts w:ascii="Calibri" w:cs="Calibri" w:eastAsia="Calibri" w:hAnsi="Calibri"/>
                <w:color w:val="1e293b"/>
                <w:sz w:val="19"/>
                <w:szCs w:val="19"/>
                <w:rtl w:val="0"/>
              </w:rPr>
              <w:t xml:space="preserve">02_sql_analysis.sql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0C3">
            <w:pPr>
              <w:rPr/>
            </w:pPr>
            <w:r w:rsidDel="00000000" w:rsidR="00000000" w:rsidRPr="00000000">
              <w:rPr>
                <w:rFonts w:ascii="Calibri" w:cs="Calibri" w:eastAsia="Calibri" w:hAnsi="Calibri"/>
                <w:color w:val="1e293b"/>
                <w:sz w:val="19"/>
                <w:szCs w:val="19"/>
                <w:rtl w:val="0"/>
              </w:rPr>
              <w:t xml:space="preserve">8 business queries — trends, rankings, EV analysis, Pareto, seasonality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C4">
            <w:pPr>
              <w:rPr/>
            </w:pPr>
            <w:r w:rsidDel="00000000" w:rsidR="00000000" w:rsidRPr="00000000">
              <w:rPr>
                <w:rFonts w:ascii="Calibri" w:cs="Calibri" w:eastAsia="Calibri" w:hAnsi="Calibri"/>
                <w:color w:val="1e293b"/>
                <w:sz w:val="19"/>
                <w:szCs w:val="19"/>
                <w:rtl w:val="0"/>
              </w:rPr>
              <w:t xml:space="preserve">Phase 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C5">
            <w:pPr>
              <w:rPr/>
            </w:pPr>
            <w:r w:rsidDel="00000000" w:rsidR="00000000" w:rsidRPr="00000000">
              <w:rPr>
                <w:rFonts w:ascii="Calibri" w:cs="Calibri" w:eastAsia="Calibri" w:hAnsi="Calibri"/>
                <w:color w:val="1e293b"/>
                <w:sz w:val="19"/>
                <w:szCs w:val="19"/>
                <w:rtl w:val="0"/>
              </w:rPr>
              <w:t xml:space="preserve">03_eda_charts.ipynb</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C6">
            <w:pPr>
              <w:rPr/>
            </w:pPr>
            <w:r w:rsidDel="00000000" w:rsidR="00000000" w:rsidRPr="00000000">
              <w:rPr>
                <w:rFonts w:ascii="Calibri" w:cs="Calibri" w:eastAsia="Calibri" w:hAnsi="Calibri"/>
                <w:color w:val="1e293b"/>
                <w:sz w:val="19"/>
                <w:szCs w:val="19"/>
                <w:rtl w:val="0"/>
              </w:rPr>
              <w:t xml:space="preserve">8 charts saved as PNG — annual trend, category mix, EV trend, dealer ranking, Pareto, heatmaps, scatter, seasonality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0C7">
            <w:pPr>
              <w:rPr/>
            </w:pPr>
            <w:r w:rsidDel="00000000" w:rsidR="00000000" w:rsidRPr="00000000">
              <w:rPr>
                <w:rFonts w:ascii="Calibri" w:cs="Calibri" w:eastAsia="Calibri" w:hAnsi="Calibri"/>
                <w:color w:val="1e293b"/>
                <w:sz w:val="19"/>
                <w:szCs w:val="19"/>
                <w:rtl w:val="0"/>
              </w:rPr>
              <w:t xml:space="preserve">Phase 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0C8">
            <w:pPr>
              <w:rPr/>
            </w:pPr>
            <w:r w:rsidDel="00000000" w:rsidR="00000000" w:rsidRPr="00000000">
              <w:rPr>
                <w:rFonts w:ascii="Calibri" w:cs="Calibri" w:eastAsia="Calibri" w:hAnsi="Calibri"/>
                <w:color w:val="1e293b"/>
                <w:sz w:val="19"/>
                <w:szCs w:val="19"/>
                <w:rtl w:val="0"/>
              </w:rPr>
              <w:t xml:space="preserve">Automobile_Sales_Dashboard.pbix</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0C9">
            <w:pPr>
              <w:rPr/>
            </w:pPr>
            <w:r w:rsidDel="00000000" w:rsidR="00000000" w:rsidRPr="00000000">
              <w:rPr>
                <w:rFonts w:ascii="Calibri" w:cs="Calibri" w:eastAsia="Calibri" w:hAnsi="Calibri"/>
                <w:color w:val="1e293b"/>
                <w:sz w:val="19"/>
                <w:szCs w:val="19"/>
                <w:rtl w:val="0"/>
              </w:rPr>
              <w:t xml:space="preserve">3-page Power BI dashboard — Sales Overview, Dealer Analysis, Market Trends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CA">
            <w:pPr>
              <w:rPr/>
            </w:pPr>
            <w:r w:rsidDel="00000000" w:rsidR="00000000" w:rsidRPr="00000000">
              <w:rPr>
                <w:rFonts w:ascii="Calibri" w:cs="Calibri" w:eastAsia="Calibri" w:hAnsi="Calibri"/>
                <w:color w:val="1e293b"/>
                <w:sz w:val="19"/>
                <w:szCs w:val="19"/>
                <w:rtl w:val="0"/>
              </w:rPr>
              <w:t xml:space="preserve">Phase 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CB">
            <w:pPr>
              <w:rPr/>
            </w:pPr>
            <w:r w:rsidDel="00000000" w:rsidR="00000000" w:rsidRPr="00000000">
              <w:rPr>
                <w:rFonts w:ascii="Calibri" w:cs="Calibri" w:eastAsia="Calibri" w:hAnsi="Calibri"/>
                <w:color w:val="1e293b"/>
                <w:sz w:val="19"/>
                <w:szCs w:val="19"/>
                <w:rtl w:val="0"/>
              </w:rPr>
              <w:t xml:space="preserve">Automobile_Sales_Report.docx</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CC">
            <w:pPr>
              <w:rPr/>
            </w:pPr>
            <w:r w:rsidDel="00000000" w:rsidR="00000000" w:rsidRPr="00000000">
              <w:rPr>
                <w:rFonts w:ascii="Calibri" w:cs="Calibri" w:eastAsia="Calibri" w:hAnsi="Calibri"/>
                <w:color w:val="1e293b"/>
                <w:sz w:val="19"/>
                <w:szCs w:val="19"/>
                <w:rtl w:val="0"/>
              </w:rPr>
              <w:t xml:space="preserve">This 6-page written case study report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0CD">
            <w:pPr>
              <w:rPr/>
            </w:pPr>
            <w:r w:rsidDel="00000000" w:rsidR="00000000" w:rsidRPr="00000000">
              <w:rPr>
                <w:rFonts w:ascii="Calibri" w:cs="Calibri" w:eastAsia="Calibri" w:hAnsi="Calibri"/>
                <w:color w:val="1e293b"/>
                <w:sz w:val="19"/>
                <w:szCs w:val="19"/>
                <w:rtl w:val="0"/>
              </w:rPr>
              <w:t xml:space="preserve">Phase 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0CE">
            <w:pPr>
              <w:rPr/>
            </w:pPr>
            <w:r w:rsidDel="00000000" w:rsidR="00000000" w:rsidRPr="00000000">
              <w:rPr>
                <w:rFonts w:ascii="Calibri" w:cs="Calibri" w:eastAsia="Calibri" w:hAnsi="Calibri"/>
                <w:color w:val="1e293b"/>
                <w:sz w:val="19"/>
                <w:szCs w:val="19"/>
                <w:rtl w:val="0"/>
              </w:rPr>
              <w:t xml:space="preserve">Automobile_Sales_Analysis.pptx</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60.0" w:type="dxa"/>
              <w:left w:w="120.0" w:type="dxa"/>
              <w:bottom w:w="60.0" w:type="dxa"/>
              <w:right w:w="120.0" w:type="dxa"/>
            </w:tcMar>
          </w:tcPr>
          <w:p w:rsidR="00000000" w:rsidDel="00000000" w:rsidP="00000000" w:rsidRDefault="00000000" w:rsidRPr="00000000" w14:paraId="000000CF">
            <w:pPr>
              <w:rPr/>
            </w:pPr>
            <w:r w:rsidDel="00000000" w:rsidR="00000000" w:rsidRPr="00000000">
              <w:rPr>
                <w:rFonts w:ascii="Calibri" w:cs="Calibri" w:eastAsia="Calibri" w:hAnsi="Calibri"/>
                <w:color w:val="1e293b"/>
                <w:sz w:val="19"/>
                <w:szCs w:val="19"/>
                <w:rtl w:val="0"/>
              </w:rPr>
              <w:t xml:space="preserve">8-slide presentation deck</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D0">
            <w:pPr>
              <w:rPr/>
            </w:pPr>
            <w:r w:rsidDel="00000000" w:rsidR="00000000" w:rsidRPr="00000000">
              <w:rPr>
                <w:rFonts w:ascii="Calibri" w:cs="Calibri" w:eastAsia="Calibri" w:hAnsi="Calibri"/>
                <w:color w:val="1e293b"/>
                <w:sz w:val="19"/>
                <w:szCs w:val="19"/>
                <w:rtl w:val="0"/>
              </w:rPr>
              <w:t xml:space="preserve">Output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D1">
            <w:pPr>
              <w:rPr/>
            </w:pPr>
            <w:r w:rsidDel="00000000" w:rsidR="00000000" w:rsidRPr="00000000">
              <w:rPr>
                <w:rFonts w:ascii="Calibri" w:cs="Calibri" w:eastAsia="Calibri" w:hAnsi="Calibri"/>
                <w:color w:val="1e293b"/>
                <w:sz w:val="19"/>
                <w:szCs w:val="19"/>
                <w:rtl w:val="0"/>
              </w:rPr>
              <w:t xml:space="preserve">automobile_sales_cleaned.csv</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60.0" w:type="dxa"/>
              <w:left w:w="120.0" w:type="dxa"/>
              <w:bottom w:w="60.0" w:type="dxa"/>
              <w:right w:w="120.0" w:type="dxa"/>
            </w:tcMar>
          </w:tcPr>
          <w:p w:rsidR="00000000" w:rsidDel="00000000" w:rsidP="00000000" w:rsidRDefault="00000000" w:rsidRPr="00000000" w14:paraId="000000D2">
            <w:pPr>
              <w:rPr/>
            </w:pPr>
            <w:r w:rsidDel="00000000" w:rsidR="00000000" w:rsidRPr="00000000">
              <w:rPr>
                <w:rFonts w:ascii="Calibri" w:cs="Calibri" w:eastAsia="Calibri" w:hAnsi="Calibri"/>
                <w:color w:val="1e293b"/>
                <w:sz w:val="19"/>
                <w:szCs w:val="19"/>
                <w:rtl w:val="0"/>
              </w:rPr>
              <w:t xml:space="preserve">Cleaned dataset exported from Phase 1</w:t>
            </w:r>
            <w:r w:rsidDel="00000000" w:rsidR="00000000" w:rsidRPr="00000000">
              <w:rPr>
                <w:rtl w:val="0"/>
              </w:rPr>
            </w:r>
          </w:p>
        </w:tc>
      </w:tr>
    </w:tbl>
    <w:p w:rsidR="00000000" w:rsidDel="00000000" w:rsidP="00000000" w:rsidRDefault="00000000" w:rsidRPr="00000000" w14:paraId="000000D3">
      <w:pPr>
        <w:spacing w:after="160" w:before="0" w:lineRule="auto"/>
        <w:rPr/>
      </w:pP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Calibri" w:cs="Calibri" w:eastAsia="Calibri" w:hAnsi="Calibri"/>
      <w:b w:val="1"/>
      <w:bCs w:val="1"/>
      <w:i w:val="0"/>
      <w:iCs w:val="0"/>
      <w:smallCaps w:val="0"/>
      <w:strike w:val="0"/>
      <w:color w:val="1e2761"/>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Calibri" w:cs="Calibri" w:eastAsia="Calibri" w:hAnsi="Calibri"/>
      <w:b w:val="1"/>
      <w:bCs w:val="1"/>
      <w:i w:val="0"/>
      <w:iCs w:val="0"/>
      <w:smallCaps w:val="0"/>
      <w:strike w:val="0"/>
      <w:color w:val="1e2761"/>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