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18CB2" w14:textId="77777777" w:rsidR="00B869D2" w:rsidRPr="00B869D2" w:rsidRDefault="00B869D2" w:rsidP="00B869D2">
      <w:pPr>
        <w:rPr>
          <w:b/>
          <w:bCs/>
        </w:rPr>
      </w:pPr>
      <w:r w:rsidRPr="00B869D2">
        <w:rPr>
          <w:b/>
          <w:bCs/>
        </w:rPr>
        <w:t>ATM Transactions: Current Trends and Future Outlook</w:t>
      </w:r>
    </w:p>
    <w:p w14:paraId="3FAF576A" w14:textId="77777777" w:rsidR="00B869D2" w:rsidRPr="00B869D2" w:rsidRDefault="00B869D2" w:rsidP="00B869D2">
      <w:pPr>
        <w:rPr>
          <w:b/>
          <w:bCs/>
        </w:rPr>
      </w:pPr>
      <w:r w:rsidRPr="00B869D2">
        <w:rPr>
          <w:b/>
          <w:bCs/>
        </w:rPr>
        <w:t>1. Executive Summary</w:t>
      </w:r>
    </w:p>
    <w:p w14:paraId="44B953AD" w14:textId="77777777" w:rsidR="00B869D2" w:rsidRPr="00B869D2" w:rsidRDefault="00B869D2" w:rsidP="00B869D2">
      <w:r w:rsidRPr="00B869D2">
        <w:t>This report provides a comprehensive analysis of current ATM transaction trends in India and presents projections for future developments. With the increasing shift towards digital banking, ATM usage patterns are evolving, but ATMs continue to remain an essential part of the banking infrastructure, especially in semi-urban and rural areas.</w:t>
      </w:r>
    </w:p>
    <w:p w14:paraId="14CBE958" w14:textId="77777777" w:rsidR="00B869D2" w:rsidRPr="00B869D2" w:rsidRDefault="00B869D2" w:rsidP="00B869D2">
      <w:r w:rsidRPr="00B869D2">
        <w:pict w14:anchorId="72CF92F9">
          <v:rect id="_x0000_i1055" style="width:0;height:1.5pt" o:hralign="center" o:hrstd="t" o:hr="t" fillcolor="#a0a0a0" stroked="f"/>
        </w:pict>
      </w:r>
    </w:p>
    <w:p w14:paraId="6DC3921C" w14:textId="77777777" w:rsidR="00B869D2" w:rsidRPr="00B869D2" w:rsidRDefault="00B869D2" w:rsidP="00B869D2">
      <w:pPr>
        <w:rPr>
          <w:b/>
          <w:bCs/>
        </w:rPr>
      </w:pPr>
      <w:r w:rsidRPr="00B869D2">
        <w:rPr>
          <w:b/>
          <w:bCs/>
        </w:rPr>
        <w:t>2. Current ATM Transaction Trends (2024-2025)</w:t>
      </w:r>
    </w:p>
    <w:p w14:paraId="02C91E68" w14:textId="77777777" w:rsidR="00B869D2" w:rsidRPr="00B869D2" w:rsidRDefault="00B869D2" w:rsidP="00B869D2">
      <w:pPr>
        <w:rPr>
          <w:b/>
          <w:bCs/>
        </w:rPr>
      </w:pPr>
      <w:r w:rsidRPr="00B869D2">
        <w:rPr>
          <w:b/>
          <w:bCs/>
        </w:rPr>
        <w:t>2.1 Overall Usage</w:t>
      </w:r>
    </w:p>
    <w:p w14:paraId="78A03459" w14:textId="77777777" w:rsidR="00B869D2" w:rsidRPr="00B869D2" w:rsidRDefault="00B869D2" w:rsidP="00B869D2">
      <w:pPr>
        <w:numPr>
          <w:ilvl w:val="0"/>
          <w:numId w:val="1"/>
        </w:numPr>
      </w:pPr>
      <w:r w:rsidRPr="00B869D2">
        <w:rPr>
          <w:b/>
          <w:bCs/>
        </w:rPr>
        <w:t>Total ATM Transactions</w:t>
      </w:r>
      <w:r w:rsidRPr="00B869D2">
        <w:t xml:space="preserve"> in FY 2024-25 (YTD): </w:t>
      </w:r>
      <w:r w:rsidRPr="00B869D2">
        <w:rPr>
          <w:b/>
          <w:bCs/>
        </w:rPr>
        <w:t>Over 6.5 billion</w:t>
      </w:r>
      <w:r w:rsidRPr="00B869D2">
        <w:t>.</w:t>
      </w:r>
    </w:p>
    <w:p w14:paraId="35053FDC" w14:textId="77777777" w:rsidR="00B869D2" w:rsidRPr="00B869D2" w:rsidRDefault="00B869D2" w:rsidP="00B869D2">
      <w:pPr>
        <w:numPr>
          <w:ilvl w:val="0"/>
          <w:numId w:val="1"/>
        </w:numPr>
      </w:pPr>
      <w:r w:rsidRPr="00B869D2">
        <w:rPr>
          <w:b/>
          <w:bCs/>
        </w:rPr>
        <w:t>Cash Withdrawals</w:t>
      </w:r>
      <w:r w:rsidRPr="00B869D2">
        <w:t xml:space="preserve">: Still the dominant use case, forming over </w:t>
      </w:r>
      <w:r w:rsidRPr="00B869D2">
        <w:rPr>
          <w:b/>
          <w:bCs/>
        </w:rPr>
        <w:t>88%</w:t>
      </w:r>
      <w:r w:rsidRPr="00B869D2">
        <w:t xml:space="preserve"> of total ATM transactions.</w:t>
      </w:r>
    </w:p>
    <w:p w14:paraId="256F9957" w14:textId="77777777" w:rsidR="00B869D2" w:rsidRPr="00B869D2" w:rsidRDefault="00B869D2" w:rsidP="00B869D2">
      <w:pPr>
        <w:numPr>
          <w:ilvl w:val="0"/>
          <w:numId w:val="1"/>
        </w:numPr>
      </w:pPr>
      <w:r w:rsidRPr="00B869D2">
        <w:rPr>
          <w:b/>
          <w:bCs/>
        </w:rPr>
        <w:t>Non-Financial Transactions</w:t>
      </w:r>
      <w:r w:rsidRPr="00B869D2">
        <w:t xml:space="preserve">: Balance inquiry, mini-statement, PIN change – contribute to </w:t>
      </w:r>
      <w:r w:rsidRPr="00B869D2">
        <w:rPr>
          <w:b/>
          <w:bCs/>
        </w:rPr>
        <w:t>12%</w:t>
      </w:r>
      <w:r w:rsidRPr="00B869D2">
        <w:t>.</w:t>
      </w:r>
    </w:p>
    <w:p w14:paraId="455A5DD8" w14:textId="77777777" w:rsidR="00B869D2" w:rsidRPr="00B869D2" w:rsidRDefault="00B869D2" w:rsidP="00B869D2">
      <w:pPr>
        <w:numPr>
          <w:ilvl w:val="0"/>
          <w:numId w:val="1"/>
        </w:numPr>
      </w:pPr>
      <w:r w:rsidRPr="00B869D2">
        <w:rPr>
          <w:b/>
          <w:bCs/>
        </w:rPr>
        <w:t>Off-Us Transactions</w:t>
      </w:r>
      <w:r w:rsidRPr="00B869D2">
        <w:t xml:space="preserve"> (customer uses ATM of another bank): Account for </w:t>
      </w:r>
      <w:r w:rsidRPr="00B869D2">
        <w:rPr>
          <w:b/>
          <w:bCs/>
        </w:rPr>
        <w:t>30–35%</w:t>
      </w:r>
      <w:r w:rsidRPr="00B869D2">
        <w:t xml:space="preserve"> of total volume.</w:t>
      </w:r>
    </w:p>
    <w:p w14:paraId="36CF0CFF" w14:textId="77777777" w:rsidR="00B869D2" w:rsidRPr="00B869D2" w:rsidRDefault="00B869D2" w:rsidP="00B869D2">
      <w:pPr>
        <w:rPr>
          <w:b/>
          <w:bCs/>
        </w:rPr>
      </w:pPr>
      <w:r w:rsidRPr="00B869D2">
        <w:rPr>
          <w:b/>
          <w:bCs/>
        </w:rPr>
        <w:t>2.2 Channel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575"/>
        <w:gridCol w:w="4273"/>
      </w:tblGrid>
      <w:tr w:rsidR="00B869D2" w:rsidRPr="00B869D2" w14:paraId="6C3E66C1" w14:textId="77777777" w:rsidTr="00B869D2">
        <w:trPr>
          <w:tblHeader/>
          <w:tblCellSpacing w:w="15" w:type="dxa"/>
        </w:trPr>
        <w:tc>
          <w:tcPr>
            <w:tcW w:w="0" w:type="auto"/>
            <w:vAlign w:val="center"/>
            <w:hideMark/>
          </w:tcPr>
          <w:p w14:paraId="40327132" w14:textId="77777777" w:rsidR="00B869D2" w:rsidRPr="00B869D2" w:rsidRDefault="00B869D2" w:rsidP="00B869D2">
            <w:pPr>
              <w:rPr>
                <w:b/>
                <w:bCs/>
              </w:rPr>
            </w:pPr>
            <w:r w:rsidRPr="00B869D2">
              <w:rPr>
                <w:b/>
                <w:bCs/>
              </w:rPr>
              <w:t>Channel Type</w:t>
            </w:r>
          </w:p>
        </w:tc>
        <w:tc>
          <w:tcPr>
            <w:tcW w:w="0" w:type="auto"/>
            <w:vAlign w:val="center"/>
            <w:hideMark/>
          </w:tcPr>
          <w:p w14:paraId="6A2D6DD8" w14:textId="77777777" w:rsidR="00B869D2" w:rsidRPr="00B869D2" w:rsidRDefault="00B869D2" w:rsidP="00B869D2">
            <w:pPr>
              <w:rPr>
                <w:b/>
                <w:bCs/>
              </w:rPr>
            </w:pPr>
            <w:r w:rsidRPr="00B869D2">
              <w:rPr>
                <w:b/>
                <w:bCs/>
              </w:rPr>
              <w:t>Volume Share</w:t>
            </w:r>
          </w:p>
        </w:tc>
        <w:tc>
          <w:tcPr>
            <w:tcW w:w="0" w:type="auto"/>
            <w:vAlign w:val="center"/>
            <w:hideMark/>
          </w:tcPr>
          <w:p w14:paraId="6BDBD9C6" w14:textId="77777777" w:rsidR="00B869D2" w:rsidRPr="00B869D2" w:rsidRDefault="00B869D2" w:rsidP="00B869D2">
            <w:pPr>
              <w:rPr>
                <w:b/>
                <w:bCs/>
              </w:rPr>
            </w:pPr>
            <w:r w:rsidRPr="00B869D2">
              <w:rPr>
                <w:b/>
                <w:bCs/>
              </w:rPr>
              <w:t>Key Insights</w:t>
            </w:r>
          </w:p>
        </w:tc>
      </w:tr>
      <w:tr w:rsidR="00B869D2" w:rsidRPr="00B869D2" w14:paraId="5EFB01A9" w14:textId="77777777" w:rsidTr="00B869D2">
        <w:trPr>
          <w:tblCellSpacing w:w="15" w:type="dxa"/>
        </w:trPr>
        <w:tc>
          <w:tcPr>
            <w:tcW w:w="0" w:type="auto"/>
            <w:vAlign w:val="center"/>
            <w:hideMark/>
          </w:tcPr>
          <w:p w14:paraId="30F8F49F" w14:textId="77777777" w:rsidR="00B869D2" w:rsidRPr="00B869D2" w:rsidRDefault="00B869D2" w:rsidP="00B869D2">
            <w:r w:rsidRPr="00B869D2">
              <w:t>Bank-Owned ATMs</w:t>
            </w:r>
          </w:p>
        </w:tc>
        <w:tc>
          <w:tcPr>
            <w:tcW w:w="0" w:type="auto"/>
            <w:vAlign w:val="center"/>
            <w:hideMark/>
          </w:tcPr>
          <w:p w14:paraId="59CD5100" w14:textId="77777777" w:rsidR="00B869D2" w:rsidRPr="00B869D2" w:rsidRDefault="00B869D2" w:rsidP="00B869D2">
            <w:r w:rsidRPr="00B869D2">
              <w:t>75%</w:t>
            </w:r>
          </w:p>
        </w:tc>
        <w:tc>
          <w:tcPr>
            <w:tcW w:w="0" w:type="auto"/>
            <w:vAlign w:val="center"/>
            <w:hideMark/>
          </w:tcPr>
          <w:p w14:paraId="34A953A7" w14:textId="77777777" w:rsidR="00B869D2" w:rsidRPr="00B869D2" w:rsidRDefault="00B869D2" w:rsidP="00B869D2">
            <w:r w:rsidRPr="00B869D2">
              <w:t>Urban focused; declining growth</w:t>
            </w:r>
          </w:p>
        </w:tc>
      </w:tr>
      <w:tr w:rsidR="00B869D2" w:rsidRPr="00B869D2" w14:paraId="07891F0E" w14:textId="77777777" w:rsidTr="00B869D2">
        <w:trPr>
          <w:tblCellSpacing w:w="15" w:type="dxa"/>
        </w:trPr>
        <w:tc>
          <w:tcPr>
            <w:tcW w:w="0" w:type="auto"/>
            <w:vAlign w:val="center"/>
            <w:hideMark/>
          </w:tcPr>
          <w:p w14:paraId="5E7BA1FC" w14:textId="77777777" w:rsidR="00B869D2" w:rsidRPr="00B869D2" w:rsidRDefault="00B869D2" w:rsidP="00B869D2">
            <w:r w:rsidRPr="00B869D2">
              <w:t>White Label ATMs</w:t>
            </w:r>
          </w:p>
        </w:tc>
        <w:tc>
          <w:tcPr>
            <w:tcW w:w="0" w:type="auto"/>
            <w:vAlign w:val="center"/>
            <w:hideMark/>
          </w:tcPr>
          <w:p w14:paraId="48022879" w14:textId="77777777" w:rsidR="00B869D2" w:rsidRPr="00B869D2" w:rsidRDefault="00B869D2" w:rsidP="00B869D2">
            <w:r w:rsidRPr="00B869D2">
              <w:t>25%</w:t>
            </w:r>
          </w:p>
        </w:tc>
        <w:tc>
          <w:tcPr>
            <w:tcW w:w="0" w:type="auto"/>
            <w:vAlign w:val="center"/>
            <w:hideMark/>
          </w:tcPr>
          <w:p w14:paraId="15D78154" w14:textId="77777777" w:rsidR="00B869D2" w:rsidRPr="00B869D2" w:rsidRDefault="00B869D2" w:rsidP="00B869D2">
            <w:r w:rsidRPr="00B869D2">
              <w:t>Growing in semi-urban/rural geographies</w:t>
            </w:r>
          </w:p>
        </w:tc>
      </w:tr>
    </w:tbl>
    <w:p w14:paraId="3278FDA8" w14:textId="77777777" w:rsidR="00B869D2" w:rsidRPr="00B869D2" w:rsidRDefault="00B869D2" w:rsidP="00B869D2">
      <w:pPr>
        <w:rPr>
          <w:b/>
          <w:bCs/>
        </w:rPr>
      </w:pPr>
      <w:r w:rsidRPr="00B869D2">
        <w:rPr>
          <w:b/>
          <w:bCs/>
        </w:rPr>
        <w:t>2.3 Regional Distribution</w:t>
      </w:r>
    </w:p>
    <w:p w14:paraId="66A7D7E4" w14:textId="77777777" w:rsidR="00B869D2" w:rsidRPr="00B869D2" w:rsidRDefault="00B869D2" w:rsidP="00B869D2">
      <w:pPr>
        <w:numPr>
          <w:ilvl w:val="0"/>
          <w:numId w:val="2"/>
        </w:numPr>
      </w:pPr>
      <w:r w:rsidRPr="00B869D2">
        <w:rPr>
          <w:b/>
          <w:bCs/>
        </w:rPr>
        <w:t>Urban Areas</w:t>
      </w:r>
      <w:r w:rsidRPr="00B869D2">
        <w:t>: Account for 60% of ATM usage but declining annually.</w:t>
      </w:r>
    </w:p>
    <w:p w14:paraId="50123911" w14:textId="77777777" w:rsidR="00B869D2" w:rsidRPr="00B869D2" w:rsidRDefault="00B869D2" w:rsidP="00B869D2">
      <w:pPr>
        <w:numPr>
          <w:ilvl w:val="0"/>
          <w:numId w:val="2"/>
        </w:numPr>
      </w:pPr>
      <w:r w:rsidRPr="00B869D2">
        <w:rPr>
          <w:b/>
          <w:bCs/>
        </w:rPr>
        <w:t>Rural &amp; Semi-Urban</w:t>
      </w:r>
      <w:r w:rsidRPr="00B869D2">
        <w:t xml:space="preserve">: Growing at </w:t>
      </w:r>
      <w:r w:rsidRPr="00B869D2">
        <w:rPr>
          <w:b/>
          <w:bCs/>
        </w:rPr>
        <w:t>7-10% CAGR</w:t>
      </w:r>
      <w:r w:rsidRPr="00B869D2">
        <w:t>, driven by financial inclusion.</w:t>
      </w:r>
    </w:p>
    <w:p w14:paraId="662428F3" w14:textId="77777777" w:rsidR="00B869D2" w:rsidRPr="00B869D2" w:rsidRDefault="00B869D2" w:rsidP="00B869D2">
      <w:pPr>
        <w:rPr>
          <w:b/>
          <w:bCs/>
        </w:rPr>
      </w:pPr>
      <w:r w:rsidRPr="00B869D2">
        <w:rPr>
          <w:b/>
          <w:bCs/>
        </w:rPr>
        <w:t>2.4 Denomination Trends</w:t>
      </w:r>
    </w:p>
    <w:p w14:paraId="1443E213" w14:textId="77777777" w:rsidR="00B869D2" w:rsidRPr="00B869D2" w:rsidRDefault="00B869D2" w:rsidP="00B869D2">
      <w:pPr>
        <w:numPr>
          <w:ilvl w:val="0"/>
          <w:numId w:val="3"/>
        </w:numPr>
      </w:pPr>
      <w:r w:rsidRPr="00B869D2">
        <w:rPr>
          <w:b/>
          <w:bCs/>
        </w:rPr>
        <w:t>₹500 notes</w:t>
      </w:r>
      <w:r w:rsidRPr="00B869D2">
        <w:t>: Most preferred denomination (~55% of cash dispensed).</w:t>
      </w:r>
    </w:p>
    <w:p w14:paraId="0B44A6AE" w14:textId="77777777" w:rsidR="00B869D2" w:rsidRPr="00B869D2" w:rsidRDefault="00B869D2" w:rsidP="00B869D2">
      <w:pPr>
        <w:numPr>
          <w:ilvl w:val="0"/>
          <w:numId w:val="3"/>
        </w:numPr>
      </w:pPr>
      <w:r w:rsidRPr="00B869D2">
        <w:rPr>
          <w:b/>
          <w:bCs/>
        </w:rPr>
        <w:t>₹200 and ₹100 notes</w:t>
      </w:r>
      <w:r w:rsidRPr="00B869D2">
        <w:t>: Usage increasing due to demand for change and merchant transactions.</w:t>
      </w:r>
    </w:p>
    <w:p w14:paraId="63BB2864" w14:textId="77777777" w:rsidR="00B869D2" w:rsidRPr="00B869D2" w:rsidRDefault="00B869D2" w:rsidP="00B869D2">
      <w:r w:rsidRPr="00B869D2">
        <w:pict w14:anchorId="20464A2D">
          <v:rect id="_x0000_i1056" style="width:0;height:1.5pt" o:hralign="center" o:hrstd="t" o:hr="t" fillcolor="#a0a0a0" stroked="f"/>
        </w:pict>
      </w:r>
    </w:p>
    <w:p w14:paraId="1E097399" w14:textId="77777777" w:rsidR="00B869D2" w:rsidRPr="00B869D2" w:rsidRDefault="00B869D2" w:rsidP="00B869D2">
      <w:pPr>
        <w:rPr>
          <w:b/>
          <w:bCs/>
        </w:rPr>
      </w:pPr>
      <w:r w:rsidRPr="00B869D2">
        <w:rPr>
          <w:b/>
          <w:bCs/>
        </w:rPr>
        <w:t>3. Key Challenges in Current ATM Transactions</w:t>
      </w:r>
    </w:p>
    <w:p w14:paraId="6BA4844E" w14:textId="77777777" w:rsidR="00B869D2" w:rsidRPr="00B869D2" w:rsidRDefault="00B869D2" w:rsidP="00B869D2">
      <w:pPr>
        <w:numPr>
          <w:ilvl w:val="0"/>
          <w:numId w:val="4"/>
        </w:numPr>
      </w:pPr>
      <w:r w:rsidRPr="00B869D2">
        <w:rPr>
          <w:b/>
          <w:bCs/>
        </w:rPr>
        <w:t>High Cost of Cash Replenishment &amp; Maintenance</w:t>
      </w:r>
      <w:r w:rsidRPr="00B869D2">
        <w:t>.</w:t>
      </w:r>
    </w:p>
    <w:p w14:paraId="2174885E" w14:textId="77777777" w:rsidR="00B869D2" w:rsidRPr="00B869D2" w:rsidRDefault="00B869D2" w:rsidP="00B869D2">
      <w:pPr>
        <w:numPr>
          <w:ilvl w:val="0"/>
          <w:numId w:val="4"/>
        </w:numPr>
      </w:pPr>
      <w:r w:rsidRPr="00B869D2">
        <w:rPr>
          <w:b/>
          <w:bCs/>
        </w:rPr>
        <w:t>Increased ATM Fraud and Skimming Incidents</w:t>
      </w:r>
      <w:r w:rsidRPr="00B869D2">
        <w:t>.</w:t>
      </w:r>
    </w:p>
    <w:p w14:paraId="0EA04482" w14:textId="77777777" w:rsidR="00B869D2" w:rsidRPr="00B869D2" w:rsidRDefault="00B869D2" w:rsidP="00B869D2">
      <w:pPr>
        <w:numPr>
          <w:ilvl w:val="0"/>
          <w:numId w:val="4"/>
        </w:numPr>
      </w:pPr>
      <w:r w:rsidRPr="00B869D2">
        <w:rPr>
          <w:b/>
          <w:bCs/>
        </w:rPr>
        <w:t>Interchange Fee Pressure</w:t>
      </w:r>
      <w:r w:rsidRPr="00B869D2">
        <w:t>.</w:t>
      </w:r>
    </w:p>
    <w:p w14:paraId="3570F835" w14:textId="77777777" w:rsidR="00B869D2" w:rsidRPr="00B869D2" w:rsidRDefault="00B869D2" w:rsidP="00B869D2">
      <w:pPr>
        <w:numPr>
          <w:ilvl w:val="0"/>
          <w:numId w:val="4"/>
        </w:numPr>
      </w:pPr>
      <w:r w:rsidRPr="00B869D2">
        <w:rPr>
          <w:b/>
          <w:bCs/>
        </w:rPr>
        <w:t>Under-utilized ATMs in Urban Areas</w:t>
      </w:r>
      <w:r w:rsidRPr="00B869D2">
        <w:t>.</w:t>
      </w:r>
    </w:p>
    <w:p w14:paraId="49EEDFF2" w14:textId="77777777" w:rsidR="00B869D2" w:rsidRPr="00B869D2" w:rsidRDefault="00B869D2" w:rsidP="00B869D2">
      <w:pPr>
        <w:numPr>
          <w:ilvl w:val="0"/>
          <w:numId w:val="4"/>
        </w:numPr>
      </w:pPr>
      <w:r w:rsidRPr="00B869D2">
        <w:rPr>
          <w:b/>
          <w:bCs/>
        </w:rPr>
        <w:t>Connectivity and Power Outage Issues in Rural ATMs</w:t>
      </w:r>
      <w:r w:rsidRPr="00B869D2">
        <w:t>.</w:t>
      </w:r>
    </w:p>
    <w:p w14:paraId="6C1226D2" w14:textId="77777777" w:rsidR="00B869D2" w:rsidRPr="00B869D2" w:rsidRDefault="00B869D2" w:rsidP="00B869D2">
      <w:r w:rsidRPr="00B869D2">
        <w:pict w14:anchorId="43987398">
          <v:rect id="_x0000_i1057" style="width:0;height:1.5pt" o:hralign="center" o:hrstd="t" o:hr="t" fillcolor="#a0a0a0" stroked="f"/>
        </w:pict>
      </w:r>
    </w:p>
    <w:p w14:paraId="0F683350" w14:textId="77777777" w:rsidR="00B869D2" w:rsidRPr="00B869D2" w:rsidRDefault="00B869D2" w:rsidP="00B869D2">
      <w:pPr>
        <w:rPr>
          <w:b/>
          <w:bCs/>
        </w:rPr>
      </w:pPr>
      <w:r w:rsidRPr="00B869D2">
        <w:rPr>
          <w:b/>
          <w:bCs/>
        </w:rPr>
        <w:t xml:space="preserve">4. </w:t>
      </w:r>
      <w:proofErr w:type="gramStart"/>
      <w:r w:rsidRPr="00B869D2">
        <w:rPr>
          <w:b/>
          <w:bCs/>
        </w:rPr>
        <w:t>Future Outlook</w:t>
      </w:r>
      <w:proofErr w:type="gramEnd"/>
      <w:r w:rsidRPr="00B869D2">
        <w:rPr>
          <w:b/>
          <w:bCs/>
        </w:rPr>
        <w:t xml:space="preserve"> and Trends (2025–2030)</w:t>
      </w:r>
    </w:p>
    <w:p w14:paraId="2B8542A1" w14:textId="77777777" w:rsidR="00B869D2" w:rsidRPr="00B869D2" w:rsidRDefault="00B869D2" w:rsidP="00B869D2">
      <w:pPr>
        <w:rPr>
          <w:b/>
          <w:bCs/>
        </w:rPr>
      </w:pPr>
      <w:r w:rsidRPr="00B869D2">
        <w:rPr>
          <w:b/>
          <w:bCs/>
        </w:rPr>
        <w:t>4.1 Predicted Usage Trends</w:t>
      </w:r>
    </w:p>
    <w:p w14:paraId="3259E7AA" w14:textId="77777777" w:rsidR="00B869D2" w:rsidRPr="00B869D2" w:rsidRDefault="00B869D2" w:rsidP="00B869D2">
      <w:pPr>
        <w:numPr>
          <w:ilvl w:val="0"/>
          <w:numId w:val="5"/>
        </w:numPr>
      </w:pPr>
      <w:r w:rsidRPr="00B869D2">
        <w:t xml:space="preserve">ATM usage expected to </w:t>
      </w:r>
      <w:r w:rsidRPr="00B869D2">
        <w:rPr>
          <w:b/>
          <w:bCs/>
        </w:rPr>
        <w:t>grow at ~4% CAGR</w:t>
      </w:r>
      <w:r w:rsidRPr="00B869D2">
        <w:t xml:space="preserve"> overall.</w:t>
      </w:r>
    </w:p>
    <w:p w14:paraId="3E19420B" w14:textId="77777777" w:rsidR="00B869D2" w:rsidRPr="00B869D2" w:rsidRDefault="00B869D2" w:rsidP="00B869D2">
      <w:pPr>
        <w:numPr>
          <w:ilvl w:val="0"/>
          <w:numId w:val="5"/>
        </w:numPr>
      </w:pPr>
      <w:r w:rsidRPr="00B869D2">
        <w:rPr>
          <w:b/>
          <w:bCs/>
        </w:rPr>
        <w:t>Non-financial and Value-added services (VAS)</w:t>
      </w:r>
      <w:r w:rsidRPr="00B869D2">
        <w:t xml:space="preserve"> to grow significantly.</w:t>
      </w:r>
    </w:p>
    <w:p w14:paraId="6A077F4D" w14:textId="77777777" w:rsidR="00B869D2" w:rsidRPr="00B869D2" w:rsidRDefault="00B869D2" w:rsidP="00B869D2">
      <w:pPr>
        <w:numPr>
          <w:ilvl w:val="0"/>
          <w:numId w:val="5"/>
        </w:numPr>
      </w:pPr>
      <w:r w:rsidRPr="00B869D2">
        <w:rPr>
          <w:b/>
          <w:bCs/>
        </w:rPr>
        <w:t>Biometric-enabled ATMs (BE-ATMs)</w:t>
      </w:r>
      <w:r w:rsidRPr="00B869D2">
        <w:t xml:space="preserve"> to rise in rural India.</w:t>
      </w:r>
    </w:p>
    <w:p w14:paraId="3CABAEF9" w14:textId="77777777" w:rsidR="00B869D2" w:rsidRPr="00B869D2" w:rsidRDefault="00B869D2" w:rsidP="00B869D2">
      <w:pPr>
        <w:numPr>
          <w:ilvl w:val="0"/>
          <w:numId w:val="5"/>
        </w:numPr>
      </w:pPr>
      <w:r w:rsidRPr="00B869D2">
        <w:rPr>
          <w:b/>
          <w:bCs/>
        </w:rPr>
        <w:t>Interoperable Cash Deposit</w:t>
      </w:r>
      <w:r w:rsidRPr="00B869D2">
        <w:t xml:space="preserve"> through UPI-ATM linkages under NPCI’s roadmap.</w:t>
      </w:r>
    </w:p>
    <w:p w14:paraId="216465EB" w14:textId="77777777" w:rsidR="00B869D2" w:rsidRPr="00B869D2" w:rsidRDefault="00B869D2" w:rsidP="00B869D2">
      <w:pPr>
        <w:rPr>
          <w:b/>
          <w:bCs/>
        </w:rPr>
      </w:pPr>
      <w:r w:rsidRPr="00B869D2">
        <w:rPr>
          <w:b/>
          <w:bCs/>
        </w:rPr>
        <w:t>4.2 Technology Advancements</w:t>
      </w:r>
    </w:p>
    <w:p w14:paraId="23A6AB95" w14:textId="77777777" w:rsidR="00B869D2" w:rsidRPr="00B869D2" w:rsidRDefault="00B869D2" w:rsidP="00B869D2">
      <w:pPr>
        <w:numPr>
          <w:ilvl w:val="0"/>
          <w:numId w:val="6"/>
        </w:numPr>
      </w:pPr>
      <w:r w:rsidRPr="00B869D2">
        <w:t xml:space="preserve">AI-based </w:t>
      </w:r>
      <w:r w:rsidRPr="00B869D2">
        <w:rPr>
          <w:b/>
          <w:bCs/>
        </w:rPr>
        <w:t>Predictive Maintenance</w:t>
      </w:r>
      <w:r w:rsidRPr="00B869D2">
        <w:t xml:space="preserve"> to reduce downtime.</w:t>
      </w:r>
    </w:p>
    <w:p w14:paraId="4C114A58" w14:textId="77777777" w:rsidR="00B869D2" w:rsidRPr="00B869D2" w:rsidRDefault="00B869D2" w:rsidP="00B869D2">
      <w:pPr>
        <w:numPr>
          <w:ilvl w:val="0"/>
          <w:numId w:val="6"/>
        </w:numPr>
      </w:pPr>
      <w:r w:rsidRPr="00B869D2">
        <w:t>Real-time fraud detection systems integrated with ATM switches.</w:t>
      </w:r>
    </w:p>
    <w:p w14:paraId="4E5DFC4B" w14:textId="77777777" w:rsidR="00B869D2" w:rsidRPr="00B869D2" w:rsidRDefault="00B869D2" w:rsidP="00B869D2">
      <w:pPr>
        <w:numPr>
          <w:ilvl w:val="0"/>
          <w:numId w:val="6"/>
        </w:numPr>
      </w:pPr>
      <w:r w:rsidRPr="00B869D2">
        <w:rPr>
          <w:b/>
          <w:bCs/>
        </w:rPr>
        <w:t>Cardless Withdrawals</w:t>
      </w:r>
      <w:r w:rsidRPr="00B869D2">
        <w:t xml:space="preserve"> using mobile OTPs or UPI apps.</w:t>
      </w:r>
    </w:p>
    <w:p w14:paraId="06A4996C" w14:textId="77777777" w:rsidR="00B869D2" w:rsidRPr="00B869D2" w:rsidRDefault="00B869D2" w:rsidP="00B869D2">
      <w:pPr>
        <w:numPr>
          <w:ilvl w:val="0"/>
          <w:numId w:val="6"/>
        </w:numPr>
      </w:pPr>
      <w:r w:rsidRPr="00B869D2">
        <w:t>Contactless (NFC) ATMs to reduce transaction time.</w:t>
      </w:r>
    </w:p>
    <w:p w14:paraId="739E8558" w14:textId="77777777" w:rsidR="00B869D2" w:rsidRPr="00B869D2" w:rsidRDefault="00B869D2" w:rsidP="00B869D2">
      <w:pPr>
        <w:rPr>
          <w:b/>
          <w:bCs/>
        </w:rPr>
      </w:pPr>
      <w:r w:rsidRPr="00B869D2">
        <w:rPr>
          <w:b/>
          <w:bCs/>
        </w:rPr>
        <w:t>4.3 Policy and Regulatory Changes</w:t>
      </w:r>
    </w:p>
    <w:p w14:paraId="236E7B41" w14:textId="77777777" w:rsidR="00B869D2" w:rsidRPr="00B869D2" w:rsidRDefault="00B869D2" w:rsidP="00B869D2">
      <w:pPr>
        <w:numPr>
          <w:ilvl w:val="0"/>
          <w:numId w:val="7"/>
        </w:numPr>
      </w:pPr>
      <w:r w:rsidRPr="00B869D2">
        <w:t>RBI's push for:</w:t>
      </w:r>
    </w:p>
    <w:p w14:paraId="607B30DF" w14:textId="77777777" w:rsidR="00B869D2" w:rsidRPr="00B869D2" w:rsidRDefault="00B869D2" w:rsidP="00B869D2">
      <w:pPr>
        <w:numPr>
          <w:ilvl w:val="1"/>
          <w:numId w:val="7"/>
        </w:numPr>
      </w:pPr>
      <w:r w:rsidRPr="00B869D2">
        <w:rPr>
          <w:b/>
          <w:bCs/>
        </w:rPr>
        <w:t>Increased WLA deployment in Tier 3–6 centers.</w:t>
      </w:r>
    </w:p>
    <w:p w14:paraId="710EC70E" w14:textId="77777777" w:rsidR="00B869D2" w:rsidRPr="00B869D2" w:rsidRDefault="00B869D2" w:rsidP="00B869D2">
      <w:pPr>
        <w:numPr>
          <w:ilvl w:val="1"/>
          <w:numId w:val="7"/>
        </w:numPr>
      </w:pPr>
      <w:r w:rsidRPr="00B869D2">
        <w:rPr>
          <w:b/>
          <w:bCs/>
        </w:rPr>
        <w:t>Standardization of interchange and convenience fee</w:t>
      </w:r>
      <w:r w:rsidRPr="00B869D2">
        <w:t xml:space="preserve"> for sustainability.</w:t>
      </w:r>
    </w:p>
    <w:p w14:paraId="5EF76170" w14:textId="77777777" w:rsidR="00B869D2" w:rsidRPr="00B869D2" w:rsidRDefault="00B869D2" w:rsidP="00B869D2">
      <w:pPr>
        <w:numPr>
          <w:ilvl w:val="0"/>
          <w:numId w:val="7"/>
        </w:numPr>
      </w:pPr>
      <w:r w:rsidRPr="00B869D2">
        <w:t xml:space="preserve">National Payments Corporation of India (NPCI) initiatives to </w:t>
      </w:r>
      <w:r w:rsidRPr="00B869D2">
        <w:rPr>
          <w:b/>
          <w:bCs/>
        </w:rPr>
        <w:t>integrate ATMs with digital channels</w:t>
      </w:r>
      <w:r w:rsidRPr="00B869D2">
        <w:t>.</w:t>
      </w:r>
    </w:p>
    <w:p w14:paraId="5362018B" w14:textId="77777777" w:rsidR="00B869D2" w:rsidRPr="00B869D2" w:rsidRDefault="00B869D2" w:rsidP="00B869D2">
      <w:r w:rsidRPr="00B869D2">
        <w:pict w14:anchorId="4A97607D">
          <v:rect id="_x0000_i1058" style="width:0;height:1.5pt" o:hralign="center" o:hrstd="t" o:hr="t" fillcolor="#a0a0a0" stroked="f"/>
        </w:pict>
      </w:r>
    </w:p>
    <w:p w14:paraId="71E21500" w14:textId="77777777" w:rsidR="00B869D2" w:rsidRPr="00B869D2" w:rsidRDefault="00B869D2" w:rsidP="00B869D2">
      <w:pPr>
        <w:rPr>
          <w:b/>
          <w:bCs/>
        </w:rPr>
      </w:pPr>
      <w:r w:rsidRPr="00B869D2">
        <w:rPr>
          <w:b/>
          <w:bCs/>
        </w:rPr>
        <w:t>5. Strategic Recommendations</w:t>
      </w:r>
    </w:p>
    <w:p w14:paraId="094C833C" w14:textId="77777777" w:rsidR="00B869D2" w:rsidRPr="00B869D2" w:rsidRDefault="00B869D2" w:rsidP="00B869D2">
      <w:pPr>
        <w:rPr>
          <w:b/>
          <w:bCs/>
        </w:rPr>
      </w:pPr>
      <w:r w:rsidRPr="00B869D2">
        <w:rPr>
          <w:b/>
          <w:bCs/>
        </w:rPr>
        <w:t>Short-Term (0–1 year)</w:t>
      </w:r>
    </w:p>
    <w:p w14:paraId="57534D5E" w14:textId="77777777" w:rsidR="00B869D2" w:rsidRPr="00B869D2" w:rsidRDefault="00B869D2" w:rsidP="00B869D2">
      <w:pPr>
        <w:numPr>
          <w:ilvl w:val="0"/>
          <w:numId w:val="8"/>
        </w:numPr>
      </w:pPr>
      <w:r w:rsidRPr="00B869D2">
        <w:t>Optimize under-utilized urban ATMs.</w:t>
      </w:r>
    </w:p>
    <w:p w14:paraId="31CBEE4F" w14:textId="77777777" w:rsidR="00B869D2" w:rsidRPr="00B869D2" w:rsidRDefault="00B869D2" w:rsidP="00B869D2">
      <w:pPr>
        <w:numPr>
          <w:ilvl w:val="0"/>
          <w:numId w:val="8"/>
        </w:numPr>
      </w:pPr>
      <w:r w:rsidRPr="00B869D2">
        <w:t xml:space="preserve">Increase </w:t>
      </w:r>
      <w:r w:rsidRPr="00B869D2">
        <w:rPr>
          <w:b/>
          <w:bCs/>
        </w:rPr>
        <w:t>Cash Management Outsourcing (CMO)</w:t>
      </w:r>
      <w:r w:rsidRPr="00B869D2">
        <w:t xml:space="preserve"> to reduce costs.</w:t>
      </w:r>
    </w:p>
    <w:p w14:paraId="77821A66" w14:textId="77777777" w:rsidR="00B869D2" w:rsidRPr="00B869D2" w:rsidRDefault="00B869D2" w:rsidP="00B869D2">
      <w:pPr>
        <w:numPr>
          <w:ilvl w:val="0"/>
          <w:numId w:val="8"/>
        </w:numPr>
      </w:pPr>
      <w:r w:rsidRPr="00B869D2">
        <w:t xml:space="preserve">Enhance </w:t>
      </w:r>
      <w:r w:rsidRPr="00B869D2">
        <w:rPr>
          <w:b/>
          <w:bCs/>
        </w:rPr>
        <w:t>fraud prevention systems</w:t>
      </w:r>
      <w:r w:rsidRPr="00B869D2">
        <w:t xml:space="preserve"> with biometric + AI.</w:t>
      </w:r>
    </w:p>
    <w:p w14:paraId="553BA2C1" w14:textId="77777777" w:rsidR="00B869D2" w:rsidRPr="00B869D2" w:rsidRDefault="00B869D2" w:rsidP="00B869D2">
      <w:pPr>
        <w:rPr>
          <w:b/>
          <w:bCs/>
        </w:rPr>
      </w:pPr>
      <w:r w:rsidRPr="00B869D2">
        <w:rPr>
          <w:b/>
          <w:bCs/>
        </w:rPr>
        <w:t>Medium-Term (1–3 years)</w:t>
      </w:r>
    </w:p>
    <w:p w14:paraId="6BDFAEF0" w14:textId="77777777" w:rsidR="00B869D2" w:rsidRPr="00B869D2" w:rsidRDefault="00B869D2" w:rsidP="00B869D2">
      <w:pPr>
        <w:numPr>
          <w:ilvl w:val="0"/>
          <w:numId w:val="9"/>
        </w:numPr>
      </w:pPr>
      <w:r w:rsidRPr="00B869D2">
        <w:t xml:space="preserve">Roll out </w:t>
      </w:r>
      <w:r w:rsidRPr="00B869D2">
        <w:rPr>
          <w:b/>
          <w:bCs/>
        </w:rPr>
        <w:t>UPI-ATM integration</w:t>
      </w:r>
      <w:r w:rsidRPr="00B869D2">
        <w:t xml:space="preserve"> and cardless withdrawal features.</w:t>
      </w:r>
    </w:p>
    <w:p w14:paraId="7F470B72" w14:textId="77777777" w:rsidR="00B869D2" w:rsidRPr="00B869D2" w:rsidRDefault="00B869D2" w:rsidP="00B869D2">
      <w:pPr>
        <w:numPr>
          <w:ilvl w:val="0"/>
          <w:numId w:val="9"/>
        </w:numPr>
      </w:pPr>
      <w:r w:rsidRPr="00B869D2">
        <w:rPr>
          <w:b/>
          <w:bCs/>
        </w:rPr>
        <w:t>Modernize ATM hardware</w:t>
      </w:r>
      <w:r w:rsidRPr="00B869D2">
        <w:t xml:space="preserve"> to support video-KYC, multilingual UI.</w:t>
      </w:r>
    </w:p>
    <w:p w14:paraId="638F01BC" w14:textId="77777777" w:rsidR="00B869D2" w:rsidRPr="00B869D2" w:rsidRDefault="00B869D2" w:rsidP="00B869D2">
      <w:pPr>
        <w:numPr>
          <w:ilvl w:val="0"/>
          <w:numId w:val="9"/>
        </w:numPr>
      </w:pPr>
      <w:r w:rsidRPr="00B869D2">
        <w:t xml:space="preserve">Expand WLA reach in </w:t>
      </w:r>
      <w:r w:rsidRPr="00B869D2">
        <w:rPr>
          <w:b/>
          <w:bCs/>
        </w:rPr>
        <w:t>financially underserved areas</w:t>
      </w:r>
      <w:r w:rsidRPr="00B869D2">
        <w:t>.</w:t>
      </w:r>
    </w:p>
    <w:p w14:paraId="004263BD" w14:textId="77777777" w:rsidR="00B869D2" w:rsidRPr="00B869D2" w:rsidRDefault="00B869D2" w:rsidP="00B869D2">
      <w:pPr>
        <w:rPr>
          <w:b/>
          <w:bCs/>
        </w:rPr>
      </w:pPr>
      <w:r w:rsidRPr="00B869D2">
        <w:rPr>
          <w:b/>
          <w:bCs/>
        </w:rPr>
        <w:t>Long-Term (3–5 years)</w:t>
      </w:r>
    </w:p>
    <w:p w14:paraId="0DF9065B" w14:textId="77777777" w:rsidR="00B869D2" w:rsidRPr="00B869D2" w:rsidRDefault="00B869D2" w:rsidP="00B869D2">
      <w:pPr>
        <w:numPr>
          <w:ilvl w:val="0"/>
          <w:numId w:val="10"/>
        </w:numPr>
      </w:pPr>
      <w:r w:rsidRPr="00B869D2">
        <w:t xml:space="preserve">Develop </w:t>
      </w:r>
      <w:r w:rsidRPr="00B869D2">
        <w:rPr>
          <w:b/>
          <w:bCs/>
        </w:rPr>
        <w:t>ATM-as-a-Service</w:t>
      </w:r>
      <w:r w:rsidRPr="00B869D2">
        <w:t xml:space="preserve"> model: bill pay, remittance, micro-lending.</w:t>
      </w:r>
    </w:p>
    <w:p w14:paraId="2575897C" w14:textId="77777777" w:rsidR="00B869D2" w:rsidRPr="00B869D2" w:rsidRDefault="00B869D2" w:rsidP="00B869D2">
      <w:pPr>
        <w:numPr>
          <w:ilvl w:val="0"/>
          <w:numId w:val="10"/>
        </w:numPr>
      </w:pPr>
      <w:r w:rsidRPr="00B869D2">
        <w:t xml:space="preserve">Deploy </w:t>
      </w:r>
      <w:r w:rsidRPr="00B869D2">
        <w:rPr>
          <w:b/>
          <w:bCs/>
        </w:rPr>
        <w:t>solar-powered ATMs</w:t>
      </w:r>
      <w:r w:rsidRPr="00B869D2">
        <w:t xml:space="preserve"> in power-deficient rural belts.</w:t>
      </w:r>
    </w:p>
    <w:p w14:paraId="29281346" w14:textId="77777777" w:rsidR="00B869D2" w:rsidRPr="00B869D2" w:rsidRDefault="00B869D2" w:rsidP="00B869D2">
      <w:pPr>
        <w:numPr>
          <w:ilvl w:val="0"/>
          <w:numId w:val="10"/>
        </w:numPr>
      </w:pPr>
      <w:r w:rsidRPr="00B869D2">
        <w:t xml:space="preserve">Collaborate with </w:t>
      </w:r>
      <w:proofErr w:type="spellStart"/>
      <w:r w:rsidRPr="00B869D2">
        <w:t>fintechs</w:t>
      </w:r>
      <w:proofErr w:type="spellEnd"/>
      <w:r w:rsidRPr="00B869D2">
        <w:t xml:space="preserve"> for last-mile service delivery via ATMs.</w:t>
      </w:r>
    </w:p>
    <w:p w14:paraId="01783D73" w14:textId="77777777" w:rsidR="00B869D2" w:rsidRPr="00B869D2" w:rsidRDefault="00B869D2" w:rsidP="00B869D2">
      <w:r w:rsidRPr="00B869D2">
        <w:pict w14:anchorId="2C5D862F">
          <v:rect id="_x0000_i1059" style="width:0;height:1.5pt" o:hralign="center" o:hrstd="t" o:hr="t" fillcolor="#a0a0a0" stroked="f"/>
        </w:pict>
      </w:r>
    </w:p>
    <w:p w14:paraId="7CDA1028" w14:textId="77777777" w:rsidR="00B869D2" w:rsidRPr="00B869D2" w:rsidRDefault="00B869D2" w:rsidP="00B869D2">
      <w:pPr>
        <w:rPr>
          <w:b/>
          <w:bCs/>
        </w:rPr>
      </w:pPr>
      <w:r w:rsidRPr="00B869D2">
        <w:rPr>
          <w:b/>
          <w:bCs/>
        </w:rPr>
        <w:t>6. Conclusion</w:t>
      </w:r>
    </w:p>
    <w:p w14:paraId="54AAD541" w14:textId="77777777" w:rsidR="00B869D2" w:rsidRPr="00B869D2" w:rsidRDefault="00B869D2" w:rsidP="00B869D2">
      <w:r w:rsidRPr="00B869D2">
        <w:t xml:space="preserve">While digital payments are increasing, ATMs remain vital for cash access, particularly in semi-urban and rural regions. The future lies in transforming ATMs from cash-dispensing machines to </w:t>
      </w:r>
      <w:r w:rsidRPr="00B869D2">
        <w:rPr>
          <w:b/>
          <w:bCs/>
        </w:rPr>
        <w:t>multi-utility financial kiosks</w:t>
      </w:r>
      <w:r w:rsidRPr="00B869D2">
        <w:t>. To stay relevant, a focus on innovation, cost optimization, and last-mile connectivity is crucial.</w:t>
      </w:r>
    </w:p>
    <w:p w14:paraId="581FFD94" w14:textId="77777777" w:rsidR="001026DC" w:rsidRDefault="001026DC"/>
    <w:sectPr w:rsidR="00102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123E"/>
    <w:multiLevelType w:val="multilevel"/>
    <w:tmpl w:val="26A4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05266"/>
    <w:multiLevelType w:val="multilevel"/>
    <w:tmpl w:val="B03A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F3B8B"/>
    <w:multiLevelType w:val="multilevel"/>
    <w:tmpl w:val="E3F0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D6DED"/>
    <w:multiLevelType w:val="multilevel"/>
    <w:tmpl w:val="EB72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C2C52"/>
    <w:multiLevelType w:val="multilevel"/>
    <w:tmpl w:val="F48A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F47A1"/>
    <w:multiLevelType w:val="multilevel"/>
    <w:tmpl w:val="4EFE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21CA6"/>
    <w:multiLevelType w:val="multilevel"/>
    <w:tmpl w:val="9210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37E32"/>
    <w:multiLevelType w:val="multilevel"/>
    <w:tmpl w:val="1626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C7DE2"/>
    <w:multiLevelType w:val="multilevel"/>
    <w:tmpl w:val="378C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32F8E"/>
    <w:multiLevelType w:val="multilevel"/>
    <w:tmpl w:val="1E226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270549">
    <w:abstractNumId w:val="6"/>
  </w:num>
  <w:num w:numId="2" w16cid:durableId="1496452255">
    <w:abstractNumId w:val="1"/>
  </w:num>
  <w:num w:numId="3" w16cid:durableId="416294450">
    <w:abstractNumId w:val="8"/>
  </w:num>
  <w:num w:numId="4" w16cid:durableId="10886746">
    <w:abstractNumId w:val="4"/>
  </w:num>
  <w:num w:numId="5" w16cid:durableId="206841489">
    <w:abstractNumId w:val="3"/>
  </w:num>
  <w:num w:numId="6" w16cid:durableId="1812282708">
    <w:abstractNumId w:val="5"/>
  </w:num>
  <w:num w:numId="7" w16cid:durableId="1398671289">
    <w:abstractNumId w:val="9"/>
  </w:num>
  <w:num w:numId="8" w16cid:durableId="969171147">
    <w:abstractNumId w:val="7"/>
  </w:num>
  <w:num w:numId="9" w16cid:durableId="1859349857">
    <w:abstractNumId w:val="2"/>
  </w:num>
  <w:num w:numId="10" w16cid:durableId="1913806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D2"/>
    <w:rsid w:val="001026DC"/>
    <w:rsid w:val="00512160"/>
    <w:rsid w:val="00B86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43A15F"/>
  <w15:chartTrackingRefBased/>
  <w15:docId w15:val="{F666EC37-7BEE-4075-8174-0A480530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9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9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9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9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9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9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9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9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9D2"/>
    <w:rPr>
      <w:rFonts w:eastAsiaTheme="majorEastAsia" w:cstheme="majorBidi"/>
      <w:color w:val="272727" w:themeColor="text1" w:themeTint="D8"/>
    </w:rPr>
  </w:style>
  <w:style w:type="paragraph" w:styleId="Title">
    <w:name w:val="Title"/>
    <w:basedOn w:val="Normal"/>
    <w:next w:val="Normal"/>
    <w:link w:val="TitleChar"/>
    <w:uiPriority w:val="10"/>
    <w:qFormat/>
    <w:rsid w:val="00B86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9D2"/>
    <w:pPr>
      <w:spacing w:before="160"/>
      <w:jc w:val="center"/>
    </w:pPr>
    <w:rPr>
      <w:i/>
      <w:iCs/>
      <w:color w:val="404040" w:themeColor="text1" w:themeTint="BF"/>
    </w:rPr>
  </w:style>
  <w:style w:type="character" w:customStyle="1" w:styleId="QuoteChar">
    <w:name w:val="Quote Char"/>
    <w:basedOn w:val="DefaultParagraphFont"/>
    <w:link w:val="Quote"/>
    <w:uiPriority w:val="29"/>
    <w:rsid w:val="00B869D2"/>
    <w:rPr>
      <w:i/>
      <w:iCs/>
      <w:color w:val="404040" w:themeColor="text1" w:themeTint="BF"/>
    </w:rPr>
  </w:style>
  <w:style w:type="paragraph" w:styleId="ListParagraph">
    <w:name w:val="List Paragraph"/>
    <w:basedOn w:val="Normal"/>
    <w:uiPriority w:val="34"/>
    <w:qFormat/>
    <w:rsid w:val="00B869D2"/>
    <w:pPr>
      <w:ind w:left="720"/>
      <w:contextualSpacing/>
    </w:pPr>
  </w:style>
  <w:style w:type="character" w:styleId="IntenseEmphasis">
    <w:name w:val="Intense Emphasis"/>
    <w:basedOn w:val="DefaultParagraphFont"/>
    <w:uiPriority w:val="21"/>
    <w:qFormat/>
    <w:rsid w:val="00B869D2"/>
    <w:rPr>
      <w:i/>
      <w:iCs/>
      <w:color w:val="0F4761" w:themeColor="accent1" w:themeShade="BF"/>
    </w:rPr>
  </w:style>
  <w:style w:type="paragraph" w:styleId="IntenseQuote">
    <w:name w:val="Intense Quote"/>
    <w:basedOn w:val="Normal"/>
    <w:next w:val="Normal"/>
    <w:link w:val="IntenseQuoteChar"/>
    <w:uiPriority w:val="30"/>
    <w:qFormat/>
    <w:rsid w:val="00B86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9D2"/>
    <w:rPr>
      <w:i/>
      <w:iCs/>
      <w:color w:val="0F4761" w:themeColor="accent1" w:themeShade="BF"/>
    </w:rPr>
  </w:style>
  <w:style w:type="character" w:styleId="IntenseReference">
    <w:name w:val="Intense Reference"/>
    <w:basedOn w:val="DefaultParagraphFont"/>
    <w:uiPriority w:val="32"/>
    <w:qFormat/>
    <w:rsid w:val="00B869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151100">
      <w:bodyDiv w:val="1"/>
      <w:marLeft w:val="0"/>
      <w:marRight w:val="0"/>
      <w:marTop w:val="0"/>
      <w:marBottom w:val="0"/>
      <w:divBdr>
        <w:top w:val="none" w:sz="0" w:space="0" w:color="auto"/>
        <w:left w:val="none" w:sz="0" w:space="0" w:color="auto"/>
        <w:bottom w:val="none" w:sz="0" w:space="0" w:color="auto"/>
        <w:right w:val="none" w:sz="0" w:space="0" w:color="auto"/>
      </w:divBdr>
      <w:divsChild>
        <w:div w:id="87579293">
          <w:marLeft w:val="0"/>
          <w:marRight w:val="0"/>
          <w:marTop w:val="0"/>
          <w:marBottom w:val="0"/>
          <w:divBdr>
            <w:top w:val="none" w:sz="0" w:space="0" w:color="auto"/>
            <w:left w:val="none" w:sz="0" w:space="0" w:color="auto"/>
            <w:bottom w:val="none" w:sz="0" w:space="0" w:color="auto"/>
            <w:right w:val="none" w:sz="0" w:space="0" w:color="auto"/>
          </w:divBdr>
          <w:divsChild>
            <w:div w:id="4529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4036">
      <w:bodyDiv w:val="1"/>
      <w:marLeft w:val="0"/>
      <w:marRight w:val="0"/>
      <w:marTop w:val="0"/>
      <w:marBottom w:val="0"/>
      <w:divBdr>
        <w:top w:val="none" w:sz="0" w:space="0" w:color="auto"/>
        <w:left w:val="none" w:sz="0" w:space="0" w:color="auto"/>
        <w:bottom w:val="none" w:sz="0" w:space="0" w:color="auto"/>
        <w:right w:val="none" w:sz="0" w:space="0" w:color="auto"/>
      </w:divBdr>
      <w:divsChild>
        <w:div w:id="101848292">
          <w:marLeft w:val="0"/>
          <w:marRight w:val="0"/>
          <w:marTop w:val="0"/>
          <w:marBottom w:val="0"/>
          <w:divBdr>
            <w:top w:val="none" w:sz="0" w:space="0" w:color="auto"/>
            <w:left w:val="none" w:sz="0" w:space="0" w:color="auto"/>
            <w:bottom w:val="none" w:sz="0" w:space="0" w:color="auto"/>
            <w:right w:val="none" w:sz="0" w:space="0" w:color="auto"/>
          </w:divBdr>
          <w:divsChild>
            <w:div w:id="10579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Jain</dc:creator>
  <cp:keywords/>
  <dc:description/>
  <cp:lastModifiedBy/>
  <cp:revision>1</cp:revision>
  <dcterms:created xsi:type="dcterms:W3CDTF">2025-07-09T13:33:00Z</dcterms:created>
</cp:coreProperties>
</file>