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88E88" w14:textId="77777777" w:rsidR="00AD214A" w:rsidRPr="00B869D2" w:rsidRDefault="00AD214A" w:rsidP="00AD214A">
      <w:pPr>
        <w:rPr>
          <w:rFonts w:ascii="Garamond" w:hAnsi="Garamond"/>
          <w:b/>
          <w:bCs/>
          <w:sz w:val="28"/>
          <w:szCs w:val="28"/>
        </w:rPr>
      </w:pPr>
      <w:r w:rsidRPr="00B869D2">
        <w:rPr>
          <w:rFonts w:ascii="Garamond" w:hAnsi="Garamond"/>
          <w:b/>
          <w:bCs/>
          <w:sz w:val="28"/>
          <w:szCs w:val="28"/>
        </w:rPr>
        <w:t>ATM Transactions: Current Trends and Future Outlook</w:t>
      </w:r>
    </w:p>
    <w:p w14:paraId="06C0E71B" w14:textId="77777777" w:rsidR="001026DC" w:rsidRPr="00AD214A" w:rsidRDefault="001026DC">
      <w:pPr>
        <w:rPr>
          <w:rFonts w:ascii="Garamond" w:hAnsi="Garamond"/>
        </w:rPr>
      </w:pPr>
    </w:p>
    <w:p w14:paraId="65C11CDE" w14:textId="77777777" w:rsidR="00AD214A" w:rsidRPr="00B869D2" w:rsidRDefault="00AD214A" w:rsidP="00AD214A">
      <w:pPr>
        <w:rPr>
          <w:rFonts w:ascii="Garamond" w:hAnsi="Garamond"/>
          <w:b/>
          <w:bCs/>
        </w:rPr>
      </w:pPr>
      <w:r w:rsidRPr="00B869D2">
        <w:rPr>
          <w:rFonts w:ascii="Garamond" w:hAnsi="Garamond"/>
          <w:b/>
          <w:bCs/>
        </w:rPr>
        <w:t>1. Executive Summary</w:t>
      </w:r>
    </w:p>
    <w:p w14:paraId="1E8396F7" w14:textId="4B054E44" w:rsidR="00AD214A" w:rsidRPr="00AD214A" w:rsidRDefault="00AD214A">
      <w:pPr>
        <w:rPr>
          <w:rFonts w:ascii="Garamond" w:hAnsi="Garamond"/>
        </w:rPr>
      </w:pPr>
      <w:r w:rsidRPr="00B869D2">
        <w:rPr>
          <w:rFonts w:ascii="Garamond" w:hAnsi="Garamond"/>
        </w:rPr>
        <w:t>This report provides a comprehensive analysis of current ATM transaction trends and presents projections for future developments. With the increasing shift towards digital banking, ATM usage patterns are evolving, but ATMs continue to remain an essential part of the banking infrastructure, especially in semi-urban and rural areas.</w:t>
      </w:r>
    </w:p>
    <w:p w14:paraId="2EA8ED47" w14:textId="3CBBA13F" w:rsidR="00AD214A" w:rsidRPr="00AD214A" w:rsidRDefault="00000000">
      <w:pPr>
        <w:rPr>
          <w:rFonts w:ascii="Garamond" w:hAnsi="Garamond"/>
        </w:rPr>
      </w:pPr>
      <w:r>
        <w:pict w14:anchorId="0ACEDB31">
          <v:rect id="_x0000_i1025" style="width:0;height:1.5pt" o:hralign="center" o:hrstd="t" o:hr="t" fillcolor="#a0a0a0" stroked="f"/>
        </w:pict>
      </w:r>
    </w:p>
    <w:p w14:paraId="6285BD1D" w14:textId="4F6DF102" w:rsidR="00AD214A" w:rsidRPr="00AD214A" w:rsidRDefault="00AD214A">
      <w:pPr>
        <w:rPr>
          <w:rFonts w:ascii="Garamond" w:hAnsi="Garamond"/>
          <w:b/>
          <w:bCs/>
        </w:rPr>
      </w:pPr>
      <w:r w:rsidRPr="00B869D2">
        <w:rPr>
          <w:rFonts w:ascii="Garamond" w:hAnsi="Garamond"/>
          <w:b/>
          <w:bCs/>
        </w:rPr>
        <w:t>2. Current ATM Transaction Trends</w:t>
      </w:r>
    </w:p>
    <w:p w14:paraId="330E99B1" w14:textId="77777777" w:rsidR="00AD214A" w:rsidRPr="00AD214A" w:rsidRDefault="00AD214A">
      <w:pPr>
        <w:rPr>
          <w:rFonts w:ascii="Garamond" w:hAnsi="Garamond"/>
          <w:b/>
          <w:bCs/>
        </w:rPr>
      </w:pPr>
    </w:p>
    <w:p w14:paraId="6CE19FC1" w14:textId="77777777" w:rsidR="00AD214A" w:rsidRPr="00B869D2" w:rsidRDefault="00AD214A" w:rsidP="00AD214A">
      <w:pPr>
        <w:rPr>
          <w:rFonts w:ascii="Garamond" w:hAnsi="Garamond"/>
          <w:b/>
          <w:bCs/>
        </w:rPr>
      </w:pPr>
      <w:r w:rsidRPr="00B869D2">
        <w:rPr>
          <w:rFonts w:ascii="Garamond" w:hAnsi="Garamond"/>
          <w:b/>
          <w:bCs/>
        </w:rPr>
        <w:t>2.1 Overall Usage</w:t>
      </w:r>
    </w:p>
    <w:p w14:paraId="26BA9731" w14:textId="77777777" w:rsidR="00AD214A" w:rsidRPr="00B869D2" w:rsidRDefault="00AD214A" w:rsidP="00AD214A">
      <w:pPr>
        <w:numPr>
          <w:ilvl w:val="0"/>
          <w:numId w:val="1"/>
        </w:numPr>
        <w:rPr>
          <w:rFonts w:ascii="Garamond" w:hAnsi="Garamond"/>
        </w:rPr>
      </w:pPr>
      <w:r w:rsidRPr="00B869D2">
        <w:rPr>
          <w:rFonts w:ascii="Garamond" w:hAnsi="Garamond"/>
          <w:b/>
          <w:bCs/>
        </w:rPr>
        <w:t>Total ATM Transactions</w:t>
      </w:r>
      <w:r w:rsidRPr="00B869D2">
        <w:rPr>
          <w:rFonts w:ascii="Garamond" w:hAnsi="Garamond"/>
        </w:rPr>
        <w:t xml:space="preserve"> in FY 2024-25 (YTD): </w:t>
      </w:r>
      <w:r w:rsidRPr="00B869D2">
        <w:rPr>
          <w:rFonts w:ascii="Garamond" w:hAnsi="Garamond"/>
          <w:b/>
          <w:bCs/>
        </w:rPr>
        <w:t>Over 6.5 billion</w:t>
      </w:r>
      <w:r w:rsidRPr="00B869D2">
        <w:rPr>
          <w:rFonts w:ascii="Garamond" w:hAnsi="Garamond"/>
        </w:rPr>
        <w:t>.</w:t>
      </w:r>
    </w:p>
    <w:p w14:paraId="5F46F1D0" w14:textId="77777777" w:rsidR="00AD214A" w:rsidRPr="00B869D2" w:rsidRDefault="00AD214A" w:rsidP="00AD214A">
      <w:pPr>
        <w:numPr>
          <w:ilvl w:val="0"/>
          <w:numId w:val="1"/>
        </w:numPr>
        <w:rPr>
          <w:rFonts w:ascii="Garamond" w:hAnsi="Garamond"/>
        </w:rPr>
      </w:pPr>
      <w:r w:rsidRPr="00B869D2">
        <w:rPr>
          <w:rFonts w:ascii="Garamond" w:hAnsi="Garamond"/>
          <w:b/>
          <w:bCs/>
        </w:rPr>
        <w:t>Cash Withdrawals</w:t>
      </w:r>
      <w:r w:rsidRPr="00B869D2">
        <w:rPr>
          <w:rFonts w:ascii="Garamond" w:hAnsi="Garamond"/>
        </w:rPr>
        <w:t xml:space="preserve">: Still the dominant use case, forming over </w:t>
      </w:r>
      <w:r w:rsidRPr="00B869D2">
        <w:rPr>
          <w:rFonts w:ascii="Garamond" w:hAnsi="Garamond"/>
          <w:b/>
          <w:bCs/>
        </w:rPr>
        <w:t>88%</w:t>
      </w:r>
      <w:r w:rsidRPr="00B869D2">
        <w:rPr>
          <w:rFonts w:ascii="Garamond" w:hAnsi="Garamond"/>
        </w:rPr>
        <w:t xml:space="preserve"> of total ATM transactions.</w:t>
      </w:r>
    </w:p>
    <w:p w14:paraId="3FB7AF8D" w14:textId="77777777" w:rsidR="00AD214A" w:rsidRPr="00B869D2" w:rsidRDefault="00AD214A" w:rsidP="00AD214A">
      <w:pPr>
        <w:numPr>
          <w:ilvl w:val="0"/>
          <w:numId w:val="1"/>
        </w:numPr>
        <w:rPr>
          <w:rFonts w:ascii="Garamond" w:hAnsi="Garamond"/>
        </w:rPr>
      </w:pPr>
      <w:r w:rsidRPr="00B869D2">
        <w:rPr>
          <w:rFonts w:ascii="Garamond" w:hAnsi="Garamond"/>
          <w:b/>
          <w:bCs/>
        </w:rPr>
        <w:t>Non-Financial Transactions</w:t>
      </w:r>
      <w:r w:rsidRPr="00B869D2">
        <w:rPr>
          <w:rFonts w:ascii="Garamond" w:hAnsi="Garamond"/>
        </w:rPr>
        <w:t xml:space="preserve">: Balance inquiry, mini-statement, PIN change – contribute to </w:t>
      </w:r>
      <w:r w:rsidRPr="00B869D2">
        <w:rPr>
          <w:rFonts w:ascii="Garamond" w:hAnsi="Garamond"/>
          <w:b/>
          <w:bCs/>
        </w:rPr>
        <w:t>12%</w:t>
      </w:r>
      <w:r w:rsidRPr="00B869D2">
        <w:rPr>
          <w:rFonts w:ascii="Garamond" w:hAnsi="Garamond"/>
        </w:rPr>
        <w:t>.</w:t>
      </w:r>
    </w:p>
    <w:p w14:paraId="4B30D6AF" w14:textId="7B381506" w:rsidR="00AD214A" w:rsidRDefault="00AD214A" w:rsidP="00AD214A">
      <w:pPr>
        <w:numPr>
          <w:ilvl w:val="0"/>
          <w:numId w:val="1"/>
        </w:numPr>
        <w:rPr>
          <w:rFonts w:ascii="Garamond" w:hAnsi="Garamond"/>
        </w:rPr>
      </w:pPr>
      <w:r w:rsidRPr="00B869D2">
        <w:rPr>
          <w:rFonts w:ascii="Garamond" w:hAnsi="Garamond"/>
          <w:b/>
          <w:bCs/>
        </w:rPr>
        <w:t>Off-Us Transactions</w:t>
      </w:r>
      <w:r w:rsidRPr="00B869D2">
        <w:rPr>
          <w:rFonts w:ascii="Garamond" w:hAnsi="Garamond"/>
        </w:rPr>
        <w:t xml:space="preserve"> (customer uses ATM of another bank): Account for </w:t>
      </w:r>
      <w:r w:rsidRPr="00B869D2">
        <w:rPr>
          <w:rFonts w:ascii="Garamond" w:hAnsi="Garamond"/>
          <w:b/>
          <w:bCs/>
        </w:rPr>
        <w:t>30–35%</w:t>
      </w:r>
      <w:r w:rsidRPr="00B869D2">
        <w:rPr>
          <w:rFonts w:ascii="Garamond" w:hAnsi="Garamond"/>
        </w:rPr>
        <w:t xml:space="preserve"> of total volume.</w:t>
      </w:r>
    </w:p>
    <w:p w14:paraId="5211BE1F" w14:textId="5CB87E19" w:rsidR="00AD214A" w:rsidRPr="00AD214A" w:rsidRDefault="00000000" w:rsidP="00AD214A">
      <w:pPr>
        <w:rPr>
          <w:rFonts w:ascii="Garamond" w:hAnsi="Garamond"/>
        </w:rPr>
      </w:pPr>
      <w:r>
        <w:pict w14:anchorId="28443BD7">
          <v:rect id="_x0000_i1026" style="width:0;height:1.5pt" o:hralign="center" o:hrstd="t" o:hr="t" fillcolor="#a0a0a0" stroked="f"/>
        </w:pict>
      </w:r>
    </w:p>
    <w:p w14:paraId="6E337C4A" w14:textId="77777777" w:rsidR="00AD214A" w:rsidRPr="00B869D2" w:rsidRDefault="00AD214A" w:rsidP="00AD214A">
      <w:pPr>
        <w:rPr>
          <w:rFonts w:ascii="Garamond" w:hAnsi="Garamond"/>
          <w:b/>
          <w:bCs/>
        </w:rPr>
      </w:pPr>
      <w:r w:rsidRPr="00B869D2">
        <w:rPr>
          <w:rFonts w:ascii="Garamond" w:hAnsi="Garamond"/>
          <w:b/>
          <w:bCs/>
        </w:rPr>
        <w:t>2.2 Channel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gridCol w:w="1480"/>
        <w:gridCol w:w="3960"/>
      </w:tblGrid>
      <w:tr w:rsidR="00AD214A" w:rsidRPr="00B869D2" w14:paraId="46FD9E9C" w14:textId="77777777" w:rsidTr="00726C6C">
        <w:trPr>
          <w:tblHeader/>
          <w:tblCellSpacing w:w="15" w:type="dxa"/>
        </w:trPr>
        <w:tc>
          <w:tcPr>
            <w:tcW w:w="0" w:type="auto"/>
            <w:vAlign w:val="center"/>
            <w:hideMark/>
          </w:tcPr>
          <w:p w14:paraId="48342303" w14:textId="77777777" w:rsidR="00AD214A" w:rsidRPr="00B869D2" w:rsidRDefault="00AD214A" w:rsidP="00726C6C">
            <w:pPr>
              <w:rPr>
                <w:rFonts w:ascii="Garamond" w:hAnsi="Garamond"/>
                <w:b/>
                <w:bCs/>
              </w:rPr>
            </w:pPr>
            <w:r w:rsidRPr="00B869D2">
              <w:rPr>
                <w:rFonts w:ascii="Garamond" w:hAnsi="Garamond"/>
                <w:b/>
                <w:bCs/>
              </w:rPr>
              <w:t>Channel Type</w:t>
            </w:r>
          </w:p>
        </w:tc>
        <w:tc>
          <w:tcPr>
            <w:tcW w:w="0" w:type="auto"/>
            <w:vAlign w:val="center"/>
            <w:hideMark/>
          </w:tcPr>
          <w:p w14:paraId="132FF4F2" w14:textId="77777777" w:rsidR="00AD214A" w:rsidRPr="00B869D2" w:rsidRDefault="00AD214A" w:rsidP="00726C6C">
            <w:pPr>
              <w:rPr>
                <w:rFonts w:ascii="Garamond" w:hAnsi="Garamond"/>
                <w:b/>
                <w:bCs/>
              </w:rPr>
            </w:pPr>
            <w:r w:rsidRPr="00B869D2">
              <w:rPr>
                <w:rFonts w:ascii="Garamond" w:hAnsi="Garamond"/>
                <w:b/>
                <w:bCs/>
              </w:rPr>
              <w:t>Volume Share</w:t>
            </w:r>
          </w:p>
        </w:tc>
        <w:tc>
          <w:tcPr>
            <w:tcW w:w="0" w:type="auto"/>
            <w:vAlign w:val="center"/>
            <w:hideMark/>
          </w:tcPr>
          <w:p w14:paraId="31D4AD00" w14:textId="77777777" w:rsidR="00AD214A" w:rsidRPr="00B869D2" w:rsidRDefault="00AD214A" w:rsidP="00726C6C">
            <w:pPr>
              <w:rPr>
                <w:rFonts w:ascii="Garamond" w:hAnsi="Garamond"/>
                <w:b/>
                <w:bCs/>
              </w:rPr>
            </w:pPr>
            <w:r w:rsidRPr="00B869D2">
              <w:rPr>
                <w:rFonts w:ascii="Garamond" w:hAnsi="Garamond"/>
                <w:b/>
                <w:bCs/>
              </w:rPr>
              <w:t>Key Insights</w:t>
            </w:r>
          </w:p>
        </w:tc>
      </w:tr>
      <w:tr w:rsidR="00AD214A" w:rsidRPr="00B869D2" w14:paraId="1924AB99" w14:textId="77777777" w:rsidTr="00726C6C">
        <w:trPr>
          <w:tblCellSpacing w:w="15" w:type="dxa"/>
        </w:trPr>
        <w:tc>
          <w:tcPr>
            <w:tcW w:w="0" w:type="auto"/>
            <w:vAlign w:val="center"/>
            <w:hideMark/>
          </w:tcPr>
          <w:p w14:paraId="0ABA96B3" w14:textId="77777777" w:rsidR="00AD214A" w:rsidRPr="00B869D2" w:rsidRDefault="00AD214A" w:rsidP="00726C6C">
            <w:pPr>
              <w:rPr>
                <w:rFonts w:ascii="Garamond" w:hAnsi="Garamond"/>
              </w:rPr>
            </w:pPr>
            <w:r w:rsidRPr="00B869D2">
              <w:rPr>
                <w:rFonts w:ascii="Garamond" w:hAnsi="Garamond"/>
              </w:rPr>
              <w:t>Bank-Owned ATMs</w:t>
            </w:r>
          </w:p>
        </w:tc>
        <w:tc>
          <w:tcPr>
            <w:tcW w:w="0" w:type="auto"/>
            <w:vAlign w:val="center"/>
            <w:hideMark/>
          </w:tcPr>
          <w:p w14:paraId="33340434" w14:textId="77777777" w:rsidR="00AD214A" w:rsidRPr="00B869D2" w:rsidRDefault="00AD214A" w:rsidP="00726C6C">
            <w:pPr>
              <w:rPr>
                <w:rFonts w:ascii="Garamond" w:hAnsi="Garamond"/>
              </w:rPr>
            </w:pPr>
            <w:r w:rsidRPr="00B869D2">
              <w:rPr>
                <w:rFonts w:ascii="Garamond" w:hAnsi="Garamond"/>
              </w:rPr>
              <w:t>75%</w:t>
            </w:r>
          </w:p>
        </w:tc>
        <w:tc>
          <w:tcPr>
            <w:tcW w:w="0" w:type="auto"/>
            <w:vAlign w:val="center"/>
            <w:hideMark/>
          </w:tcPr>
          <w:p w14:paraId="6D921B0D" w14:textId="77777777" w:rsidR="00AD214A" w:rsidRPr="00B869D2" w:rsidRDefault="00AD214A" w:rsidP="00726C6C">
            <w:pPr>
              <w:rPr>
                <w:rFonts w:ascii="Garamond" w:hAnsi="Garamond"/>
              </w:rPr>
            </w:pPr>
            <w:r w:rsidRPr="00B869D2">
              <w:rPr>
                <w:rFonts w:ascii="Garamond" w:hAnsi="Garamond"/>
              </w:rPr>
              <w:t>Urban focused; declining growth</w:t>
            </w:r>
          </w:p>
        </w:tc>
      </w:tr>
      <w:tr w:rsidR="00AD214A" w:rsidRPr="00B869D2" w14:paraId="298E986E" w14:textId="77777777" w:rsidTr="00726C6C">
        <w:trPr>
          <w:tblCellSpacing w:w="15" w:type="dxa"/>
        </w:trPr>
        <w:tc>
          <w:tcPr>
            <w:tcW w:w="0" w:type="auto"/>
            <w:vAlign w:val="center"/>
            <w:hideMark/>
          </w:tcPr>
          <w:p w14:paraId="2ED7D963" w14:textId="77777777" w:rsidR="00AD214A" w:rsidRPr="00B869D2" w:rsidRDefault="00AD214A" w:rsidP="00726C6C">
            <w:pPr>
              <w:rPr>
                <w:rFonts w:ascii="Garamond" w:hAnsi="Garamond"/>
              </w:rPr>
            </w:pPr>
            <w:r w:rsidRPr="00B869D2">
              <w:rPr>
                <w:rFonts w:ascii="Garamond" w:hAnsi="Garamond"/>
              </w:rPr>
              <w:t>White Label ATMs</w:t>
            </w:r>
          </w:p>
        </w:tc>
        <w:tc>
          <w:tcPr>
            <w:tcW w:w="0" w:type="auto"/>
            <w:vAlign w:val="center"/>
            <w:hideMark/>
          </w:tcPr>
          <w:p w14:paraId="29BB6569" w14:textId="77777777" w:rsidR="00AD214A" w:rsidRPr="00B869D2" w:rsidRDefault="00AD214A" w:rsidP="00726C6C">
            <w:pPr>
              <w:rPr>
                <w:rFonts w:ascii="Garamond" w:hAnsi="Garamond"/>
              </w:rPr>
            </w:pPr>
            <w:r w:rsidRPr="00B869D2">
              <w:rPr>
                <w:rFonts w:ascii="Garamond" w:hAnsi="Garamond"/>
              </w:rPr>
              <w:t>25%</w:t>
            </w:r>
          </w:p>
        </w:tc>
        <w:tc>
          <w:tcPr>
            <w:tcW w:w="0" w:type="auto"/>
            <w:vAlign w:val="center"/>
            <w:hideMark/>
          </w:tcPr>
          <w:p w14:paraId="152E3AB3" w14:textId="77777777" w:rsidR="00AD214A" w:rsidRPr="00B869D2" w:rsidRDefault="00AD214A" w:rsidP="00726C6C">
            <w:pPr>
              <w:rPr>
                <w:rFonts w:ascii="Garamond" w:hAnsi="Garamond"/>
              </w:rPr>
            </w:pPr>
            <w:r w:rsidRPr="00B869D2">
              <w:rPr>
                <w:rFonts w:ascii="Garamond" w:hAnsi="Garamond"/>
              </w:rPr>
              <w:t>Growing in semi-urban/rural geographies</w:t>
            </w:r>
          </w:p>
        </w:tc>
      </w:tr>
    </w:tbl>
    <w:p w14:paraId="094DE077" w14:textId="0A51FF76" w:rsidR="00AD214A" w:rsidRPr="00AD214A" w:rsidRDefault="00000000">
      <w:pPr>
        <w:rPr>
          <w:rFonts w:ascii="Garamond" w:hAnsi="Garamond"/>
        </w:rPr>
      </w:pPr>
      <w:r>
        <w:pict w14:anchorId="269DAF12">
          <v:rect id="_x0000_i1027" style="width:0;height:1.5pt" o:hralign="center" o:hrstd="t" o:hr="t" fillcolor="#a0a0a0" stroked="f"/>
        </w:pict>
      </w:r>
    </w:p>
    <w:p w14:paraId="389DA2B6" w14:textId="77777777" w:rsidR="00AD214A" w:rsidRPr="00B869D2" w:rsidRDefault="00AD214A" w:rsidP="00AD214A">
      <w:pPr>
        <w:rPr>
          <w:rFonts w:ascii="Garamond" w:hAnsi="Garamond"/>
          <w:b/>
          <w:bCs/>
        </w:rPr>
      </w:pPr>
      <w:r w:rsidRPr="00B869D2">
        <w:rPr>
          <w:rFonts w:ascii="Garamond" w:hAnsi="Garamond"/>
          <w:b/>
          <w:bCs/>
        </w:rPr>
        <w:t>2.3 Regional Distribution</w:t>
      </w:r>
    </w:p>
    <w:p w14:paraId="1277EAD3" w14:textId="77777777" w:rsidR="00AD214A" w:rsidRPr="00B869D2" w:rsidRDefault="00AD214A" w:rsidP="00AD214A">
      <w:pPr>
        <w:numPr>
          <w:ilvl w:val="0"/>
          <w:numId w:val="2"/>
        </w:numPr>
        <w:rPr>
          <w:rFonts w:ascii="Garamond" w:hAnsi="Garamond"/>
        </w:rPr>
      </w:pPr>
      <w:r w:rsidRPr="00B869D2">
        <w:rPr>
          <w:rFonts w:ascii="Garamond" w:hAnsi="Garamond"/>
          <w:b/>
          <w:bCs/>
        </w:rPr>
        <w:t>Urban Areas</w:t>
      </w:r>
      <w:r w:rsidRPr="00B869D2">
        <w:rPr>
          <w:rFonts w:ascii="Garamond" w:hAnsi="Garamond"/>
        </w:rPr>
        <w:t>: Account for 60% of ATM usage but declining annually.</w:t>
      </w:r>
    </w:p>
    <w:p w14:paraId="1D7857CD" w14:textId="77777777" w:rsidR="00AD214A" w:rsidRPr="00B869D2" w:rsidRDefault="00AD214A" w:rsidP="00AD214A">
      <w:pPr>
        <w:numPr>
          <w:ilvl w:val="0"/>
          <w:numId w:val="2"/>
        </w:numPr>
        <w:rPr>
          <w:rFonts w:ascii="Garamond" w:hAnsi="Garamond"/>
        </w:rPr>
      </w:pPr>
      <w:r w:rsidRPr="00B869D2">
        <w:rPr>
          <w:rFonts w:ascii="Garamond" w:hAnsi="Garamond"/>
          <w:b/>
          <w:bCs/>
        </w:rPr>
        <w:t>Rural &amp; Semi-Urban</w:t>
      </w:r>
      <w:r w:rsidRPr="00B869D2">
        <w:rPr>
          <w:rFonts w:ascii="Garamond" w:hAnsi="Garamond"/>
        </w:rPr>
        <w:t xml:space="preserve">: Growing at </w:t>
      </w:r>
      <w:r w:rsidRPr="00B869D2">
        <w:rPr>
          <w:rFonts w:ascii="Garamond" w:hAnsi="Garamond"/>
          <w:b/>
          <w:bCs/>
        </w:rPr>
        <w:t>7-10% CAGR</w:t>
      </w:r>
      <w:r w:rsidRPr="00B869D2">
        <w:rPr>
          <w:rFonts w:ascii="Garamond" w:hAnsi="Garamond"/>
        </w:rPr>
        <w:t>, driven by financial inclusion.</w:t>
      </w:r>
    </w:p>
    <w:p w14:paraId="14E1FB22" w14:textId="77777777" w:rsidR="00AD214A" w:rsidRPr="00AD214A" w:rsidRDefault="00AD214A" w:rsidP="00AD214A">
      <w:pPr>
        <w:rPr>
          <w:rFonts w:ascii="Garamond" w:hAnsi="Garamond"/>
          <w:b/>
          <w:bCs/>
        </w:rPr>
      </w:pPr>
    </w:p>
    <w:p w14:paraId="18DB0227" w14:textId="77777777" w:rsidR="00AD214A" w:rsidRDefault="00AD214A" w:rsidP="00AD214A">
      <w:pPr>
        <w:rPr>
          <w:rFonts w:ascii="Garamond" w:hAnsi="Garamond"/>
          <w:b/>
          <w:bCs/>
        </w:rPr>
      </w:pPr>
    </w:p>
    <w:p w14:paraId="0E043F74" w14:textId="77777777" w:rsidR="00AD214A" w:rsidRDefault="00AD214A" w:rsidP="00AD214A">
      <w:pPr>
        <w:rPr>
          <w:rFonts w:ascii="Garamond" w:hAnsi="Garamond"/>
          <w:b/>
          <w:bCs/>
        </w:rPr>
      </w:pPr>
    </w:p>
    <w:p w14:paraId="0F39CBE5" w14:textId="77777777" w:rsidR="00AD214A" w:rsidRPr="00AD214A" w:rsidRDefault="00AD214A" w:rsidP="00AD214A">
      <w:pPr>
        <w:rPr>
          <w:rFonts w:ascii="Garamond" w:hAnsi="Garamond"/>
          <w:b/>
          <w:bCs/>
        </w:rPr>
      </w:pPr>
    </w:p>
    <w:p w14:paraId="2CCD2153" w14:textId="3C6C1128" w:rsidR="00AD214A" w:rsidRPr="00B869D2" w:rsidRDefault="00AD214A" w:rsidP="00AD214A">
      <w:pPr>
        <w:rPr>
          <w:rFonts w:ascii="Garamond" w:hAnsi="Garamond"/>
          <w:b/>
          <w:bCs/>
        </w:rPr>
      </w:pPr>
      <w:r w:rsidRPr="00B869D2">
        <w:rPr>
          <w:rFonts w:ascii="Garamond" w:hAnsi="Garamond"/>
          <w:b/>
          <w:bCs/>
        </w:rPr>
        <w:lastRenderedPageBreak/>
        <w:t>2.4 Denomination Trends</w:t>
      </w:r>
    </w:p>
    <w:p w14:paraId="54843C6D" w14:textId="77777777" w:rsidR="00AD214A" w:rsidRPr="00B869D2" w:rsidRDefault="00AD214A" w:rsidP="00AD214A">
      <w:pPr>
        <w:numPr>
          <w:ilvl w:val="0"/>
          <w:numId w:val="3"/>
        </w:numPr>
        <w:rPr>
          <w:rFonts w:ascii="Garamond" w:hAnsi="Garamond"/>
        </w:rPr>
      </w:pPr>
      <w:r w:rsidRPr="00B869D2">
        <w:rPr>
          <w:rFonts w:ascii="Times New Roman" w:hAnsi="Times New Roman" w:cs="Times New Roman"/>
          <w:b/>
          <w:bCs/>
        </w:rPr>
        <w:t>₹</w:t>
      </w:r>
      <w:r w:rsidRPr="00B869D2">
        <w:rPr>
          <w:rFonts w:ascii="Garamond" w:hAnsi="Garamond"/>
          <w:b/>
          <w:bCs/>
        </w:rPr>
        <w:t>500 notes</w:t>
      </w:r>
      <w:r w:rsidRPr="00B869D2">
        <w:rPr>
          <w:rFonts w:ascii="Garamond" w:hAnsi="Garamond"/>
        </w:rPr>
        <w:t>: Most preferred denomination (~55% of cash dispensed).</w:t>
      </w:r>
    </w:p>
    <w:p w14:paraId="700F022D" w14:textId="77777777" w:rsidR="00AD214A" w:rsidRDefault="00AD214A" w:rsidP="00AD214A">
      <w:pPr>
        <w:numPr>
          <w:ilvl w:val="0"/>
          <w:numId w:val="3"/>
        </w:numPr>
        <w:rPr>
          <w:rFonts w:ascii="Garamond" w:hAnsi="Garamond"/>
        </w:rPr>
      </w:pPr>
      <w:r w:rsidRPr="00B869D2">
        <w:rPr>
          <w:rFonts w:ascii="Times New Roman" w:hAnsi="Times New Roman" w:cs="Times New Roman"/>
          <w:b/>
          <w:bCs/>
        </w:rPr>
        <w:t>₹</w:t>
      </w:r>
      <w:r w:rsidRPr="00B869D2">
        <w:rPr>
          <w:rFonts w:ascii="Garamond" w:hAnsi="Garamond"/>
          <w:b/>
          <w:bCs/>
        </w:rPr>
        <w:t xml:space="preserve">200 and </w:t>
      </w:r>
      <w:r w:rsidRPr="00B869D2">
        <w:rPr>
          <w:rFonts w:ascii="Times New Roman" w:hAnsi="Times New Roman" w:cs="Times New Roman"/>
          <w:b/>
          <w:bCs/>
        </w:rPr>
        <w:t>₹</w:t>
      </w:r>
      <w:r w:rsidRPr="00B869D2">
        <w:rPr>
          <w:rFonts w:ascii="Garamond" w:hAnsi="Garamond"/>
          <w:b/>
          <w:bCs/>
        </w:rPr>
        <w:t>100 notes</w:t>
      </w:r>
      <w:r w:rsidRPr="00B869D2">
        <w:rPr>
          <w:rFonts w:ascii="Garamond" w:hAnsi="Garamond"/>
        </w:rPr>
        <w:t>: Usage increasing due to demand for change and merchant transactions.</w:t>
      </w:r>
    </w:p>
    <w:p w14:paraId="0BB3160B" w14:textId="63C41357" w:rsidR="00AD214A" w:rsidRPr="00B869D2" w:rsidRDefault="00000000" w:rsidP="00AD214A">
      <w:pPr>
        <w:ind w:left="360"/>
        <w:rPr>
          <w:rFonts w:ascii="Garamond" w:hAnsi="Garamond"/>
        </w:rPr>
      </w:pPr>
      <w:r>
        <w:pict w14:anchorId="70616747">
          <v:rect id="_x0000_i1028" style="width:0;height:1.5pt" o:hralign="center" o:hrstd="t" o:hr="t" fillcolor="#a0a0a0" stroked="f"/>
        </w:pict>
      </w:r>
    </w:p>
    <w:p w14:paraId="63D01E2A" w14:textId="6BDAF402" w:rsidR="00AD214A" w:rsidRPr="00AD214A" w:rsidRDefault="00AD214A" w:rsidP="00AD214A">
      <w:pPr>
        <w:rPr>
          <w:rFonts w:ascii="Garamond" w:hAnsi="Garamond"/>
          <w:b/>
          <w:bCs/>
        </w:rPr>
      </w:pPr>
      <w:r w:rsidRPr="00AD214A">
        <w:rPr>
          <w:rFonts w:ascii="Garamond" w:hAnsi="Garamond"/>
          <w:b/>
          <w:bCs/>
        </w:rPr>
        <w:t>3. Future Outlook and Trends (2025–2027)</w:t>
      </w:r>
    </w:p>
    <w:p w14:paraId="456410DD" w14:textId="77777777" w:rsidR="00AD214A" w:rsidRPr="00AD214A" w:rsidRDefault="00AD214A" w:rsidP="00AD214A">
      <w:pPr>
        <w:rPr>
          <w:rFonts w:ascii="Garamond" w:hAnsi="Garamond"/>
          <w:b/>
          <w:bCs/>
        </w:rPr>
      </w:pPr>
    </w:p>
    <w:p w14:paraId="3CB220A6" w14:textId="77777777" w:rsidR="00AD214A" w:rsidRPr="00AD214A" w:rsidRDefault="00AD214A" w:rsidP="00AD214A">
      <w:pPr>
        <w:rPr>
          <w:rFonts w:ascii="Garamond" w:hAnsi="Garamond"/>
          <w:b/>
          <w:bCs/>
        </w:rPr>
      </w:pPr>
    </w:p>
    <w:p w14:paraId="4A934DB6" w14:textId="77777777" w:rsidR="00AD214A" w:rsidRPr="00B869D2" w:rsidRDefault="00AD214A" w:rsidP="00AD214A">
      <w:pPr>
        <w:numPr>
          <w:ilvl w:val="0"/>
          <w:numId w:val="4"/>
        </w:numPr>
        <w:rPr>
          <w:rFonts w:ascii="Garamond" w:hAnsi="Garamond"/>
        </w:rPr>
      </w:pPr>
      <w:r w:rsidRPr="00B869D2">
        <w:rPr>
          <w:rFonts w:ascii="Garamond" w:hAnsi="Garamond"/>
        </w:rPr>
        <w:t xml:space="preserve">ATM usage expected to </w:t>
      </w:r>
      <w:r w:rsidRPr="00B869D2">
        <w:rPr>
          <w:rFonts w:ascii="Garamond" w:hAnsi="Garamond"/>
          <w:b/>
          <w:bCs/>
        </w:rPr>
        <w:t>grow at ~4% CAGR</w:t>
      </w:r>
      <w:r w:rsidRPr="00B869D2">
        <w:rPr>
          <w:rFonts w:ascii="Garamond" w:hAnsi="Garamond"/>
        </w:rPr>
        <w:t xml:space="preserve"> overall.</w:t>
      </w:r>
    </w:p>
    <w:p w14:paraId="2F9FAC81" w14:textId="77777777" w:rsidR="00AD214A" w:rsidRPr="00B869D2" w:rsidRDefault="00AD214A" w:rsidP="00AD214A">
      <w:pPr>
        <w:numPr>
          <w:ilvl w:val="0"/>
          <w:numId w:val="4"/>
        </w:numPr>
        <w:rPr>
          <w:rFonts w:ascii="Garamond" w:hAnsi="Garamond"/>
        </w:rPr>
      </w:pPr>
      <w:r w:rsidRPr="00B869D2">
        <w:rPr>
          <w:rFonts w:ascii="Garamond" w:hAnsi="Garamond"/>
          <w:b/>
          <w:bCs/>
        </w:rPr>
        <w:t>Biometric-enabled ATMs (BE-ATMs)</w:t>
      </w:r>
      <w:r w:rsidRPr="00B869D2">
        <w:rPr>
          <w:rFonts w:ascii="Garamond" w:hAnsi="Garamond"/>
        </w:rPr>
        <w:t xml:space="preserve"> to rise in rural India.</w:t>
      </w:r>
    </w:p>
    <w:p w14:paraId="181DCECD" w14:textId="785D2398" w:rsidR="00AD214A" w:rsidRPr="00AD214A" w:rsidRDefault="00000000" w:rsidP="00AD214A">
      <w:pPr>
        <w:rPr>
          <w:rFonts w:ascii="Garamond" w:hAnsi="Garamond"/>
          <w:b/>
          <w:bCs/>
        </w:rPr>
      </w:pPr>
      <w:r>
        <w:pict w14:anchorId="437EF3D6">
          <v:rect id="_x0000_i1029" style="width:0;height:1.5pt" o:hralign="center" o:hrstd="t" o:hr="t" fillcolor="#a0a0a0" stroked="f"/>
        </w:pict>
      </w:r>
    </w:p>
    <w:p w14:paraId="5BBB399A" w14:textId="7A2189A6" w:rsidR="00AD214A" w:rsidRPr="00AD214A" w:rsidRDefault="00AD214A">
      <w:pPr>
        <w:rPr>
          <w:rFonts w:ascii="Garamond" w:hAnsi="Garamond"/>
          <w:b/>
          <w:bCs/>
        </w:rPr>
      </w:pPr>
      <w:r w:rsidRPr="00AD214A">
        <w:rPr>
          <w:rFonts w:ascii="Garamond" w:hAnsi="Garamond"/>
          <w:b/>
          <w:bCs/>
        </w:rPr>
        <w:t>4</w:t>
      </w:r>
      <w:r w:rsidRPr="00AD214A">
        <w:rPr>
          <w:rFonts w:ascii="Garamond" w:hAnsi="Garamond"/>
        </w:rPr>
        <w:t>.</w:t>
      </w:r>
      <w:r w:rsidRPr="00AD214A">
        <w:rPr>
          <w:rFonts w:ascii="Garamond" w:hAnsi="Garamond"/>
          <w:b/>
          <w:bCs/>
        </w:rPr>
        <w:t xml:space="preserve"> </w:t>
      </w:r>
      <w:r w:rsidRPr="00B869D2">
        <w:rPr>
          <w:rFonts w:ascii="Garamond" w:hAnsi="Garamond"/>
          <w:b/>
          <w:bCs/>
        </w:rPr>
        <w:t>Strategic Recommendations</w:t>
      </w:r>
    </w:p>
    <w:p w14:paraId="117B0F1E" w14:textId="77777777" w:rsidR="00AD214A" w:rsidRPr="00B869D2" w:rsidRDefault="00AD214A" w:rsidP="00AD214A">
      <w:pPr>
        <w:numPr>
          <w:ilvl w:val="0"/>
          <w:numId w:val="5"/>
        </w:numPr>
        <w:rPr>
          <w:rFonts w:ascii="Garamond" w:hAnsi="Garamond"/>
        </w:rPr>
      </w:pPr>
      <w:r w:rsidRPr="00B869D2">
        <w:rPr>
          <w:rFonts w:ascii="Garamond" w:hAnsi="Garamond"/>
        </w:rPr>
        <w:t xml:space="preserve">Roll out </w:t>
      </w:r>
      <w:r w:rsidRPr="00B869D2">
        <w:rPr>
          <w:rFonts w:ascii="Garamond" w:hAnsi="Garamond"/>
          <w:b/>
          <w:bCs/>
        </w:rPr>
        <w:t>UPI-ATM integration</w:t>
      </w:r>
      <w:r w:rsidRPr="00B869D2">
        <w:rPr>
          <w:rFonts w:ascii="Garamond" w:hAnsi="Garamond"/>
        </w:rPr>
        <w:t xml:space="preserve"> and cardless withdrawal features.</w:t>
      </w:r>
    </w:p>
    <w:p w14:paraId="38FFACDE" w14:textId="77777777" w:rsidR="00AD214A" w:rsidRPr="00B869D2" w:rsidRDefault="00AD214A" w:rsidP="00AD214A">
      <w:pPr>
        <w:numPr>
          <w:ilvl w:val="0"/>
          <w:numId w:val="5"/>
        </w:numPr>
        <w:rPr>
          <w:rFonts w:ascii="Garamond" w:hAnsi="Garamond"/>
        </w:rPr>
      </w:pPr>
      <w:r w:rsidRPr="00B869D2">
        <w:rPr>
          <w:rFonts w:ascii="Garamond" w:hAnsi="Garamond"/>
          <w:b/>
          <w:bCs/>
        </w:rPr>
        <w:t>Modernize ATM hardware</w:t>
      </w:r>
      <w:r w:rsidRPr="00B869D2">
        <w:rPr>
          <w:rFonts w:ascii="Garamond" w:hAnsi="Garamond"/>
        </w:rPr>
        <w:t xml:space="preserve"> to support video-KYC, multilingual UI.</w:t>
      </w:r>
    </w:p>
    <w:p w14:paraId="4397989D" w14:textId="77777777" w:rsidR="00AD214A" w:rsidRPr="00AD214A" w:rsidRDefault="00AD214A" w:rsidP="00AD214A">
      <w:pPr>
        <w:numPr>
          <w:ilvl w:val="0"/>
          <w:numId w:val="5"/>
        </w:numPr>
        <w:rPr>
          <w:rFonts w:ascii="Garamond" w:hAnsi="Garamond"/>
        </w:rPr>
      </w:pPr>
      <w:r w:rsidRPr="00B869D2">
        <w:rPr>
          <w:rFonts w:ascii="Garamond" w:hAnsi="Garamond"/>
        </w:rPr>
        <w:t xml:space="preserve">Expand WLA reach in </w:t>
      </w:r>
      <w:r w:rsidRPr="00B869D2">
        <w:rPr>
          <w:rFonts w:ascii="Garamond" w:hAnsi="Garamond"/>
          <w:b/>
          <w:bCs/>
        </w:rPr>
        <w:t>financially underserved areas</w:t>
      </w:r>
      <w:r w:rsidRPr="00B869D2">
        <w:rPr>
          <w:rFonts w:ascii="Garamond" w:hAnsi="Garamond"/>
        </w:rPr>
        <w:t>.</w:t>
      </w:r>
    </w:p>
    <w:p w14:paraId="1D66779B" w14:textId="7F072449" w:rsidR="00AD214A" w:rsidRPr="00B869D2" w:rsidRDefault="00AD214A" w:rsidP="00AD214A">
      <w:pPr>
        <w:numPr>
          <w:ilvl w:val="0"/>
          <w:numId w:val="5"/>
        </w:numPr>
        <w:rPr>
          <w:rFonts w:ascii="Garamond" w:hAnsi="Garamond"/>
        </w:rPr>
      </w:pPr>
      <w:r w:rsidRPr="00B869D2">
        <w:rPr>
          <w:rFonts w:ascii="Garamond" w:hAnsi="Garamond"/>
        </w:rPr>
        <w:t xml:space="preserve">Deploy </w:t>
      </w:r>
      <w:r w:rsidRPr="00B869D2">
        <w:rPr>
          <w:rFonts w:ascii="Garamond" w:hAnsi="Garamond"/>
          <w:b/>
          <w:bCs/>
        </w:rPr>
        <w:t>solar-powered ATMs</w:t>
      </w:r>
      <w:r w:rsidRPr="00B869D2">
        <w:rPr>
          <w:rFonts w:ascii="Garamond" w:hAnsi="Garamond"/>
        </w:rPr>
        <w:t xml:space="preserve"> in power-deficient rural belts.</w:t>
      </w:r>
    </w:p>
    <w:p w14:paraId="6B31691F" w14:textId="7B38ACD4" w:rsidR="00AD214A" w:rsidRPr="00AD214A" w:rsidRDefault="003F3FBC">
      <w:pPr>
        <w:rPr>
          <w:rFonts w:ascii="Garamond" w:hAnsi="Garamond"/>
        </w:rPr>
      </w:pPr>
      <w:r>
        <w:pict w14:anchorId="4AAE8A31">
          <v:rect id="_x0000_i1030" style="width:451.3pt;height:1.5pt" o:hralign="center" o:hrstd="t" o:hr="t" fillcolor="#a0a0a0" stroked="f"/>
        </w:pict>
      </w:r>
    </w:p>
    <w:p w14:paraId="6547E0BA" w14:textId="65B0E767" w:rsidR="00AD214A" w:rsidRPr="00B869D2" w:rsidRDefault="00AD214A" w:rsidP="00AD214A">
      <w:pPr>
        <w:rPr>
          <w:rFonts w:ascii="Garamond" w:hAnsi="Garamond"/>
          <w:b/>
          <w:bCs/>
        </w:rPr>
      </w:pPr>
      <w:r w:rsidRPr="00AD214A">
        <w:rPr>
          <w:rFonts w:ascii="Garamond" w:hAnsi="Garamond"/>
          <w:b/>
          <w:bCs/>
        </w:rPr>
        <w:t>5</w:t>
      </w:r>
      <w:r w:rsidRPr="00B869D2">
        <w:rPr>
          <w:rFonts w:ascii="Garamond" w:hAnsi="Garamond"/>
          <w:b/>
          <w:bCs/>
        </w:rPr>
        <w:t>. Conclusion</w:t>
      </w:r>
    </w:p>
    <w:p w14:paraId="5F523AEF" w14:textId="0CF7A52D" w:rsidR="003F3FBC" w:rsidRDefault="00AD214A">
      <w:pPr>
        <w:rPr>
          <w:rFonts w:ascii="Garamond" w:hAnsi="Garamond"/>
        </w:rPr>
      </w:pPr>
      <w:r w:rsidRPr="00B869D2">
        <w:rPr>
          <w:rFonts w:ascii="Garamond" w:hAnsi="Garamond"/>
        </w:rPr>
        <w:t xml:space="preserve">While digital payments are increasing, ATMs remain vital for cash access, particularly in semi-urban and rural regions. The future lies in transforming ATMs from cash-dispensing machines to </w:t>
      </w:r>
      <w:r w:rsidRPr="00B869D2">
        <w:rPr>
          <w:rFonts w:ascii="Garamond" w:hAnsi="Garamond"/>
          <w:b/>
          <w:bCs/>
        </w:rPr>
        <w:t>multi-utility financial kiosks</w:t>
      </w:r>
      <w:r w:rsidRPr="00B869D2">
        <w:rPr>
          <w:rFonts w:ascii="Garamond" w:hAnsi="Garamond"/>
        </w:rPr>
        <w:t>. To stay relevant, a focus on innovation, cost optimization, and last-mile connectivity is crucial.</w:t>
      </w:r>
    </w:p>
    <w:p w14:paraId="750A0A61" w14:textId="0099D290" w:rsidR="003F3FBC" w:rsidRDefault="003F3FBC">
      <w:r>
        <w:pict w14:anchorId="47CFCBAE">
          <v:rect id="_x0000_i1032" style="width:451.3pt;height:1.5pt" o:hralign="center" o:hrstd="t" o:hr="t" fillcolor="#a0a0a0" stroked="f"/>
        </w:pict>
      </w:r>
    </w:p>
    <w:p w14:paraId="2849104C" w14:textId="26F46922" w:rsidR="003F3FBC" w:rsidRDefault="003F3FBC">
      <w:pPr>
        <w:rPr>
          <w:rFonts w:ascii="Garamond" w:hAnsi="Garamond"/>
          <w:b/>
          <w:bCs/>
        </w:rPr>
      </w:pPr>
      <w:r w:rsidRPr="003F3FBC">
        <w:rPr>
          <w:b/>
          <w:bCs/>
        </w:rPr>
        <w:t xml:space="preserve">6. </w:t>
      </w:r>
      <w:r w:rsidRPr="003F3FBC">
        <w:rPr>
          <w:rFonts w:ascii="Garamond" w:hAnsi="Garamond"/>
          <w:b/>
          <w:bCs/>
        </w:rPr>
        <w:t>Screenshots</w:t>
      </w:r>
    </w:p>
    <w:p w14:paraId="7455F97E" w14:textId="68395267" w:rsidR="003F3FBC" w:rsidRDefault="003F3FBC">
      <w:pPr>
        <w:rPr>
          <w:rFonts w:ascii="Garamond" w:hAnsi="Garamond"/>
          <w:b/>
          <w:bCs/>
        </w:rPr>
      </w:pPr>
      <w:r>
        <w:rPr>
          <w:rFonts w:ascii="Garamond" w:hAnsi="Garamond"/>
          <w:b/>
          <w:bCs/>
        </w:rPr>
        <w:t xml:space="preserve">All States </w:t>
      </w:r>
    </w:p>
    <w:p w14:paraId="7C375737" w14:textId="6D2EDE1C" w:rsidR="003F3FBC" w:rsidRDefault="003F3FBC">
      <w:pPr>
        <w:rPr>
          <w:rFonts w:ascii="Garamond" w:hAnsi="Garamond"/>
          <w:b/>
          <w:bCs/>
        </w:rPr>
      </w:pPr>
      <w:r w:rsidRPr="003F3FBC">
        <w:rPr>
          <w:rFonts w:ascii="Garamond" w:hAnsi="Garamond"/>
          <w:b/>
          <w:bCs/>
        </w:rPr>
        <w:lastRenderedPageBreak/>
        <w:drawing>
          <wp:inline distT="0" distB="0" distL="0" distR="0" wp14:anchorId="3A0BC98A" wp14:editId="1CDCCFDA">
            <wp:extent cx="5731510" cy="2729230"/>
            <wp:effectExtent l="0" t="0" r="2540" b="0"/>
            <wp:docPr id="116710713" name="Picture 1" descr="A graph with black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0713" name="Picture 1" descr="A graph with black dots and numbers&#10;&#10;AI-generated content may be incorrect."/>
                    <pic:cNvPicPr/>
                  </pic:nvPicPr>
                  <pic:blipFill>
                    <a:blip r:embed="rId5"/>
                    <a:stretch>
                      <a:fillRect/>
                    </a:stretch>
                  </pic:blipFill>
                  <pic:spPr>
                    <a:xfrm>
                      <a:off x="0" y="0"/>
                      <a:ext cx="5731510" cy="2729230"/>
                    </a:xfrm>
                    <a:prstGeom prst="rect">
                      <a:avLst/>
                    </a:prstGeom>
                  </pic:spPr>
                </pic:pic>
              </a:graphicData>
            </a:graphic>
          </wp:inline>
        </w:drawing>
      </w:r>
    </w:p>
    <w:p w14:paraId="1E306272" w14:textId="559427EB" w:rsidR="003F3FBC" w:rsidRDefault="003F3FBC">
      <w:pPr>
        <w:rPr>
          <w:rFonts w:ascii="Garamond" w:hAnsi="Garamond"/>
          <w:b/>
          <w:bCs/>
        </w:rPr>
      </w:pPr>
      <w:r w:rsidRPr="003F3FBC">
        <w:rPr>
          <w:rFonts w:ascii="Garamond" w:hAnsi="Garamond"/>
          <w:b/>
          <w:bCs/>
        </w:rPr>
        <w:drawing>
          <wp:inline distT="0" distB="0" distL="0" distR="0" wp14:anchorId="2FCC45BA" wp14:editId="5F2632B5">
            <wp:extent cx="5731510" cy="2686050"/>
            <wp:effectExtent l="0" t="0" r="2540" b="0"/>
            <wp:docPr id="1087920084" name="Picture 1" descr="A graph with black dots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20084" name="Picture 1" descr="A graph with black dots and blue lines&#10;&#10;AI-generated content may be incorrect."/>
                    <pic:cNvPicPr/>
                  </pic:nvPicPr>
                  <pic:blipFill>
                    <a:blip r:embed="rId6"/>
                    <a:stretch>
                      <a:fillRect/>
                    </a:stretch>
                  </pic:blipFill>
                  <pic:spPr>
                    <a:xfrm>
                      <a:off x="0" y="0"/>
                      <a:ext cx="5731510" cy="2686050"/>
                    </a:xfrm>
                    <a:prstGeom prst="rect">
                      <a:avLst/>
                    </a:prstGeom>
                  </pic:spPr>
                </pic:pic>
              </a:graphicData>
            </a:graphic>
          </wp:inline>
        </w:drawing>
      </w:r>
    </w:p>
    <w:p w14:paraId="4A0C9112" w14:textId="77777777" w:rsidR="003F3FBC" w:rsidRDefault="003F3FBC">
      <w:pPr>
        <w:rPr>
          <w:rFonts w:ascii="Garamond" w:hAnsi="Garamond"/>
          <w:b/>
          <w:bCs/>
        </w:rPr>
      </w:pPr>
    </w:p>
    <w:p w14:paraId="211866C4" w14:textId="7517BC21" w:rsidR="003F3FBC" w:rsidRDefault="003F3FBC">
      <w:pPr>
        <w:rPr>
          <w:rFonts w:ascii="Garamond" w:hAnsi="Garamond"/>
          <w:b/>
          <w:bCs/>
        </w:rPr>
      </w:pPr>
      <w:r w:rsidRPr="003F3FBC">
        <w:rPr>
          <w:rFonts w:ascii="Garamond" w:hAnsi="Garamond"/>
          <w:b/>
          <w:bCs/>
        </w:rPr>
        <w:drawing>
          <wp:inline distT="0" distB="0" distL="0" distR="0" wp14:anchorId="2A99434A" wp14:editId="2CB03871">
            <wp:extent cx="5731510" cy="2724150"/>
            <wp:effectExtent l="0" t="0" r="2540" b="0"/>
            <wp:docPr id="7445621" name="Picture 1" descr="A graph with blue lines an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621" name="Picture 1" descr="A graph with blue lines and dots&#10;&#10;AI-generated content may be incorrect."/>
                    <pic:cNvPicPr/>
                  </pic:nvPicPr>
                  <pic:blipFill>
                    <a:blip r:embed="rId7"/>
                    <a:stretch>
                      <a:fillRect/>
                    </a:stretch>
                  </pic:blipFill>
                  <pic:spPr>
                    <a:xfrm>
                      <a:off x="0" y="0"/>
                      <a:ext cx="5731510" cy="2724150"/>
                    </a:xfrm>
                    <a:prstGeom prst="rect">
                      <a:avLst/>
                    </a:prstGeom>
                  </pic:spPr>
                </pic:pic>
              </a:graphicData>
            </a:graphic>
          </wp:inline>
        </w:drawing>
      </w:r>
    </w:p>
    <w:p w14:paraId="56A9F06A" w14:textId="298CD586" w:rsidR="003F3FBC" w:rsidRDefault="00903F50">
      <w:pPr>
        <w:rPr>
          <w:rFonts w:ascii="Garamond" w:hAnsi="Garamond"/>
          <w:b/>
          <w:bCs/>
        </w:rPr>
      </w:pPr>
      <w:r w:rsidRPr="00903F50">
        <w:rPr>
          <w:rFonts w:ascii="Garamond" w:hAnsi="Garamond"/>
          <w:b/>
          <w:bCs/>
        </w:rPr>
        <w:lastRenderedPageBreak/>
        <w:drawing>
          <wp:inline distT="0" distB="0" distL="0" distR="0" wp14:anchorId="1AE84182" wp14:editId="3B13B80E">
            <wp:extent cx="5731510" cy="2682875"/>
            <wp:effectExtent l="0" t="0" r="2540" b="3175"/>
            <wp:docPr id="1721668358" name="Picture 1" descr="A graph of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68358" name="Picture 1" descr="A graph of red and blue lines&#10;&#10;AI-generated content may be incorrect."/>
                    <pic:cNvPicPr/>
                  </pic:nvPicPr>
                  <pic:blipFill>
                    <a:blip r:embed="rId8"/>
                    <a:stretch>
                      <a:fillRect/>
                    </a:stretch>
                  </pic:blipFill>
                  <pic:spPr>
                    <a:xfrm>
                      <a:off x="0" y="0"/>
                      <a:ext cx="5731510" cy="2682875"/>
                    </a:xfrm>
                    <a:prstGeom prst="rect">
                      <a:avLst/>
                    </a:prstGeom>
                  </pic:spPr>
                </pic:pic>
              </a:graphicData>
            </a:graphic>
          </wp:inline>
        </w:drawing>
      </w:r>
    </w:p>
    <w:p w14:paraId="7E059AB4" w14:textId="77777777" w:rsidR="003F3FBC" w:rsidRDefault="003F3FBC">
      <w:pPr>
        <w:rPr>
          <w:rFonts w:ascii="Garamond" w:hAnsi="Garamond"/>
          <w:b/>
          <w:bCs/>
        </w:rPr>
      </w:pPr>
    </w:p>
    <w:p w14:paraId="64DEDF22" w14:textId="77777777" w:rsidR="003F3FBC" w:rsidRPr="003F3FBC" w:rsidRDefault="003F3FBC">
      <w:pPr>
        <w:rPr>
          <w:rFonts w:ascii="Garamond" w:hAnsi="Garamond"/>
          <w:b/>
          <w:bCs/>
        </w:rPr>
      </w:pPr>
    </w:p>
    <w:sectPr w:rsidR="003F3FBC" w:rsidRPr="003F3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05266"/>
    <w:multiLevelType w:val="multilevel"/>
    <w:tmpl w:val="B03A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F3B8B"/>
    <w:multiLevelType w:val="multilevel"/>
    <w:tmpl w:val="E3F00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D6DED"/>
    <w:multiLevelType w:val="multilevel"/>
    <w:tmpl w:val="EB72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21CA6"/>
    <w:multiLevelType w:val="multilevel"/>
    <w:tmpl w:val="9210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6C7DE2"/>
    <w:multiLevelType w:val="multilevel"/>
    <w:tmpl w:val="378C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7270549">
    <w:abstractNumId w:val="3"/>
  </w:num>
  <w:num w:numId="2" w16cid:durableId="1496452255">
    <w:abstractNumId w:val="0"/>
  </w:num>
  <w:num w:numId="3" w16cid:durableId="416294450">
    <w:abstractNumId w:val="4"/>
  </w:num>
  <w:num w:numId="4" w16cid:durableId="206841489">
    <w:abstractNumId w:val="2"/>
  </w:num>
  <w:num w:numId="5" w16cid:durableId="1859349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4A"/>
    <w:rsid w:val="001026DC"/>
    <w:rsid w:val="003F3FBC"/>
    <w:rsid w:val="00512160"/>
    <w:rsid w:val="0055307B"/>
    <w:rsid w:val="00875E4A"/>
    <w:rsid w:val="00903F50"/>
    <w:rsid w:val="00AD2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9647"/>
  <w15:chartTrackingRefBased/>
  <w15:docId w15:val="{7C8EC2EE-5A94-4C1C-BB93-8BC380151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14A"/>
  </w:style>
  <w:style w:type="paragraph" w:styleId="Heading1">
    <w:name w:val="heading 1"/>
    <w:basedOn w:val="Normal"/>
    <w:next w:val="Normal"/>
    <w:link w:val="Heading1Char"/>
    <w:uiPriority w:val="9"/>
    <w:qFormat/>
    <w:rsid w:val="00AD21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21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1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1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1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1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1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1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1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1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21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1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1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1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1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1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1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14A"/>
    <w:rPr>
      <w:rFonts w:eastAsiaTheme="majorEastAsia" w:cstheme="majorBidi"/>
      <w:color w:val="272727" w:themeColor="text1" w:themeTint="D8"/>
    </w:rPr>
  </w:style>
  <w:style w:type="paragraph" w:styleId="Title">
    <w:name w:val="Title"/>
    <w:basedOn w:val="Normal"/>
    <w:next w:val="Normal"/>
    <w:link w:val="TitleChar"/>
    <w:uiPriority w:val="10"/>
    <w:qFormat/>
    <w:rsid w:val="00AD21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1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1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1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14A"/>
    <w:pPr>
      <w:spacing w:before="160"/>
      <w:jc w:val="center"/>
    </w:pPr>
    <w:rPr>
      <w:i/>
      <w:iCs/>
      <w:color w:val="404040" w:themeColor="text1" w:themeTint="BF"/>
    </w:rPr>
  </w:style>
  <w:style w:type="character" w:customStyle="1" w:styleId="QuoteChar">
    <w:name w:val="Quote Char"/>
    <w:basedOn w:val="DefaultParagraphFont"/>
    <w:link w:val="Quote"/>
    <w:uiPriority w:val="29"/>
    <w:rsid w:val="00AD214A"/>
    <w:rPr>
      <w:i/>
      <w:iCs/>
      <w:color w:val="404040" w:themeColor="text1" w:themeTint="BF"/>
    </w:rPr>
  </w:style>
  <w:style w:type="paragraph" w:styleId="ListParagraph">
    <w:name w:val="List Paragraph"/>
    <w:basedOn w:val="Normal"/>
    <w:uiPriority w:val="34"/>
    <w:qFormat/>
    <w:rsid w:val="00AD214A"/>
    <w:pPr>
      <w:ind w:left="720"/>
      <w:contextualSpacing/>
    </w:pPr>
  </w:style>
  <w:style w:type="character" w:styleId="IntenseEmphasis">
    <w:name w:val="Intense Emphasis"/>
    <w:basedOn w:val="DefaultParagraphFont"/>
    <w:uiPriority w:val="21"/>
    <w:qFormat/>
    <w:rsid w:val="00AD214A"/>
    <w:rPr>
      <w:i/>
      <w:iCs/>
      <w:color w:val="0F4761" w:themeColor="accent1" w:themeShade="BF"/>
    </w:rPr>
  </w:style>
  <w:style w:type="paragraph" w:styleId="IntenseQuote">
    <w:name w:val="Intense Quote"/>
    <w:basedOn w:val="Normal"/>
    <w:next w:val="Normal"/>
    <w:link w:val="IntenseQuoteChar"/>
    <w:uiPriority w:val="30"/>
    <w:qFormat/>
    <w:rsid w:val="00AD21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14A"/>
    <w:rPr>
      <w:i/>
      <w:iCs/>
      <w:color w:val="0F4761" w:themeColor="accent1" w:themeShade="BF"/>
    </w:rPr>
  </w:style>
  <w:style w:type="character" w:styleId="IntenseReference">
    <w:name w:val="Intense Reference"/>
    <w:basedOn w:val="DefaultParagraphFont"/>
    <w:uiPriority w:val="32"/>
    <w:qFormat/>
    <w:rsid w:val="00AD21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Jain</dc:creator>
  <cp:keywords/>
  <dc:description/>
  <cp:lastModifiedBy>Aniket Kargutkar</cp:lastModifiedBy>
  <cp:revision>4</cp:revision>
  <dcterms:created xsi:type="dcterms:W3CDTF">2025-07-09T13:33:00Z</dcterms:created>
  <dcterms:modified xsi:type="dcterms:W3CDTF">2025-07-09T13:56:00Z</dcterms:modified>
</cp:coreProperties>
</file>