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1507B" w14:textId="77777777" w:rsidR="008E2445" w:rsidRDefault="00CB3809">
      <w:pPr>
        <w:pStyle w:val="Title"/>
      </w:pPr>
      <w:r>
        <w:t>Investor Report: ATM Transaction Analysis</w:t>
      </w:r>
    </w:p>
    <w:p w14:paraId="35D967CF" w14:textId="77777777" w:rsidR="008E2445" w:rsidRDefault="00CB3809">
      <w:pPr>
        <w:pStyle w:val="Heading1"/>
      </w:pPr>
      <w:r>
        <w:t>Executive Summary</w:t>
      </w:r>
    </w:p>
    <w:p w14:paraId="707043F7" w14:textId="77777777" w:rsidR="008E2445" w:rsidRDefault="00CB3809">
      <w:r>
        <w:t>This report provides an investor-focused analysis of ATM transaction data across various regions and banks. The total number of transactions recorded is 578,563,242, with 430,989,909 financial and 147,573,333 non-financial transactions. The average daily transaction volume is approximately 165.96 per ATM.</w:t>
      </w:r>
    </w:p>
    <w:p w14:paraId="1DEC5DC8" w14:textId="77777777" w:rsidR="008E2445" w:rsidRDefault="00CB3809">
      <w:pPr>
        <w:pStyle w:val="Heading1"/>
      </w:pPr>
      <w:r>
        <w:t>Top Performing States</w:t>
      </w:r>
    </w:p>
    <w:p w14:paraId="0FD68FA9" w14:textId="77777777" w:rsidR="008E2445" w:rsidRDefault="00CB3809">
      <w:r>
        <w:t>The following chart shows the top 10 states by total ATM transactions:</w:t>
      </w:r>
    </w:p>
    <w:p w14:paraId="3551FD3E" w14:textId="77777777" w:rsidR="008E2445" w:rsidRDefault="00CB3809">
      <w:r>
        <w:rPr>
          <w:noProof/>
        </w:rPr>
        <w:drawing>
          <wp:inline distT="0" distB="0" distL="0" distR="0" wp14:anchorId="2A28BC1F" wp14:editId="77C5AE8D">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_states.png"/>
                    <pic:cNvPicPr/>
                  </pic:nvPicPr>
                  <pic:blipFill>
                    <a:blip r:embed="rId6"/>
                    <a:stretch>
                      <a:fillRect/>
                    </a:stretch>
                  </pic:blipFill>
                  <pic:spPr>
                    <a:xfrm>
                      <a:off x="0" y="0"/>
                      <a:ext cx="5486400" cy="4114800"/>
                    </a:xfrm>
                    <a:prstGeom prst="rect">
                      <a:avLst/>
                    </a:prstGeom>
                  </pic:spPr>
                </pic:pic>
              </a:graphicData>
            </a:graphic>
          </wp:inline>
        </w:drawing>
      </w:r>
    </w:p>
    <w:p w14:paraId="256D0BDE" w14:textId="77777777" w:rsidR="008E2445" w:rsidRDefault="00CB3809">
      <w:pPr>
        <w:pStyle w:val="Heading1"/>
      </w:pPr>
      <w:r>
        <w:t>Top Performing Districts</w:t>
      </w:r>
    </w:p>
    <w:p w14:paraId="636CFD0B" w14:textId="77777777" w:rsidR="008E2445" w:rsidRDefault="00CB3809">
      <w:r>
        <w:t>The following chart shows the top 10 districts by total ATM transactions:</w:t>
      </w:r>
    </w:p>
    <w:p w14:paraId="67346E14" w14:textId="77777777" w:rsidR="008E2445" w:rsidRDefault="00CB3809">
      <w:r>
        <w:rPr>
          <w:noProof/>
        </w:rPr>
        <w:drawing>
          <wp:inline distT="0" distB="0" distL="0" distR="0" wp14:anchorId="75C64763" wp14:editId="52AD9E05">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_districts.png"/>
                    <pic:cNvPicPr/>
                  </pic:nvPicPr>
                  <pic:blipFill>
                    <a:blip r:embed="rId7"/>
                    <a:stretch>
                      <a:fillRect/>
                    </a:stretch>
                  </pic:blipFill>
                  <pic:spPr>
                    <a:xfrm>
                      <a:off x="0" y="0"/>
                      <a:ext cx="5486400" cy="4114800"/>
                    </a:xfrm>
                    <a:prstGeom prst="rect">
                      <a:avLst/>
                    </a:prstGeom>
                  </pic:spPr>
                </pic:pic>
              </a:graphicData>
            </a:graphic>
          </wp:inline>
        </w:drawing>
      </w:r>
    </w:p>
    <w:p w14:paraId="616FE25C" w14:textId="77777777" w:rsidR="008E2445" w:rsidRDefault="00CB3809">
      <w:pPr>
        <w:pStyle w:val="Heading1"/>
      </w:pPr>
      <w:r>
        <w:t>Top Performing Banks</w:t>
      </w:r>
    </w:p>
    <w:p w14:paraId="1C4BCF3F" w14:textId="77777777" w:rsidR="008E2445" w:rsidRDefault="00CB3809">
      <w:r>
        <w:t>The following chart shows the top 10 banks by total ATM transactions:</w:t>
      </w:r>
    </w:p>
    <w:p w14:paraId="235A65FA" w14:textId="77777777" w:rsidR="008E2445" w:rsidRDefault="00CB3809">
      <w:r>
        <w:rPr>
          <w:noProof/>
        </w:rPr>
        <w:drawing>
          <wp:inline distT="0" distB="0" distL="0" distR="0" wp14:anchorId="699405CC" wp14:editId="6EAF5719">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_banks.png"/>
                    <pic:cNvPicPr/>
                  </pic:nvPicPr>
                  <pic:blipFill>
                    <a:blip r:embed="rId8"/>
                    <a:stretch>
                      <a:fillRect/>
                    </a:stretch>
                  </pic:blipFill>
                  <pic:spPr>
                    <a:xfrm>
                      <a:off x="0" y="0"/>
                      <a:ext cx="5486400" cy="4114800"/>
                    </a:xfrm>
                    <a:prstGeom prst="rect">
                      <a:avLst/>
                    </a:prstGeom>
                  </pic:spPr>
                </pic:pic>
              </a:graphicData>
            </a:graphic>
          </wp:inline>
        </w:drawing>
      </w:r>
    </w:p>
    <w:p w14:paraId="5E06E33D" w14:textId="77777777" w:rsidR="008E2445" w:rsidRDefault="00CB3809">
      <w:pPr>
        <w:pStyle w:val="Heading1"/>
      </w:pPr>
      <w:r>
        <w:t>Operational Efficiency by Site Type</w:t>
      </w:r>
    </w:p>
    <w:p w14:paraId="49487693" w14:textId="77777777" w:rsidR="008E2445" w:rsidRDefault="00CB3809">
      <w:r>
        <w:t>The following chart shows the average daily transactions by ATM site type:</w:t>
      </w:r>
    </w:p>
    <w:p w14:paraId="7BF9AFF4" w14:textId="77777777" w:rsidR="008E2445" w:rsidRDefault="00CB3809">
      <w:r>
        <w:rPr>
          <w:noProof/>
        </w:rPr>
        <w:drawing>
          <wp:inline distT="0" distB="0" distL="0" distR="0" wp14:anchorId="57AD3AD0" wp14:editId="2BB62A96">
            <wp:extent cx="54864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_type_avg.png"/>
                    <pic:cNvPicPr/>
                  </pic:nvPicPr>
                  <pic:blipFill>
                    <a:blip r:embed="rId9"/>
                    <a:stretch>
                      <a:fillRect/>
                    </a:stretch>
                  </pic:blipFill>
                  <pic:spPr>
                    <a:xfrm>
                      <a:off x="0" y="0"/>
                      <a:ext cx="5486400" cy="4114800"/>
                    </a:xfrm>
                    <a:prstGeom prst="rect">
                      <a:avLst/>
                    </a:prstGeom>
                  </pic:spPr>
                </pic:pic>
              </a:graphicData>
            </a:graphic>
          </wp:inline>
        </w:drawing>
      </w:r>
    </w:p>
    <w:p w14:paraId="34E01994" w14:textId="77777777" w:rsidR="008E2445" w:rsidRDefault="00CB3809">
      <w:pPr>
        <w:pStyle w:val="Heading1"/>
      </w:pPr>
      <w:r>
        <w:t>Regional Trends by POP Group</w:t>
      </w:r>
    </w:p>
    <w:p w14:paraId="14421903" w14:textId="77777777" w:rsidR="008E2445" w:rsidRDefault="00CB3809">
      <w:r>
        <w:t>The following chart shows the average daily transactions by POP group:</w:t>
      </w:r>
    </w:p>
    <w:p w14:paraId="46C63E30" w14:textId="77777777" w:rsidR="008E2445" w:rsidRDefault="00CB3809">
      <w:r>
        <w:rPr>
          <w:noProof/>
        </w:rPr>
        <w:drawing>
          <wp:inline distT="0" distB="0" distL="0" distR="0" wp14:anchorId="068C7AFC" wp14:editId="5656DBC1">
            <wp:extent cx="54864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_group_avg.png"/>
                    <pic:cNvPicPr/>
                  </pic:nvPicPr>
                  <pic:blipFill>
                    <a:blip r:embed="rId10"/>
                    <a:stretch>
                      <a:fillRect/>
                    </a:stretch>
                  </pic:blipFill>
                  <pic:spPr>
                    <a:xfrm>
                      <a:off x="0" y="0"/>
                      <a:ext cx="5486400" cy="4114800"/>
                    </a:xfrm>
                    <a:prstGeom prst="rect">
                      <a:avLst/>
                    </a:prstGeom>
                  </pic:spPr>
                </pic:pic>
              </a:graphicData>
            </a:graphic>
          </wp:inline>
        </w:drawing>
      </w:r>
    </w:p>
    <w:p w14:paraId="3E4C96D2" w14:textId="77777777" w:rsidR="008E2445" w:rsidRDefault="00CB3809">
      <w:pPr>
        <w:pStyle w:val="Heading1"/>
      </w:pPr>
      <w:r>
        <w:t>Investment Opportunities</w:t>
      </w:r>
    </w:p>
    <w:p w14:paraId="1B42D8E6" w14:textId="77777777" w:rsidR="008E2445" w:rsidRDefault="00CB3809">
      <w:r>
        <w:t>High transaction volumes in urban and semi-urban areas suggest strong demand and potential for expansion. Banks with high transaction volumes, such as State Bank of India, present opportunities for strategic partnerships. Improving ATM accessibility in rural areas could unlock untapped potential and enhance financial inclusion.</w:t>
      </w:r>
    </w:p>
    <w:p w14:paraId="6E87A487" w14:textId="77777777" w:rsidR="008E2445" w:rsidRDefault="00CB3809">
      <w:pPr>
        <w:pStyle w:val="Heading1"/>
      </w:pPr>
      <w:r>
        <w:t>Conclusion</w:t>
      </w:r>
    </w:p>
    <w:p w14:paraId="64BFB8FD" w14:textId="77777777" w:rsidR="008E2445" w:rsidRDefault="00CB3809">
      <w:r>
        <w:t>This analysis highlights key areas of financial performance, operational efficiency, and regional trends. Investors may consider focusing on high-performing regions and banks, while also exploring growth opportunities in under-served areas.</w:t>
      </w:r>
    </w:p>
    <w:sectPr w:rsidR="008E24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9756189">
    <w:abstractNumId w:val="8"/>
  </w:num>
  <w:num w:numId="2" w16cid:durableId="439839256">
    <w:abstractNumId w:val="6"/>
  </w:num>
  <w:num w:numId="3" w16cid:durableId="487943011">
    <w:abstractNumId w:val="5"/>
  </w:num>
  <w:num w:numId="4" w16cid:durableId="203760164">
    <w:abstractNumId w:val="4"/>
  </w:num>
  <w:num w:numId="5" w16cid:durableId="1353460436">
    <w:abstractNumId w:val="7"/>
  </w:num>
  <w:num w:numId="6" w16cid:durableId="2099130904">
    <w:abstractNumId w:val="3"/>
  </w:num>
  <w:num w:numId="7" w16cid:durableId="189729946">
    <w:abstractNumId w:val="2"/>
  </w:num>
  <w:num w:numId="8" w16cid:durableId="1553926707">
    <w:abstractNumId w:val="1"/>
  </w:num>
  <w:num w:numId="9" w16cid:durableId="1513105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2160"/>
    <w:rsid w:val="008962BC"/>
    <w:rsid w:val="008E2445"/>
    <w:rsid w:val="00AA1D8D"/>
    <w:rsid w:val="00B47730"/>
    <w:rsid w:val="00CB0664"/>
    <w:rsid w:val="00CB380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E228FF"/>
  <w14:defaultImageDpi w14:val="300"/>
  <w15:docId w15:val="{E67C5DEB-978B-4773-A720-9636CE9F3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