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POLICY &amp; CONTROLS MANUAL</w:t>
      </w:r>
    </w:p>
    <w:p>
      <w:r>
        <w:t>Company Name: ABC Manufacturing Pvt. Ltd.</w:t>
        <w:br/>
        <w:t>Effective Date: 01 April 2024</w:t>
        <w:br/>
        <w:t>Last Updated: 15 January 2025</w:t>
        <w:br/>
        <w:t>Document ID: ABC/FIN/POL/2025/01</w:t>
        <w:br/>
      </w:r>
    </w:p>
    <w:p>
      <w:pPr>
        <w:pStyle w:val="Heading2"/>
      </w:pPr>
      <w:r>
        <w:t>1. Financial Authority Matrix</w:t>
      </w:r>
    </w:p>
    <w:p>
      <w:r>
        <w:t>Expense approvals are governed as below:</w:t>
        <w:br/>
        <w:t>• Department Manager: Up to INR 50,000</w:t>
        <w:br/>
        <w:t>• Finance Head: Up to INR 2,00,000</w:t>
        <w:br/>
        <w:t>• CFO: Above INR 2,00,000 including capital expenditure</w:t>
      </w:r>
    </w:p>
    <w:p>
      <w:pPr>
        <w:pStyle w:val="Heading2"/>
      </w:pPr>
      <w:r>
        <w:t>2. Budgeting &amp; Expense Control</w:t>
      </w:r>
    </w:p>
    <w:p>
      <w:r>
        <w:t>Annual budgets are approved before the financial year begins. Any variance above 10% from budgeted amounts requires management approval.</w:t>
      </w:r>
    </w:p>
    <w:p>
      <w:pPr>
        <w:pStyle w:val="Heading2"/>
      </w:pPr>
      <w:r>
        <w:t>3. Revenue Recognition</w:t>
      </w:r>
    </w:p>
    <w:p>
      <w:r>
        <w:t>Revenue is recognized only upon invoice generation and confirmation of goods dispatch or service delivery, as per applicable accounting standards.</w:t>
      </w:r>
    </w:p>
    <w:p>
      <w:pPr>
        <w:pStyle w:val="Heading2"/>
      </w:pPr>
      <w:r>
        <w:t>4. Annual Financial Performance</w:t>
      </w:r>
    </w:p>
    <w:p>
      <w:r>
        <w:t>FY 2021–22: Revenue INR 42.6 Cr | Net Profit INR 6.1 Cr</w:t>
        <w:br/>
        <w:t>FY 2022–23: Revenue INR 48.9 Cr | Net Profit INR 7.4 Cr</w:t>
        <w:br/>
        <w:t>FY 2023–24: Revenue INR 55.2 Cr | Net Profit INR 8.9 Cr</w:t>
      </w:r>
    </w:p>
    <w:p>
      <w:pPr>
        <w:pStyle w:val="Heading2"/>
      </w:pPr>
      <w:r>
        <w:t>5. Tax &amp; Statutory Compliance</w:t>
      </w:r>
    </w:p>
    <w:p>
      <w:r>
        <w:t>The company complies with GST, TDS, PF, and ESI regulations. GST returns GSTR-1 and GSTR-3B are filed monthly by the 11th and 20th respectively.</w:t>
      </w:r>
    </w:p>
    <w:p>
      <w:pPr>
        <w:pStyle w:val="Heading2"/>
      </w:pPr>
      <w:r>
        <w:t>6. Audit &amp; Internal Controls</w:t>
      </w:r>
    </w:p>
    <w:p>
      <w:r>
        <w:t>Internal audits are conducted quarterly. All audit observations must be closed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