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There are 6 files: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files “SGP_x_20180418_*” and “SGP_y_20180418_*”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* can be “mean”, “random” and “gaussian”.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‘x’ and ‘y’ files with the same suffix are corresponding to each other. So totally there are 3 data sets to use.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Different suffix means different data generating process, and I think for algorithm test purpose, you can ignore the detail of this.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All x files have shape (3,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750000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so it has three variables at each time step.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All y files have shape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(750000,)</w:t>
      </w:r>
      <w:r w:rsidDel="00000000" w:rsidR="00000000" w:rsidRPr="00000000">
        <w:rPr>
          <w:rtl w:val="0"/>
        </w:rPr>
        <w:t xml:space="preserve"> the same as each variable in file x.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It’s the label. For example, if the first 10 elements of y are “1”, and the next 10 elements are “3”, it means the first 10 time steps of x (3 variables for each of the 10 time steps) are from distribution “1” and the next 10 time steps of x are from distribution “3”, so there is a distribution change at time step 11.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You can divide it to test set, validation set and training set according to your idea. One possible way is [0, 500000] for training, [500000, 600000] for validation and [600000, 750000] for test.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