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B2545"/>
          <w:sz w:val="44"/>
        </w:rPr>
        <w:t>Aegis: Privacy-Preserving On-Device Combat Motion Intelligence</w:t>
      </w:r>
    </w:p>
    <w:p>
      <w:pPr>
        <w:spacing w:before="0" w:after="280"/>
      </w:pPr>
      <w:r>
        <w:rPr>
          <w:rFonts w:ascii="Segoe UI" w:hAnsi="Segoe UI"/>
          <w:color w:val="008CBA"/>
          <w:sz w:val="22"/>
        </w:rPr>
        <w:t>Snapdragon AI Lab Build &amp; Present Challenge Submission  |  Detailed Technical Specification</w:t>
      </w:r>
    </w:p>
    <w:tbl>
      <w:tblPr>
        <w:tblW w:type="auto" w:w="0"/>
        <w:jc w:val="center"/>
        <w:tblLayout w:type="fixed"/>
        <w:tblLook w:firstColumn="1" w:firstRow="1" w:lastColumn="0" w:lastRow="0" w:noHBand="0" w:noVBand="1" w:val="04A0"/>
      </w:tblPr>
      <w:tblGrid>
        <w:gridCol w:w="5040"/>
        <w:gridCol w:w="5040"/>
      </w:tblGrid>
      <w:tr>
        <w:tc>
          <w:tcPr>
            <w:tcW w:type="dxa" w:w="5040"/>
            <w:shd w:fill="F4F7FA"/>
            <w:tcMar>
              <w:top w:w="80" w:type="dxa"/>
              <w:bottom w:w="80" w:type="dxa"/>
              <w:left w:w="120" w:type="dxa"/>
              <w:right w:w="120" w:type="dxa"/>
            </w:tcMar>
          </w:tcPr>
          <w:p>
            <w:pPr>
              <w:spacing w:after="0"/>
            </w:pPr>
            <w:r>
              <w:rPr>
                <w:b/>
                <w:color w:val="0B2545"/>
                <w:sz w:val="19"/>
              </w:rPr>
              <w:t xml:space="preserve">Participant: </w:t>
            </w:r>
            <w:r>
              <w:rPr>
                <w:color w:val="212529"/>
                <w:sz w:val="19"/>
              </w:rPr>
              <w:t>Aniket Kapgate</w:t>
            </w:r>
          </w:p>
        </w:tc>
        <w:tc>
          <w:tcPr>
            <w:tcW w:type="dxa" w:w="5040"/>
            <w:shd w:fill="F4F7FA"/>
            <w:tcMar>
              <w:top w:w="80" w:type="dxa"/>
              <w:bottom w:w="80" w:type="dxa"/>
              <w:left w:w="120" w:type="dxa"/>
              <w:right w:w="120" w:type="dxa"/>
            </w:tcMar>
          </w:tcPr>
          <w:p>
            <w:pPr>
              <w:spacing w:after="0"/>
            </w:pPr>
            <w:r>
              <w:rPr>
                <w:b/>
                <w:color w:val="0B2545"/>
                <w:sz w:val="19"/>
              </w:rPr>
              <w:t xml:space="preserve">Target Platform: </w:t>
            </w:r>
            <w:r>
              <w:rPr>
                <w:color w:val="212529"/>
                <w:sz w:val="19"/>
              </w:rPr>
              <w:t>Snapdragon X Elite / Plus HP PCs (Windows 11 on Arm)</w:t>
            </w:r>
          </w:p>
        </w:tc>
      </w:tr>
      <w:tr>
        <w:tc>
          <w:tcPr>
            <w:tcW w:type="dxa" w:w="5040"/>
            <w:shd w:fill="F4F7FA"/>
            <w:tcMar>
              <w:top w:w="80" w:type="dxa"/>
              <w:bottom w:w="80" w:type="dxa"/>
              <w:left w:w="120" w:type="dxa"/>
              <w:right w:w="120" w:type="dxa"/>
            </w:tcMar>
          </w:tcPr>
          <w:p>
            <w:pPr>
              <w:spacing w:after="0"/>
            </w:pPr>
            <w:r>
              <w:rPr>
                <w:b/>
                <w:color w:val="0B2545"/>
                <w:sz w:val="19"/>
              </w:rPr>
              <w:t xml:space="preserve">Repository: </w:t>
            </w:r>
            <w:r>
              <w:rPr>
                <w:color w:val="212529"/>
                <w:sz w:val="19"/>
              </w:rPr>
              <w:t>https://github.com/aniketkapgate7-crypto/Aegis-Fight-Pattern-Analyzer</w:t>
            </w:r>
          </w:p>
        </w:tc>
        <w:tc>
          <w:tcPr>
            <w:tcW w:type="dxa" w:w="5040"/>
            <w:shd w:fill="F4F7FA"/>
            <w:tcMar>
              <w:top w:w="80" w:type="dxa"/>
              <w:bottom w:w="80" w:type="dxa"/>
              <w:left w:w="120" w:type="dxa"/>
              <w:right w:w="120" w:type="dxa"/>
            </w:tcMar>
          </w:tcPr>
          <w:p>
            <w:pPr>
              <w:spacing w:after="0"/>
            </w:pPr>
            <w:r>
              <w:rPr>
                <w:b/>
                <w:color w:val="0B2545"/>
                <w:sz w:val="19"/>
              </w:rPr>
              <w:t xml:space="preserve">Evaluation Status: </w:t>
            </w:r>
            <w:r>
              <w:rPr>
                <w:color w:val="212529"/>
                <w:sz w:val="19"/>
              </w:rPr>
              <w:t>Verified MediaPipe CPU Baseline | QNN Optimization Planned</w:t>
            </w:r>
          </w:p>
        </w:tc>
      </w:tr>
    </w:tbl>
    <w:p>
      <w:pPr>
        <w:spacing w:after="160"/>
      </w:pPr>
    </w:p>
    <w:p>
      <w:pPr>
        <w:keepNext/>
        <w:spacing w:before="280" w:after="80"/>
      </w:pPr>
      <w:r>
        <w:rPr>
          <w:rFonts w:ascii="Segoe UI" w:hAnsi="Segoe UI"/>
          <w:b/>
          <w:color w:val="0B2545"/>
          <w:sz w:val="26"/>
        </w:rPr>
        <w:t>1. Executive Summary</w:t>
      </w:r>
    </w:p>
    <w:p>
      <w:pPr>
        <w:spacing w:before="0" w:after="120"/>
      </w:pPr>
      <w:r>
        <w:rPr>
          <w:rFonts w:ascii="Segoe UI" w:hAnsi="Segoe UI"/>
          <w:color w:val="212529"/>
          <w:sz w:val="20"/>
        </w:rPr>
        <w:t>Aegis is an edge-native, privacy-preserving motion intelligence system engineered for real-time human movement and threat pattern analysis on Snapdragon-powered HP PCs. The system transforms live optical camera feeds into normalized 2D skeletal landmarks, evaluates multi-frame kinematic trajectories over a temporal sliding window, and identifies strikes, defensive guards, rapid approach, and fall patterns. Crucially, Aegis processes video entirely in local memory without transmitting imagery to cloud servers, stores no biometric templates, and does not perform facial recognition. Aegis does not perform face recognition, face identification, facial embeddings or biometric identity tracking. One coarse nose keypoint is used only for pose geometry. By uniting zero-cloud on-device inference with explainable kinematic evidence, Aegis provides transparent decision-support telemetry for sports coaching, supervised athletic safety, and edge AI research.</w:t>
      </w:r>
    </w:p>
    <w:p>
      <w:pPr>
        <w:keepNext/>
        <w:spacing w:before="280" w:after="80"/>
      </w:pPr>
      <w:r>
        <w:rPr>
          <w:rFonts w:ascii="Segoe UI" w:hAnsi="Segoe UI"/>
          <w:b/>
          <w:color w:val="0B2545"/>
          <w:sz w:val="26"/>
        </w:rPr>
        <w:t>2. Problem Statement</w:t>
      </w:r>
    </w:p>
    <w:p>
      <w:pPr>
        <w:spacing w:before="0" w:after="120"/>
      </w:pPr>
      <w:r>
        <w:rPr>
          <w:rFonts w:ascii="Segoe UI" w:hAnsi="Segoe UI"/>
          <w:color w:val="212529"/>
          <w:sz w:val="20"/>
        </w:rPr>
        <w:t>Contemporary physical safety monitoring and athletic combat analysis rely almost universally on two flawed paradigms:</w:t>
      </w:r>
    </w:p>
    <w:p>
      <w:pPr>
        <w:pStyle w:val="ListBullet"/>
        <w:spacing w:before="0" w:after="60"/>
      </w:pPr>
      <w:r>
        <w:rPr>
          <w:rFonts w:ascii="Segoe UI" w:hAnsi="Segoe UI"/>
          <w:b/>
          <w:color w:val="0B2545"/>
          <w:sz w:val="20"/>
        </w:rPr>
        <w:t>Reactive Post-Event Review:</w:t>
      </w:r>
      <w:r>
        <w:rPr>
          <w:rFonts w:ascii="Segoe UI" w:hAnsi="Segoe UI"/>
          <w:color w:val="212529"/>
          <w:sz w:val="20"/>
        </w:rPr>
        <w:t xml:space="preserve"> Traditional video surveillance and coaching reviews occur post-incident, failing to alert supervisors during the unfolding event.</w:t>
      </w:r>
    </w:p>
    <w:p>
      <w:pPr>
        <w:pStyle w:val="ListBullet"/>
        <w:spacing w:before="0" w:after="60"/>
      </w:pPr>
      <w:r>
        <w:rPr>
          <w:rFonts w:ascii="Segoe UI" w:hAnsi="Segoe UI"/>
          <w:b/>
          <w:color w:val="0B2545"/>
          <w:sz w:val="20"/>
        </w:rPr>
        <w:t>Cloud Latency &amp; Network Fragility:</w:t>
      </w:r>
      <w:r>
        <w:rPr>
          <w:rFonts w:ascii="Segoe UI" w:hAnsi="Segoe UI"/>
          <w:color w:val="212529"/>
          <w:sz w:val="20"/>
        </w:rPr>
        <w:t xml:space="preserve"> Offloading video streams to cloud analytics introduces substantial transmission latency (200-800+ ms), consumes critical network bandwidth, and fails when Internet connectivity drops.</w:t>
      </w:r>
    </w:p>
    <w:p>
      <w:pPr>
        <w:pStyle w:val="ListBullet"/>
        <w:spacing w:before="0" w:after="60"/>
      </w:pPr>
      <w:r>
        <w:rPr>
          <w:rFonts w:ascii="Segoe UI" w:hAnsi="Segoe UI"/>
          <w:b/>
          <w:color w:val="0B2545"/>
          <w:sz w:val="20"/>
        </w:rPr>
        <w:t>Severe Biometric &amp; Privacy Exposure:</w:t>
      </w:r>
      <w:r>
        <w:rPr>
          <w:rFonts w:ascii="Segoe UI" w:hAnsi="Segoe UI"/>
          <w:color w:val="212529"/>
          <w:sz w:val="20"/>
        </w:rPr>
        <w:t xml:space="preserve"> Transmitting unencrypted visual feeds of athletes or public spaces to remote datacenters creates catastrophic risks of biometric data theft, facial surveillance abuses, and non-consensual tracking.</w:t>
      </w:r>
    </w:p>
    <w:p>
      <w:pPr>
        <w:pStyle w:val="ListBullet"/>
        <w:spacing w:before="0" w:after="60"/>
      </w:pPr>
      <w:r>
        <w:rPr>
          <w:rFonts w:ascii="Segoe UI" w:hAnsi="Segoe UI"/>
          <w:b/>
          <w:color w:val="0B2545"/>
          <w:sz w:val="20"/>
        </w:rPr>
        <w:t>Opaque Black-Box Classifications:</w:t>
      </w:r>
      <w:r>
        <w:rPr>
          <w:rFonts w:ascii="Segoe UI" w:hAnsi="Segoe UI"/>
          <w:color w:val="212529"/>
          <w:sz w:val="20"/>
        </w:rPr>
        <w:t xml:space="preserve"> End-to-end deep video classifiers output opaque probability vectors without explaining which joint, limb velocity, or physical movement triggered the classification.</w:t>
      </w:r>
    </w:p>
    <w:p>
      <w:pPr>
        <w:keepNext/>
        <w:spacing w:before="280" w:after="80"/>
      </w:pPr>
      <w:r>
        <w:rPr>
          <w:rFonts w:ascii="Segoe UI" w:hAnsi="Segoe UI"/>
          <w:b/>
          <w:color w:val="0B2545"/>
          <w:sz w:val="26"/>
        </w:rPr>
        <w:t>3. Proposed Solution</w:t>
      </w:r>
    </w:p>
    <w:p>
      <w:pPr>
        <w:spacing w:before="0" w:after="120"/>
      </w:pPr>
      <w:r>
        <w:rPr>
          <w:rFonts w:ascii="Segoe UI" w:hAnsi="Segoe UI"/>
          <w:color w:val="212529"/>
          <w:sz w:val="20"/>
        </w:rPr>
        <w:t>Aegis addresses these core vulnerabilities through a four-pillar edge architecture:</w:t>
      </w:r>
    </w:p>
    <w:p>
      <w:pPr>
        <w:pStyle w:val="ListBullet"/>
        <w:spacing w:before="0" w:after="60"/>
      </w:pPr>
      <w:r>
        <w:rPr>
          <w:rFonts w:ascii="Segoe UI" w:hAnsi="Segoe UI"/>
          <w:b/>
          <w:color w:val="0B2545"/>
          <w:sz w:val="20"/>
        </w:rPr>
        <w:t>100% On-Device Processing:</w:t>
      </w:r>
      <w:r>
        <w:rPr>
          <w:rFonts w:ascii="Segoe UI" w:hAnsi="Segoe UI"/>
          <w:color w:val="212529"/>
          <w:sz w:val="20"/>
        </w:rPr>
        <w:t xml:space="preserve"> Ingests camera streams into volatile RAM, calculates joint coordinates, and immediately overwrites frame buffers. No video is uploaded to cloud endpoints.</w:t>
      </w:r>
    </w:p>
    <w:p>
      <w:pPr>
        <w:pStyle w:val="ListBullet"/>
        <w:spacing w:before="0" w:after="60"/>
      </w:pPr>
      <w:r>
        <w:rPr>
          <w:rFonts w:ascii="Segoe UI" w:hAnsi="Segoe UI"/>
          <w:b/>
          <w:color w:val="0B2545"/>
          <w:sz w:val="20"/>
        </w:rPr>
        <w:t>Biometric Anonymity:</w:t>
      </w:r>
      <w:r>
        <w:rPr>
          <w:rFonts w:ascii="Segoe UI" w:hAnsi="Segoe UI"/>
          <w:color w:val="212529"/>
          <w:sz w:val="20"/>
        </w:rPr>
        <w:t xml:space="preserve"> Completely abstracts human subjects into 9 skeletal joint coordinates (nose, shoulders, wrists, hips, ankles), stripping clothing, ethnicity, and identity. Aegis does not perform face recognition, face identification, facial embeddings or biometric identity tracking. One coarse nose keypoint is used only for pose geometry.</w:t>
      </w:r>
    </w:p>
    <w:p>
      <w:pPr>
        <w:pStyle w:val="ListBullet"/>
        <w:spacing w:before="0" w:after="60"/>
      </w:pPr>
      <w:r>
        <w:rPr>
          <w:rFonts w:ascii="Segoe UI" w:hAnsi="Segoe UI"/>
          <w:b/>
          <w:color w:val="0B2545"/>
          <w:sz w:val="20"/>
        </w:rPr>
        <w:t>Explainable Temporal Logic:</w:t>
      </w:r>
      <w:r>
        <w:rPr>
          <w:rFonts w:ascii="Segoe UI" w:hAnsi="Segoe UI"/>
          <w:color w:val="212529"/>
          <w:sz w:val="20"/>
        </w:rPr>
        <w:t xml:space="preserve"> Evaluates physical kinematics (limb reach multiples, angular velocities, torso ratios) over a 12-frame sliding window, producing human-verifiable evidence strings.</w:t>
      </w:r>
    </w:p>
    <w:p>
      <w:pPr>
        <w:pStyle w:val="ListBullet"/>
        <w:spacing w:before="0" w:after="60"/>
      </w:pPr>
      <w:r>
        <w:rPr>
          <w:rFonts w:ascii="Segoe UI" w:hAnsi="Segoe UI"/>
          <w:b/>
          <w:color w:val="0B2545"/>
          <w:sz w:val="20"/>
        </w:rPr>
        <w:t>AEGIS CORE Telemetry:</w:t>
      </w:r>
      <w:r>
        <w:rPr>
          <w:rFonts w:ascii="Segoe UI" w:hAnsi="Segoe UI"/>
          <w:color w:val="212529"/>
          <w:sz w:val="20"/>
        </w:rPr>
        <w:t xml:space="preserve"> Renders a high-contrast 960x540 heads-up display with live FPS, inference latency, threat gauges, and optional deduplicated local incident logging.</w:t>
      </w:r>
    </w:p>
    <w:p>
      <w:pPr>
        <w:spacing w:before="160" w:after="40"/>
        <w:jc w:val="center"/>
      </w:pP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egis-core-dashboard.png"/>
                    <pic:cNvPicPr/>
                  </pic:nvPicPr>
                  <pic:blipFill>
                    <a:blip r:embed="rId9"/>
                    <a:stretch>
                      <a:fillRect/>
                    </a:stretch>
                  </pic:blipFill>
                  <pic:spPr>
                    <a:xfrm>
                      <a:off x="0" y="0"/>
                      <a:ext cx="5669280" cy="3188970"/>
                    </a:xfrm>
                    <a:prstGeom prst="rect"/>
                  </pic:spPr>
                </pic:pic>
              </a:graphicData>
            </a:graphic>
          </wp:inline>
        </w:drawing>
      </w:r>
    </w:p>
    <w:p>
      <w:pPr>
        <w:spacing w:after="200"/>
        <w:jc w:val="center"/>
      </w:pPr>
      <w:r>
        <w:rPr>
          <w:rFonts w:ascii="Segoe UI" w:hAnsi="Segoe UI"/>
          <w:i/>
          <w:color w:val="6C757D"/>
          <w:sz w:val="17"/>
        </w:rPr>
        <w:t>Figure 1: AEGIS CORE live heads-up display operating at 960x540 with synthetic martial arts pose telemetry.</w:t>
      </w:r>
    </w:p>
    <w:p>
      <w:pPr>
        <w:keepNext/>
        <w:spacing w:before="280" w:after="80"/>
      </w:pPr>
      <w:r>
        <w:rPr>
          <w:rFonts w:ascii="Segoe UI" w:hAnsi="Segoe UI"/>
          <w:b/>
          <w:color w:val="0B2545"/>
          <w:sz w:val="26"/>
        </w:rPr>
        <w:t>4. Target Users and Use Cases</w:t>
      </w:r>
    </w:p>
    <w:p>
      <w:pPr>
        <w:pStyle w:val="ListBullet"/>
        <w:spacing w:before="0" w:after="60"/>
      </w:pPr>
      <w:r>
        <w:rPr>
          <w:rFonts w:ascii="Segoe UI" w:hAnsi="Segoe UI"/>
          <w:b/>
          <w:color w:val="0B2545"/>
          <w:sz w:val="20"/>
        </w:rPr>
        <w:t>Athletic &amp; Combat Sports Coaching:</w:t>
      </w:r>
      <w:r>
        <w:rPr>
          <w:rFonts w:ascii="Segoe UI" w:hAnsi="Segoe UI"/>
          <w:color w:val="212529"/>
          <w:sz w:val="20"/>
        </w:rPr>
        <w:t xml:space="preserve"> Quantitative velocity, extension reach, and guard recovery metrics for boxing, karate, and mixed martial arts training without bulky wearable sensors.</w:t>
      </w:r>
    </w:p>
    <w:p>
      <w:pPr>
        <w:pStyle w:val="ListBullet"/>
        <w:spacing w:before="0" w:after="60"/>
      </w:pPr>
      <w:r>
        <w:rPr>
          <w:rFonts w:ascii="Segoe UI" w:hAnsi="Segoe UI"/>
          <w:b/>
          <w:color w:val="0B2545"/>
          <w:sz w:val="20"/>
        </w:rPr>
        <w:t>Supervised Facility Safety:</w:t>
      </w:r>
      <w:r>
        <w:rPr>
          <w:rFonts w:ascii="Segoe UI" w:hAnsi="Segoe UI"/>
          <w:color w:val="212529"/>
          <w:sz w:val="20"/>
        </w:rPr>
        <w:t xml:space="preserve"> Real-time awareness for facility supervisors monitoring wrestling mats, gymnastics arenas, and athletic centers to detect sudden falls or physical distress.</w:t>
      </w:r>
    </w:p>
    <w:p>
      <w:pPr>
        <w:pStyle w:val="ListBullet"/>
        <w:spacing w:before="0" w:after="60"/>
      </w:pPr>
      <w:r>
        <w:rPr>
          <w:rFonts w:ascii="Segoe UI" w:hAnsi="Segoe UI"/>
          <w:b/>
          <w:color w:val="0B2545"/>
          <w:sz w:val="20"/>
        </w:rPr>
        <w:t>Edge AI &amp; NPU Research:</w:t>
      </w:r>
      <w:r>
        <w:rPr>
          <w:rFonts w:ascii="Segoe UI" w:hAnsi="Segoe UI"/>
          <w:color w:val="212529"/>
          <w:sz w:val="20"/>
        </w:rPr>
        <w:t xml:space="preserve"> Demonstrating how Qualcomm Snapdragon Hexagon NPUs can offload computer vision pipelines on battery-constrained laptops without sacrificing privacy.</w:t>
      </w:r>
    </w:p>
    <w:p>
      <w:pPr>
        <w:keepNext/>
        <w:spacing w:before="280" w:after="80"/>
      </w:pPr>
      <w:r>
        <w:rPr>
          <w:rFonts w:ascii="Segoe UI" w:hAnsi="Segoe UI"/>
          <w:b/>
          <w:color w:val="0B2545"/>
          <w:sz w:val="26"/>
        </w:rPr>
        <w:t>5. System Architecture &amp; Technical Implementation</w:t>
      </w:r>
    </w:p>
    <w:p>
      <w:pPr>
        <w:spacing w:before="0" w:after="120"/>
      </w:pPr>
      <w:r>
        <w:rPr>
          <w:rFonts w:ascii="Segoe UI" w:hAnsi="Segoe UI"/>
          <w:color w:val="212529"/>
          <w:sz w:val="20"/>
        </w:rPr>
        <w:t>Aegis is constructed from decoupled, modular subsystems ensuring clean testability, zero global state, and straightforward hardware acceleration migration:</w:t>
      </w:r>
    </w:p>
    <w:p>
      <w:pPr>
        <w:pStyle w:val="ListBullet"/>
        <w:spacing w:before="0" w:after="60"/>
      </w:pPr>
      <w:r>
        <w:rPr>
          <w:rFonts w:ascii="Segoe UI" w:hAnsi="Segoe UI"/>
          <w:b/>
          <w:color w:val="0B2545"/>
          <w:sz w:val="20"/>
        </w:rPr>
        <w:t>Frame Ingestion &amp; Preprocessing:</w:t>
      </w:r>
      <w:r>
        <w:rPr>
          <w:rFonts w:ascii="Segoe UI" w:hAnsi="Segoe UI"/>
          <w:color w:val="212529"/>
          <w:sz w:val="20"/>
        </w:rPr>
        <w:t xml:space="preserve"> Ingests live webcam feeds or pre-recorded clips via OpenCV, downsampling to 960x540 for optimal balance between landmark resolution and display latency.</w:t>
      </w:r>
    </w:p>
    <w:p>
      <w:pPr>
        <w:pStyle w:val="ListBullet"/>
        <w:spacing w:before="0" w:after="60"/>
      </w:pPr>
      <w:r>
        <w:rPr>
          <w:rFonts w:ascii="Segoe UI" w:hAnsi="Segoe UI"/>
          <w:b/>
          <w:color w:val="0B2545"/>
          <w:sz w:val="20"/>
        </w:rPr>
        <w:t>Pose Estimation Engine (MediaPipe CPU):</w:t>
      </w:r>
      <w:r>
        <w:rPr>
          <w:rFonts w:ascii="Segoe UI" w:hAnsi="Segoe UI"/>
          <w:color w:val="212529"/>
          <w:sz w:val="20"/>
        </w:rPr>
        <w:t xml:space="preserve"> Extracts 9 primary joint landmarks with individual visibility confidence gating (&gt;0.40) to prevent erroneous tracking under limb occlusion.</w:t>
      </w:r>
    </w:p>
    <w:p>
      <w:pPr>
        <w:pStyle w:val="ListBullet"/>
        <w:spacing w:before="0" w:after="60"/>
      </w:pPr>
      <w:r>
        <w:rPr>
          <w:rFonts w:ascii="Segoe UI" w:hAnsi="Segoe UI"/>
          <w:b/>
          <w:color w:val="0B2545"/>
          <w:sz w:val="20"/>
        </w:rPr>
        <w:t>Temporal Feature Window:</w:t>
      </w:r>
      <w:r>
        <w:rPr>
          <w:rFonts w:ascii="Segoe UI" w:hAnsi="Segoe UI"/>
          <w:color w:val="212529"/>
          <w:sz w:val="20"/>
        </w:rPr>
        <w:t xml:space="preserve"> Maintains a deque of recent poses (12 frames) to calculate velocity, body scale expansion, and positional differentials.</w:t>
      </w:r>
    </w:p>
    <w:p>
      <w:pPr>
        <w:pStyle w:val="ListBullet"/>
        <w:spacing w:before="0" w:after="60"/>
      </w:pPr>
      <w:r>
        <w:rPr>
          <w:rFonts w:ascii="Segoe UI" w:hAnsi="Segoe UI"/>
          <w:b/>
          <w:color w:val="0B2545"/>
          <w:sz w:val="20"/>
        </w:rPr>
        <w:t>Kinematic Pattern Engine:</w:t>
      </w:r>
      <w:r>
        <w:rPr>
          <w:rFonts w:ascii="Segoe UI" w:hAnsi="Segoe UI"/>
          <w:color w:val="212529"/>
          <w:sz w:val="20"/>
        </w:rPr>
        <w:t xml:space="preserve"> Evaluates joint geometry against validated biomechanical thresholds with strict priority hierarchy (Fall &gt; Punch &gt; Kick &gt; Approach &gt; Guard &gt; Neutral).</w:t>
      </w:r>
    </w:p>
    <w:p>
      <w:pPr>
        <w:pStyle w:val="ListBullet"/>
        <w:spacing w:before="0" w:after="60"/>
      </w:pPr>
      <w:r>
        <w:rPr>
          <w:rFonts w:ascii="Segoe UI" w:hAnsi="Segoe UI"/>
          <w:b/>
          <w:color w:val="0B2545"/>
          <w:sz w:val="20"/>
        </w:rPr>
        <w:t>Threat Fusion Engine:</w:t>
      </w:r>
      <w:r>
        <w:rPr>
          <w:rFonts w:ascii="Segoe UI" w:hAnsi="Segoe UI"/>
          <w:color w:val="212529"/>
          <w:sz w:val="20"/>
        </w:rPr>
        <w:t xml:space="preserve"> Aggregates confidence and threat weights into a unified [0.0, 1.0] scale, mapped to LOW, ELEVATED, HIGH, and CRITICAL danger states.</w:t>
      </w:r>
    </w:p>
    <w:p>
      <w:pPr>
        <w:pStyle w:val="ListBullet"/>
        <w:spacing w:before="0" w:after="60"/>
      </w:pPr>
      <w:r>
        <w:rPr>
          <w:rFonts w:ascii="Segoe UI" w:hAnsi="Segoe UI"/>
          <w:b/>
          <w:color w:val="0B2545"/>
          <w:sz w:val="20"/>
        </w:rPr>
        <w:t>AEGIS CORE UI &amp; Incident Tracker:</w:t>
      </w:r>
      <w:r>
        <w:rPr>
          <w:rFonts w:ascii="Segoe UI" w:hAnsi="Segoe UI"/>
          <w:color w:val="212529"/>
          <w:sz w:val="20"/>
        </w:rPr>
        <w:t xml:space="preserve"> Renders custom anti-aliased HUD panels, threat gauges, and timelines. Manages local JSONL incident logging with state-driven threat re-arming.</w:t>
      </w:r>
    </w:p>
    <w:p>
      <w:pPr>
        <w:keepNext/>
        <w:spacing w:before="280" w:after="80"/>
      </w:pPr>
      <w:r>
        <w:rPr>
          <w:rFonts w:ascii="Segoe UI" w:hAnsi="Segoe UI"/>
          <w:b/>
          <w:color w:val="0B2545"/>
          <w:sz w:val="26"/>
        </w:rPr>
        <w:t>6. Pattern-Detection Methodology</w:t>
      </w:r>
    </w:p>
    <w:p>
      <w:pPr>
        <w:spacing w:before="0" w:after="120"/>
      </w:pPr>
      <w:r>
        <w:rPr>
          <w:rFonts w:ascii="Segoe UI" w:hAnsi="Segoe UI"/>
          <w:color w:val="212529"/>
          <w:sz w:val="20"/>
        </w:rPr>
        <w:t>The pattern recognition engine evaluates six distinct movement classes deterministically:</w:t>
      </w:r>
    </w:p>
    <w:tbl>
      <w:tblPr>
        <w:tblW w:type="auto" w:w="0"/>
        <w:jc w:val="center"/>
        <w:tblLook w:firstColumn="1" w:firstRow="1" w:lastColumn="0" w:lastRow="0" w:noHBand="0" w:noVBand="1" w:val="04A0"/>
      </w:tblPr>
      <w:tblGrid>
        <w:gridCol w:w="2520"/>
        <w:gridCol w:w="2520"/>
        <w:gridCol w:w="2520"/>
        <w:gridCol w:w="2520"/>
      </w:tblGrid>
      <w:tr>
        <w:tc>
          <w:tcPr>
            <w:tcW w:type="dxa" w:w="2520"/>
            <w:shd w:fill="0B2545"/>
          </w:tcPr>
          <w:p>
            <w:r>
              <w:rPr>
                <w:b/>
                <w:color w:val="FFFFFF"/>
                <w:sz w:val="18"/>
              </w:rPr>
              <w:t>Pattern</w:t>
            </w:r>
          </w:p>
        </w:tc>
        <w:tc>
          <w:tcPr>
            <w:tcW w:type="dxa" w:w="2520"/>
            <w:shd w:fill="0B2545"/>
          </w:tcPr>
          <w:p>
            <w:r>
              <w:rPr>
                <w:b/>
                <w:color w:val="FFFFFF"/>
                <w:sz w:val="18"/>
              </w:rPr>
              <w:t>Kinematic Criteria</w:t>
            </w:r>
          </w:p>
        </w:tc>
        <w:tc>
          <w:tcPr>
            <w:tcW w:type="dxa" w:w="2520"/>
            <w:shd w:fill="0B2545"/>
          </w:tcPr>
          <w:p>
            <w:r>
              <w:rPr>
                <w:b/>
                <w:color w:val="FFFFFF"/>
                <w:sz w:val="18"/>
              </w:rPr>
              <w:t>Threat</w:t>
            </w:r>
          </w:p>
        </w:tc>
        <w:tc>
          <w:tcPr>
            <w:tcW w:type="dxa" w:w="2520"/>
            <w:shd w:fill="0B2545"/>
          </w:tcPr>
          <w:p>
            <w:r>
              <w:rPr>
                <w:b/>
                <w:color w:val="FFFFFF"/>
                <w:sz w:val="18"/>
              </w:rPr>
              <w:t>Sample Rationale</w:t>
            </w:r>
          </w:p>
        </w:tc>
      </w:tr>
      <w:tr>
        <w:tc>
          <w:tcPr>
            <w:tcW w:type="dxa" w:w="2520"/>
            <w:shd w:fill="F9FAFC"/>
            <w:tcMar>
              <w:top w:w="60" w:type="dxa"/>
              <w:bottom w:w="60" w:type="dxa"/>
              <w:left w:w="80" w:type="dxa"/>
              <w:right w:w="80" w:type="dxa"/>
            </w:tcMar>
          </w:tcPr>
          <w:p>
            <w:pPr>
              <w:spacing w:after="0"/>
            </w:pPr>
            <w:r>
              <w:rPr>
                <w:color w:val="212529"/>
                <w:sz w:val="17"/>
              </w:rPr>
              <w:t>Neutral</w:t>
            </w:r>
          </w:p>
        </w:tc>
        <w:tc>
          <w:tcPr>
            <w:tcW w:type="dxa" w:w="2520"/>
            <w:shd w:fill="F9FAFC"/>
            <w:tcMar>
              <w:top w:w="60" w:type="dxa"/>
              <w:bottom w:w="60" w:type="dxa"/>
              <w:left w:w="80" w:type="dxa"/>
              <w:right w:w="80" w:type="dxa"/>
            </w:tcMar>
          </w:tcPr>
          <w:p>
            <w:pPr>
              <w:spacing w:after="0"/>
            </w:pPr>
            <w:r>
              <w:rPr>
                <w:color w:val="212529"/>
                <w:sz w:val="17"/>
              </w:rPr>
              <w:t>Upright torso, limbs in equilibrium</w:t>
            </w:r>
          </w:p>
        </w:tc>
        <w:tc>
          <w:tcPr>
            <w:tcW w:type="dxa" w:w="2520"/>
            <w:shd w:fill="F9FAFC"/>
            <w:tcMar>
              <w:top w:w="60" w:type="dxa"/>
              <w:bottom w:w="60" w:type="dxa"/>
              <w:left w:w="80" w:type="dxa"/>
              <w:right w:w="80" w:type="dxa"/>
            </w:tcMar>
          </w:tcPr>
          <w:p>
            <w:pPr>
              <w:spacing w:after="0"/>
            </w:pPr>
            <w:r>
              <w:rPr>
                <w:color w:val="212529"/>
                <w:sz w:val="17"/>
              </w:rPr>
              <w:t>0.05</w:t>
            </w:r>
          </w:p>
        </w:tc>
        <w:tc>
          <w:tcPr>
            <w:tcW w:type="dxa" w:w="2520"/>
            <w:shd w:fill="F9FAFC"/>
            <w:tcMar>
              <w:top w:w="60" w:type="dxa"/>
              <w:bottom w:w="60" w:type="dxa"/>
              <w:left w:w="80" w:type="dxa"/>
              <w:right w:w="80" w:type="dxa"/>
            </w:tcMar>
          </w:tcPr>
          <w:p>
            <w:pPr>
              <w:spacing w:after="0"/>
            </w:pPr>
            <w:r>
              <w:rPr>
                <w:color w:val="212529"/>
                <w:sz w:val="17"/>
              </w:rPr>
              <w:t>No risk-pattern threshold crossed</w:t>
            </w:r>
          </w:p>
        </w:tc>
      </w:tr>
      <w:tr>
        <w:tc>
          <w:tcPr>
            <w:tcW w:type="dxa" w:w="2520"/>
            <w:shd w:fill="FFFFFF"/>
            <w:tcMar>
              <w:top w:w="60" w:type="dxa"/>
              <w:bottom w:w="60" w:type="dxa"/>
              <w:left w:w="80" w:type="dxa"/>
              <w:right w:w="80" w:type="dxa"/>
            </w:tcMar>
          </w:tcPr>
          <w:p>
            <w:pPr>
              <w:spacing w:after="0"/>
            </w:pPr>
            <w:r>
              <w:rPr>
                <w:color w:val="212529"/>
                <w:sz w:val="17"/>
              </w:rPr>
              <w:t>Guard</w:t>
            </w:r>
          </w:p>
        </w:tc>
        <w:tc>
          <w:tcPr>
            <w:tcW w:type="dxa" w:w="2520"/>
            <w:shd w:fill="FFFFFF"/>
            <w:tcMar>
              <w:top w:w="60" w:type="dxa"/>
              <w:bottom w:w="60" w:type="dxa"/>
              <w:left w:w="80" w:type="dxa"/>
              <w:right w:w="80" w:type="dxa"/>
            </w:tcMar>
          </w:tcPr>
          <w:p>
            <w:pPr>
              <w:spacing w:after="0"/>
            </w:pPr>
            <w:r>
              <w:rPr>
                <w:color w:val="212529"/>
                <w:sz w:val="17"/>
              </w:rPr>
              <w:t>Wrists within 1.30x shoulder width of nose</w:t>
            </w:r>
          </w:p>
        </w:tc>
        <w:tc>
          <w:tcPr>
            <w:tcW w:type="dxa" w:w="2520"/>
            <w:shd w:fill="FFFFFF"/>
            <w:tcMar>
              <w:top w:w="60" w:type="dxa"/>
              <w:bottom w:w="60" w:type="dxa"/>
              <w:left w:w="80" w:type="dxa"/>
              <w:right w:w="80" w:type="dxa"/>
            </w:tcMar>
          </w:tcPr>
          <w:p>
            <w:pPr>
              <w:spacing w:after="0"/>
            </w:pPr>
            <w:r>
              <w:rPr>
                <w:color w:val="212529"/>
                <w:sz w:val="17"/>
              </w:rPr>
              <w:t>0.30</w:t>
            </w:r>
          </w:p>
        </w:tc>
        <w:tc>
          <w:tcPr>
            <w:tcW w:type="dxa" w:w="2520"/>
            <w:shd w:fill="FFFFFF"/>
            <w:tcMar>
              <w:top w:w="60" w:type="dxa"/>
              <w:bottom w:w="60" w:type="dxa"/>
              <w:left w:w="80" w:type="dxa"/>
              <w:right w:w="80" w:type="dxa"/>
            </w:tcMar>
          </w:tcPr>
          <w:p>
            <w:pPr>
              <w:spacing w:after="0"/>
            </w:pPr>
            <w:r>
              <w:rPr>
                <w:color w:val="212529"/>
                <w:sz w:val="17"/>
              </w:rPr>
              <w:t>Both hands raised near face</w:t>
            </w:r>
          </w:p>
        </w:tc>
      </w:tr>
      <w:tr>
        <w:tc>
          <w:tcPr>
            <w:tcW w:type="dxa" w:w="2520"/>
            <w:shd w:fill="F9FAFC"/>
            <w:tcMar>
              <w:top w:w="60" w:type="dxa"/>
              <w:bottom w:w="60" w:type="dxa"/>
              <w:left w:w="80" w:type="dxa"/>
              <w:right w:w="80" w:type="dxa"/>
            </w:tcMar>
          </w:tcPr>
          <w:p>
            <w:pPr>
              <w:spacing w:after="0"/>
            </w:pPr>
            <w:r>
              <w:rPr>
                <w:color w:val="212529"/>
                <w:sz w:val="17"/>
              </w:rPr>
              <w:t>Punch-like Extension</w:t>
            </w:r>
          </w:p>
        </w:tc>
        <w:tc>
          <w:tcPr>
            <w:tcW w:type="dxa" w:w="2520"/>
            <w:shd w:fill="F9FAFC"/>
            <w:tcMar>
              <w:top w:w="60" w:type="dxa"/>
              <w:bottom w:w="60" w:type="dxa"/>
              <w:left w:w="80" w:type="dxa"/>
              <w:right w:w="80" w:type="dxa"/>
            </w:tcMar>
          </w:tcPr>
          <w:p>
            <w:pPr>
              <w:spacing w:after="0"/>
            </w:pPr>
            <w:r>
              <w:rPr>
                <w:color w:val="212529"/>
                <w:sz w:val="17"/>
              </w:rPr>
              <w:t>Arm reach &gt; 1.45x shoulder width, speed &gt; 0.90/s</w:t>
            </w:r>
          </w:p>
        </w:tc>
        <w:tc>
          <w:tcPr>
            <w:tcW w:type="dxa" w:w="2520"/>
            <w:shd w:fill="F9FAFC"/>
            <w:tcMar>
              <w:top w:w="60" w:type="dxa"/>
              <w:bottom w:w="60" w:type="dxa"/>
              <w:left w:w="80" w:type="dxa"/>
              <w:right w:w="80" w:type="dxa"/>
            </w:tcMar>
          </w:tcPr>
          <w:p>
            <w:pPr>
              <w:spacing w:after="0"/>
            </w:pPr>
            <w:r>
              <w:rPr>
                <w:color w:val="212529"/>
                <w:sz w:val="17"/>
              </w:rPr>
              <w:t>0.88</w:t>
            </w:r>
          </w:p>
        </w:tc>
        <w:tc>
          <w:tcPr>
            <w:tcW w:type="dxa" w:w="2520"/>
            <w:shd w:fill="F9FAFC"/>
            <w:tcMar>
              <w:top w:w="60" w:type="dxa"/>
              <w:bottom w:w="60" w:type="dxa"/>
              <w:left w:w="80" w:type="dxa"/>
              <w:right w:w="80" w:type="dxa"/>
            </w:tcMar>
          </w:tcPr>
          <w:p>
            <w:pPr>
              <w:spacing w:after="0"/>
            </w:pPr>
            <w:r>
              <w:rPr>
                <w:color w:val="212529"/>
                <w:sz w:val="17"/>
              </w:rPr>
              <w:t>Right arm rapidly extended (reach 1.65x)</w:t>
            </w:r>
          </w:p>
        </w:tc>
      </w:tr>
      <w:tr>
        <w:tc>
          <w:tcPr>
            <w:tcW w:type="dxa" w:w="2520"/>
            <w:shd w:fill="FFFFFF"/>
            <w:tcMar>
              <w:top w:w="60" w:type="dxa"/>
              <w:bottom w:w="60" w:type="dxa"/>
              <w:left w:w="80" w:type="dxa"/>
              <w:right w:w="80" w:type="dxa"/>
            </w:tcMar>
          </w:tcPr>
          <w:p>
            <w:pPr>
              <w:spacing w:after="0"/>
            </w:pPr>
            <w:r>
              <w:rPr>
                <w:color w:val="212529"/>
                <w:sz w:val="17"/>
              </w:rPr>
              <w:t>Kick-like Extension</w:t>
            </w:r>
          </w:p>
        </w:tc>
        <w:tc>
          <w:tcPr>
            <w:tcW w:type="dxa" w:w="2520"/>
            <w:shd w:fill="FFFFFF"/>
            <w:tcMar>
              <w:top w:w="60" w:type="dxa"/>
              <w:bottom w:w="60" w:type="dxa"/>
              <w:left w:w="80" w:type="dxa"/>
              <w:right w:w="80" w:type="dxa"/>
            </w:tcMar>
          </w:tcPr>
          <w:p>
            <w:pPr>
              <w:spacing w:after="0"/>
            </w:pPr>
            <w:r>
              <w:rPr>
                <w:color w:val="212529"/>
                <w:sz w:val="17"/>
              </w:rPr>
              <w:t>Ankle reach &gt; 1.35x, speed &gt; 0.65/s, elevated</w:t>
            </w:r>
          </w:p>
        </w:tc>
        <w:tc>
          <w:tcPr>
            <w:tcW w:type="dxa" w:w="2520"/>
            <w:shd w:fill="FFFFFF"/>
            <w:tcMar>
              <w:top w:w="60" w:type="dxa"/>
              <w:bottom w:w="60" w:type="dxa"/>
              <w:left w:w="80" w:type="dxa"/>
              <w:right w:w="80" w:type="dxa"/>
            </w:tcMar>
          </w:tcPr>
          <w:p>
            <w:pPr>
              <w:spacing w:after="0"/>
            </w:pPr>
            <w:r>
              <w:rPr>
                <w:color w:val="212529"/>
                <w:sz w:val="17"/>
              </w:rPr>
              <w:t>0.90</w:t>
            </w:r>
          </w:p>
        </w:tc>
        <w:tc>
          <w:tcPr>
            <w:tcW w:type="dxa" w:w="2520"/>
            <w:shd w:fill="FFFFFF"/>
            <w:tcMar>
              <w:top w:w="60" w:type="dxa"/>
              <w:bottom w:w="60" w:type="dxa"/>
              <w:left w:w="80" w:type="dxa"/>
              <w:right w:w="80" w:type="dxa"/>
            </w:tcMar>
          </w:tcPr>
          <w:p>
            <w:pPr>
              <w:spacing w:after="0"/>
            </w:pPr>
            <w:r>
              <w:rPr>
                <w:color w:val="212529"/>
                <w:sz w:val="17"/>
              </w:rPr>
              <w:t>Right leg extended, ankle elevated</w:t>
            </w:r>
          </w:p>
        </w:tc>
      </w:tr>
      <w:tr>
        <w:tc>
          <w:tcPr>
            <w:tcW w:type="dxa" w:w="2520"/>
            <w:shd w:fill="F9FAFC"/>
            <w:tcMar>
              <w:top w:w="60" w:type="dxa"/>
              <w:bottom w:w="60" w:type="dxa"/>
              <w:left w:w="80" w:type="dxa"/>
              <w:right w:w="80" w:type="dxa"/>
            </w:tcMar>
          </w:tcPr>
          <w:p>
            <w:pPr>
              <w:spacing w:after="0"/>
            </w:pPr>
            <w:r>
              <w:rPr>
                <w:color w:val="212529"/>
                <w:sz w:val="17"/>
              </w:rPr>
              <w:t>Rapid Approach</w:t>
            </w:r>
          </w:p>
        </w:tc>
        <w:tc>
          <w:tcPr>
            <w:tcW w:type="dxa" w:w="2520"/>
            <w:shd w:fill="F9FAFC"/>
            <w:tcMar>
              <w:top w:w="60" w:type="dxa"/>
              <w:bottom w:w="60" w:type="dxa"/>
              <w:left w:w="80" w:type="dxa"/>
              <w:right w:w="80" w:type="dxa"/>
            </w:tcMar>
          </w:tcPr>
          <w:p>
            <w:pPr>
              <w:spacing w:after="0"/>
            </w:pPr>
            <w:r>
              <w:rPr>
                <w:color w:val="212529"/>
                <w:sz w:val="17"/>
              </w:rPr>
              <w:t>Torso scale growth &gt; 6% over 3 frames, rate &gt; 0.80/s</w:t>
            </w:r>
          </w:p>
        </w:tc>
        <w:tc>
          <w:tcPr>
            <w:tcW w:type="dxa" w:w="2520"/>
            <w:shd w:fill="F9FAFC"/>
            <w:tcMar>
              <w:top w:w="60" w:type="dxa"/>
              <w:bottom w:w="60" w:type="dxa"/>
              <w:left w:w="80" w:type="dxa"/>
              <w:right w:w="80" w:type="dxa"/>
            </w:tcMar>
          </w:tcPr>
          <w:p>
            <w:pPr>
              <w:spacing w:after="0"/>
            </w:pPr>
            <w:r>
              <w:rPr>
                <w:color w:val="212529"/>
                <w:sz w:val="17"/>
              </w:rPr>
              <w:t>0.72</w:t>
            </w:r>
          </w:p>
        </w:tc>
        <w:tc>
          <w:tcPr>
            <w:tcW w:type="dxa" w:w="2520"/>
            <w:shd w:fill="F9FAFC"/>
            <w:tcMar>
              <w:top w:w="60" w:type="dxa"/>
              <w:bottom w:w="60" w:type="dxa"/>
              <w:left w:w="80" w:type="dxa"/>
              <w:right w:w="80" w:type="dxa"/>
            </w:tcMar>
          </w:tcPr>
          <w:p>
            <w:pPr>
              <w:spacing w:after="0"/>
            </w:pPr>
            <w:r>
              <w:rPr>
                <w:color w:val="212529"/>
                <w:sz w:val="17"/>
              </w:rPr>
              <w:t>Body scale increased rapidly (+12.4%)</w:t>
            </w:r>
          </w:p>
        </w:tc>
      </w:tr>
      <w:tr>
        <w:tc>
          <w:tcPr>
            <w:tcW w:type="dxa" w:w="2520"/>
            <w:shd w:fill="FFFFFF"/>
            <w:tcMar>
              <w:top w:w="60" w:type="dxa"/>
              <w:bottom w:w="60" w:type="dxa"/>
              <w:left w:w="80" w:type="dxa"/>
              <w:right w:w="80" w:type="dxa"/>
            </w:tcMar>
          </w:tcPr>
          <w:p>
            <w:pPr>
              <w:spacing w:after="0"/>
            </w:pPr>
            <w:r>
              <w:rPr>
                <w:color w:val="212529"/>
                <w:sz w:val="17"/>
              </w:rPr>
              <w:t>Fall-like Posture</w:t>
            </w:r>
          </w:p>
        </w:tc>
        <w:tc>
          <w:tcPr>
            <w:tcW w:type="dxa" w:w="2520"/>
            <w:shd w:fill="FFFFFF"/>
            <w:tcMar>
              <w:top w:w="60" w:type="dxa"/>
              <w:bottom w:w="60" w:type="dxa"/>
              <w:left w:w="80" w:type="dxa"/>
              <w:right w:w="80" w:type="dxa"/>
            </w:tcMar>
          </w:tcPr>
          <w:p>
            <w:pPr>
              <w:spacing w:after="0"/>
            </w:pPr>
            <w:r>
              <w:rPr>
                <w:color w:val="212529"/>
                <w:sz w:val="17"/>
              </w:rPr>
              <w:t>Torso horizontal/vertical ratio &gt; 1.25, compact</w:t>
            </w:r>
          </w:p>
        </w:tc>
        <w:tc>
          <w:tcPr>
            <w:tcW w:type="dxa" w:w="2520"/>
            <w:shd w:fill="FFFFFF"/>
            <w:tcMar>
              <w:top w:w="60" w:type="dxa"/>
              <w:bottom w:w="60" w:type="dxa"/>
              <w:left w:w="80" w:type="dxa"/>
              <w:right w:w="80" w:type="dxa"/>
            </w:tcMar>
          </w:tcPr>
          <w:p>
            <w:pPr>
              <w:spacing w:after="0"/>
            </w:pPr>
            <w:r>
              <w:rPr>
                <w:color w:val="212529"/>
                <w:sz w:val="17"/>
              </w:rPr>
              <w:t>0.90</w:t>
            </w:r>
          </w:p>
        </w:tc>
        <w:tc>
          <w:tcPr>
            <w:tcW w:type="dxa" w:w="2520"/>
            <w:shd w:fill="FFFFFF"/>
            <w:tcMar>
              <w:top w:w="60" w:type="dxa"/>
              <w:bottom w:w="60" w:type="dxa"/>
              <w:left w:w="80" w:type="dxa"/>
              <w:right w:w="80" w:type="dxa"/>
            </w:tcMar>
          </w:tcPr>
          <w:p>
            <w:pPr>
              <w:spacing w:after="0"/>
            </w:pPr>
            <w:r>
              <w:rPr>
                <w:color w:val="212529"/>
                <w:sz w:val="17"/>
              </w:rPr>
              <w:t>Torso horizontal ratio 1.84, vertical span low</w:t>
            </w:r>
          </w:p>
        </w:tc>
      </w:tr>
    </w:tbl>
    <w:p>
      <w:pPr>
        <w:spacing w:after="120"/>
      </w:pPr>
    </w:p>
    <w:p>
      <w:pPr>
        <w:keepNext/>
        <w:spacing w:before="280" w:after="80"/>
      </w:pPr>
      <w:r>
        <w:rPr>
          <w:rFonts w:ascii="Segoe UI" w:hAnsi="Segoe UI"/>
          <w:b/>
          <w:color w:val="0B2545"/>
          <w:sz w:val="26"/>
        </w:rPr>
        <w:t>7. Explainability &amp; Human-in-the-Loop Telemetry</w:t>
      </w:r>
    </w:p>
    <w:p>
      <w:pPr>
        <w:spacing w:before="0" w:after="120"/>
      </w:pPr>
      <w:r>
        <w:rPr>
          <w:rFonts w:ascii="Segoe UI" w:hAnsi="Segoe UI"/>
          <w:color w:val="212529"/>
          <w:sz w:val="20"/>
        </w:rPr>
        <w:t>A critical limitation of deep learning in safety-critical domains is the 'black box' problem. Aegis ensures complete interpretability: every incident record and HUD alert includes human-readable telemetry explaining exactly why the alert triggered (e.g., 'right arm reach 1.62x shoulder width, extension speed 1.15/s'). Aegis is strictly designed as an operator decision-support tool; autonomous physical locking, punitive actions, or automated enforcement are prohibited.</w:t>
      </w:r>
    </w:p>
    <w:p>
      <w:pPr>
        <w:keepNext/>
        <w:spacing w:before="280" w:after="80"/>
      </w:pPr>
      <w:r>
        <w:rPr>
          <w:rFonts w:ascii="Segoe UI" w:hAnsi="Segoe UI"/>
          <w:b/>
          <w:color w:val="0B2545"/>
          <w:sz w:val="26"/>
        </w:rPr>
        <w:t>8. Privacy &amp; Responsible-Use Safeguards</w:t>
      </w:r>
    </w:p>
    <w:p>
      <w:pPr>
        <w:pStyle w:val="ListBullet"/>
        <w:spacing w:before="0" w:after="60"/>
      </w:pPr>
      <w:r>
        <w:rPr>
          <w:rFonts w:ascii="Segoe UI" w:hAnsi="Segoe UI"/>
          <w:b/>
          <w:color w:val="0B2545"/>
          <w:sz w:val="20"/>
        </w:rPr>
        <w:t>Zero Cloud Upload:</w:t>
      </w:r>
      <w:r>
        <w:rPr>
          <w:rFonts w:ascii="Segoe UI" w:hAnsi="Segoe UI"/>
          <w:color w:val="212529"/>
          <w:sz w:val="20"/>
        </w:rPr>
        <w:t xml:space="preserve"> Video is processed in volatile memory. No raw video frames are saved to disk or transmitted across network interfaces.</w:t>
      </w:r>
    </w:p>
    <w:p>
      <w:pPr>
        <w:pStyle w:val="ListBullet"/>
        <w:spacing w:before="0" w:after="60"/>
      </w:pPr>
      <w:r>
        <w:rPr>
          <w:rFonts w:ascii="Segoe UI" w:hAnsi="Segoe UI"/>
          <w:b/>
          <w:color w:val="0B2545"/>
          <w:sz w:val="20"/>
        </w:rPr>
        <w:t>Biometric Anonymity:</w:t>
      </w:r>
      <w:r>
        <w:rPr>
          <w:rFonts w:ascii="Segoe UI" w:hAnsi="Segoe UI"/>
          <w:color w:val="212529"/>
          <w:sz w:val="20"/>
        </w:rPr>
        <w:t xml:space="preserve"> Aegis does not perform face recognition, face identification, facial embeddings or biometric identity tracking. One coarse nose keypoint is used only for pose geometry.</w:t>
      </w:r>
    </w:p>
    <w:p>
      <w:pPr>
        <w:pStyle w:val="ListBullet"/>
        <w:spacing w:before="0" w:after="60"/>
      </w:pPr>
      <w:r>
        <w:rPr>
          <w:rFonts w:ascii="Segoe UI" w:hAnsi="Segoe UI"/>
          <w:b/>
          <w:color w:val="0B2545"/>
          <w:sz w:val="20"/>
        </w:rPr>
        <w:t>Opt-In Local Logging:</w:t>
      </w:r>
      <w:r>
        <w:rPr>
          <w:rFonts w:ascii="Segoe UI" w:hAnsi="Segoe UI"/>
          <w:color w:val="212529"/>
          <w:sz w:val="20"/>
        </w:rPr>
        <w:t xml:space="preserve"> Logging occurs only when an operator explicitly toggles recording (R or Space). Log files reside locally in artifacts/.</w:t>
      </w:r>
    </w:p>
    <w:p>
      <w:pPr>
        <w:pStyle w:val="ListBullet"/>
        <w:spacing w:before="0" w:after="60"/>
      </w:pPr>
      <w:r>
        <w:rPr>
          <w:rFonts w:ascii="Segoe UI" w:hAnsi="Segoe UI"/>
          <w:b/>
          <w:color w:val="0B2545"/>
          <w:sz w:val="20"/>
        </w:rPr>
        <w:t>No Intent Inference:</w:t>
      </w:r>
      <w:r>
        <w:rPr>
          <w:rFonts w:ascii="Segoe UI" w:hAnsi="Segoe UI"/>
          <w:color w:val="212529"/>
          <w:sz w:val="20"/>
        </w:rPr>
        <w:t xml:space="preserve"> Aegis detects physical motions, not criminal intent or moral guilt. Human verification is strictly required.</w:t>
      </w:r>
    </w:p>
    <w:p>
      <w:pPr>
        <w:keepNext/>
        <w:spacing w:before="280" w:after="80"/>
      </w:pPr>
      <w:r>
        <w:rPr>
          <w:rFonts w:ascii="Segoe UI" w:hAnsi="Segoe UI"/>
          <w:b/>
          <w:color w:val="0B2545"/>
          <w:sz w:val="26"/>
        </w:rPr>
        <w:t>9. Current Verified Evidence &amp; Technical Truthfulness</w:t>
      </w:r>
    </w:p>
    <w:p>
      <w:pPr>
        <w:spacing w:before="0" w:after="120"/>
      </w:pPr>
      <w:r>
        <w:rPr>
          <w:rFonts w:ascii="Segoe UI" w:hAnsi="Segoe UI"/>
          <w:color w:val="212529"/>
          <w:sz w:val="20"/>
        </w:rPr>
        <w:t>In strict accordance with competition rules, all claims in Aegis reflect verified, reproducible execution:</w:t>
      </w:r>
    </w:p>
    <w:p>
      <w:pPr>
        <w:pStyle w:val="ListBullet"/>
        <w:spacing w:before="0" w:after="60"/>
      </w:pPr>
      <w:r>
        <w:rPr>
          <w:rFonts w:ascii="Segoe UI" w:hAnsi="Segoe UI"/>
          <w:b/>
          <w:color w:val="0B2545"/>
          <w:sz w:val="20"/>
        </w:rPr>
        <w:t>Functional Live Pipeline:</w:t>
      </w:r>
      <w:r>
        <w:rPr>
          <w:rFonts w:ascii="Segoe UI" w:hAnsi="Segoe UI"/>
          <w:color w:val="212529"/>
          <w:sz w:val="20"/>
        </w:rPr>
        <w:t xml:space="preserve"> Fully operational video capture, landmark ingestion, and 960x540 display rendering.</w:t>
      </w:r>
    </w:p>
    <w:p>
      <w:pPr>
        <w:pStyle w:val="ListBullet"/>
        <w:spacing w:before="0" w:after="60"/>
      </w:pPr>
      <w:r>
        <w:rPr>
          <w:rFonts w:ascii="Segoe UI" w:hAnsi="Segoe UI"/>
          <w:b/>
          <w:color w:val="0B2545"/>
          <w:sz w:val="20"/>
        </w:rPr>
        <w:t>Automated Test Suite:</w:t>
      </w:r>
      <w:r>
        <w:rPr>
          <w:rFonts w:ascii="Segoe UI" w:hAnsi="Segoe UI"/>
          <w:color w:val="212529"/>
          <w:sz w:val="20"/>
        </w:rPr>
        <w:t xml:space="preserve"> 17 deterministic unit tests passing in pytest (covering neutral, strikes, guard, falls, approach, jitter rejection, boundaries, deduplication, and provider reporting).</w:t>
      </w:r>
    </w:p>
    <w:p>
      <w:pPr>
        <w:pStyle w:val="ListBullet"/>
        <w:spacing w:before="0" w:after="60"/>
      </w:pPr>
      <w:r>
        <w:rPr>
          <w:rFonts w:ascii="Segoe UI" w:hAnsi="Segoe UI"/>
          <w:b/>
          <w:color w:val="0B2545"/>
          <w:sz w:val="20"/>
        </w:rPr>
        <w:t>Truthful Provider Reporting:</w:t>
      </w:r>
      <w:r>
        <w:rPr>
          <w:rFonts w:ascii="Segoe UI" w:hAnsi="Segoe UI"/>
          <w:color w:val="212529"/>
          <w:sz w:val="20"/>
        </w:rPr>
        <w:t xml:space="preserve"> MediaPipe CPU is the only currently verified active pose provider. Supplying AEGIS_MODEL_PATH does not connect model outputs to pose estimation; runtime diagnostics only verify provider availability. Genuine QNN pose execution requires an ONNX/QNN pose-estimator adapter that preprocesses frames, calls session.run(), converts outputs to normalized PoseFrame landmarks, and replaces MediaPipePoseEstimator.</w:t>
      </w:r>
    </w:p>
    <w:p>
      <w:pPr>
        <w:pStyle w:val="ListBullet"/>
        <w:spacing w:before="0" w:after="60"/>
      </w:pPr>
      <w:r>
        <w:rPr>
          <w:rFonts w:ascii="Segoe UI" w:hAnsi="Segoe UI"/>
          <w:b/>
          <w:color w:val="0B2545"/>
          <w:sz w:val="20"/>
        </w:rPr>
        <w:t>Deduplication Verification:</w:t>
      </w:r>
      <w:r>
        <w:rPr>
          <w:rFonts w:ascii="Segoe UI" w:hAnsi="Segoe UI"/>
          <w:color w:val="212529"/>
          <w:sz w:val="20"/>
        </w:rPr>
        <w:t xml:space="preserve"> Re-arming mechanism validated; prevents duplicate incident records during continuous high-threat motions.</w:t>
      </w:r>
    </w:p>
    <w:p>
      <w:pPr>
        <w:keepNext/>
        <w:spacing w:before="280" w:after="80"/>
      </w:pPr>
      <w:r>
        <w:rPr>
          <w:rFonts w:ascii="Segoe UI" w:hAnsi="Segoe UI"/>
          <w:b/>
          <w:color w:val="0B2545"/>
          <w:sz w:val="26"/>
        </w:rPr>
        <w:t>10. Snapdragon Optimization Plan &amp; Qualcomm AI Hub (Planned)</w:t>
      </w:r>
    </w:p>
    <w:p>
      <w:pPr>
        <w:spacing w:before="0" w:after="120"/>
      </w:pPr>
      <w:r>
        <w:rPr>
          <w:rFonts w:ascii="Segoe UI" w:hAnsi="Segoe UI"/>
          <w:color w:val="212529"/>
          <w:sz w:val="20"/>
        </w:rPr>
        <w:t>Aegis features a modular runtime interface designed for transition to Qualcomm Hexagon NPUs on Snapdragon-powered HP PCs. Supplying AEGIS_MODEL_PATH does not connect model outputs to pose estimation; runtime diagnostics only verify provider availability. MediaPipe CPU is the only currently verified active pose provider. The planned optimization pathway includes:</w:t>
      </w:r>
    </w:p>
    <w:p>
      <w:pPr>
        <w:pStyle w:val="ListBullet"/>
        <w:spacing w:before="0" w:after="60"/>
      </w:pPr>
      <w:r>
        <w:rPr>
          <w:rFonts w:ascii="Segoe UI" w:hAnsi="Segoe UI"/>
          <w:b/>
          <w:color w:val="0B2545"/>
          <w:sz w:val="20"/>
        </w:rPr>
        <w:t>1. Model Selection (Planned):</w:t>
      </w:r>
      <w:r>
        <w:rPr>
          <w:rFonts w:ascii="Segoe UI" w:hAnsi="Segoe UI"/>
          <w:color w:val="212529"/>
          <w:sz w:val="20"/>
        </w:rPr>
        <w:t xml:space="preserve"> Select a lightweight pose estimation network (YOLOv8n-pose or RTMPose) from the Qualcomm AI Hub catalog.</w:t>
      </w:r>
    </w:p>
    <w:p>
      <w:pPr>
        <w:pStyle w:val="ListBullet"/>
        <w:spacing w:before="0" w:after="60"/>
      </w:pPr>
      <w:r>
        <w:rPr>
          <w:rFonts w:ascii="Segoe UI" w:hAnsi="Segoe UI"/>
          <w:b/>
          <w:color w:val="0B2545"/>
          <w:sz w:val="20"/>
        </w:rPr>
        <w:t>2. Model Compilation (Planned):</w:t>
      </w:r>
      <w:r>
        <w:rPr>
          <w:rFonts w:ascii="Segoe UI" w:hAnsi="Segoe UI"/>
          <w:color w:val="212529"/>
          <w:sz w:val="20"/>
        </w:rPr>
        <w:t xml:space="preserve"> Quantize (INT8) and compile the model specifically targeting the Snapdragon X Elite / Plus Hexagon NPU using the Qualcomm AI Hub compilation API.</w:t>
      </w:r>
    </w:p>
    <w:p>
      <w:pPr>
        <w:pStyle w:val="ListBullet"/>
        <w:spacing w:before="0" w:after="60"/>
      </w:pPr>
      <w:r>
        <w:rPr>
          <w:rFonts w:ascii="Segoe UI" w:hAnsi="Segoe UI"/>
          <w:b/>
          <w:color w:val="0B2545"/>
          <w:sz w:val="20"/>
        </w:rPr>
        <w:t>3. NPU Execution (Planned):</w:t>
      </w:r>
      <w:r>
        <w:rPr>
          <w:rFonts w:ascii="Segoe UI" w:hAnsi="Segoe UI"/>
          <w:color w:val="212529"/>
          <w:sz w:val="20"/>
        </w:rPr>
        <w:t xml:space="preserve"> Implement an ONNX/QNN pose-estimator adapter that preprocesses frames, calls session.run(), converts outputs to normalized PoseFrame landmarks, and replaces MediaPipePoseEstimator via ONNX Runtime QNNExecutionProvider (QnnHtp.dll).</w:t>
      </w:r>
    </w:p>
    <w:p>
      <w:pPr>
        <w:pStyle w:val="ListBullet"/>
        <w:spacing w:before="0" w:after="60"/>
      </w:pPr>
      <w:r>
        <w:rPr>
          <w:rFonts w:ascii="Segoe UI" w:hAnsi="Segoe UI"/>
          <w:b/>
          <w:color w:val="0B2545"/>
          <w:sz w:val="20"/>
        </w:rPr>
        <w:t>4. Verification Protocol (Planned):</w:t>
      </w:r>
      <w:r>
        <w:rPr>
          <w:rFonts w:ascii="Segoe UI" w:hAnsi="Segoe UI"/>
          <w:color w:val="212529"/>
          <w:sz w:val="20"/>
        </w:rPr>
        <w:t xml:space="preserve"> Execute scripts/benchmark.py on an identical 1080p clip to measure end-to-end FPS, p95 latency, and power savings.</w:t>
      </w:r>
    </w:p>
    <w:p>
      <w:pPr>
        <w:keepNext/>
        <w:spacing w:before="280" w:after="80"/>
      </w:pPr>
      <w:r>
        <w:rPr>
          <w:rFonts w:ascii="Segoe UI" w:hAnsi="Segoe UI"/>
          <w:b/>
          <w:color w:val="0B2545"/>
          <w:sz w:val="26"/>
        </w:rPr>
        <w:t>11. Accessibility &amp; Key Innovations</w:t>
      </w:r>
    </w:p>
    <w:p>
      <w:pPr>
        <w:pStyle w:val="ListBullet"/>
        <w:spacing w:before="0" w:after="60"/>
      </w:pPr>
      <w:r>
        <w:rPr>
          <w:rFonts w:ascii="Segoe UI" w:hAnsi="Segoe UI"/>
          <w:b/>
          <w:color w:val="0B2545"/>
          <w:sz w:val="20"/>
        </w:rPr>
        <w:t>Accessible HUD:</w:t>
      </w:r>
      <w:r>
        <w:rPr>
          <w:rFonts w:ascii="Segoe UI" w:hAnsi="Segoe UI"/>
          <w:color w:val="212529"/>
          <w:sz w:val="20"/>
        </w:rPr>
        <w:t xml:space="preserve"> High-contrast color palette, readable text shadows, combined geometric icons, numeric readouts, and clear text status labels.</w:t>
      </w:r>
    </w:p>
    <w:p>
      <w:pPr>
        <w:pStyle w:val="ListBullet"/>
        <w:spacing w:before="0" w:after="60"/>
      </w:pPr>
      <w:r>
        <w:rPr>
          <w:rFonts w:ascii="Segoe UI" w:hAnsi="Segoe UI"/>
          <w:b/>
          <w:color w:val="0B2545"/>
          <w:sz w:val="20"/>
        </w:rPr>
        <w:t>Inclusive Controls:</w:t>
      </w:r>
      <w:r>
        <w:rPr>
          <w:rFonts w:ascii="Segoe UI" w:hAnsi="Segoe UI"/>
          <w:color w:val="212529"/>
          <w:sz w:val="20"/>
        </w:rPr>
        <w:t xml:space="preserve"> Full keyboard control (R/Space for recording, Q/Esc for exit) and deterministic synthetic mode (--demo / --export-preview).</w:t>
      </w:r>
    </w:p>
    <w:p>
      <w:pPr>
        <w:pStyle w:val="ListBullet"/>
        <w:spacing w:before="0" w:after="60"/>
      </w:pPr>
      <w:r>
        <w:rPr>
          <w:rFonts w:ascii="Segoe UI" w:hAnsi="Segoe UI"/>
          <w:b/>
          <w:color w:val="0B2545"/>
          <w:sz w:val="20"/>
        </w:rPr>
        <w:t>Key Innovations:</w:t>
      </w:r>
      <w:r>
        <w:rPr>
          <w:rFonts w:ascii="Segoe UI" w:hAnsi="Segoe UI"/>
          <w:color w:val="212529"/>
          <w:sz w:val="20"/>
        </w:rPr>
        <w:t xml:space="preserve"> Temporal biomechanical analysis rather than single-frame classification; transparent evidence generation; truthful on-device runtime abstraction.</w:t>
      </w:r>
    </w:p>
    <w:p>
      <w:pPr>
        <w:keepNext/>
        <w:spacing w:before="280" w:after="80"/>
      </w:pPr>
      <w:r>
        <w:rPr>
          <w:rFonts w:ascii="Segoe UI" w:hAnsi="Segoe UI"/>
          <w:b/>
          <w:color w:val="0B2545"/>
          <w:sz w:val="26"/>
        </w:rPr>
        <w:t>12. Limitations &amp; Future Roadmap</w:t>
      </w:r>
    </w:p>
    <w:p>
      <w:pPr>
        <w:pStyle w:val="ListBullet"/>
        <w:spacing w:before="0" w:after="60"/>
      </w:pPr>
      <w:r>
        <w:rPr>
          <w:rFonts w:ascii="Segoe UI" w:hAnsi="Segoe UI"/>
          <w:b/>
          <w:color w:val="0B2545"/>
          <w:sz w:val="20"/>
        </w:rPr>
        <w:t>Known Limitations:</w:t>
      </w:r>
      <w:r>
        <w:rPr>
          <w:rFonts w:ascii="Segoe UI" w:hAnsi="Segoe UI"/>
          <w:color w:val="212529"/>
          <w:sz w:val="20"/>
        </w:rPr>
        <w:t xml:space="preserve"> Extreme camera angles (steep overhead) and severe visual occlusion degrade 2D coordinate accuracy, triggering safe neutral fallback.</w:t>
      </w:r>
    </w:p>
    <w:p>
      <w:pPr>
        <w:pStyle w:val="ListBullet"/>
        <w:spacing w:before="0" w:after="60"/>
      </w:pPr>
      <w:r>
        <w:rPr>
          <w:rFonts w:ascii="Segoe UI" w:hAnsi="Segoe UI"/>
          <w:b/>
          <w:color w:val="0B2545"/>
          <w:sz w:val="20"/>
        </w:rPr>
        <w:t>Future Roadmap:</w:t>
      </w:r>
      <w:r>
        <w:rPr>
          <w:rFonts w:ascii="Segoe UI" w:hAnsi="Segoe UI"/>
          <w:color w:val="212529"/>
          <w:sz w:val="20"/>
        </w:rPr>
        <w:t xml:space="preserve"> QNN Hexagon NPU pose integration, multi-person tracking support, and battery-efficiency benchmarking on Snapdragon X Elite HP laptops.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