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40"/>
        </w:rPr>
        <w:t>TEAM ORIENTATION GUIDE: DATA SOURCES, PHYSICAL STORAGE &amp; NEXT STEPS</w:t>
      </w:r>
    </w:p>
    <w:p>
      <w:pPr>
        <w:jc w:val="center"/>
      </w:pPr>
      <w:r>
        <w:rPr>
          <w:rFonts w:ascii="Calibri" w:hAnsi="Calibri"/>
          <w:i/>
          <w:color w:val="006699"/>
          <w:sz w:val="26"/>
        </w:rPr>
        <w:t>A Complete Layman's Walkthrough for Team Alignment &amp; Project Delivery</w:t>
        <w:br/>
      </w:r>
    </w:p>
    <w:tbl>
      <w:tblPr>
        <w:tblW w:type="auto" w:w="0"/>
        <w:jc w:val="center"/>
        <w:tblLook w:firstColumn="1" w:firstRow="1" w:lastColumn="0" w:lastRow="0" w:noHBand="0" w:noVBand="1" w:val="04A0"/>
      </w:tblPr>
      <w:tblGrid>
        <w:gridCol w:w="4680"/>
        <w:gridCol w:w="4680"/>
      </w:tblGrid>
      <w:tr>
        <w:tc>
          <w:tcPr>
            <w:tcW w:type="dxa" w:w="3168"/>
            <w:shd w:fill="F0F4F8"/>
            <w:tcMar>
              <w:top w:w="60" w:type="dxa"/>
              <w:bottom w:w="60" w:type="dxa"/>
              <w:left w:w="100" w:type="dxa"/>
              <w:right w:w="100" w:type="dxa"/>
            </w:tcMar>
          </w:tcPr>
          <w:p>
            <w:r>
              <w:rPr>
                <w:b/>
                <w:sz w:val="19"/>
              </w:rPr>
              <w:t>Course / Department:</w:t>
            </w:r>
          </w:p>
        </w:tc>
        <w:tc>
          <w:tcPr>
            <w:tcW w:type="dxa" w:w="6192"/>
            <w:shd w:fill="F8FAFC"/>
            <w:tcMar>
              <w:top w:w="60" w:type="dxa"/>
              <w:bottom w:w="60" w:type="dxa"/>
              <w:left w:w="100" w:type="dxa"/>
              <w:right w:w="100" w:type="dxa"/>
            </w:tcMar>
          </w:tcPr>
          <w:p>
            <w:r>
              <w:rPr>
                <w:sz w:val="19"/>
              </w:rPr>
              <w:t>IISc DSBA DA-231-O: Data Engineering at Scale</w:t>
            </w:r>
          </w:p>
        </w:tc>
      </w:tr>
      <w:tr>
        <w:tc>
          <w:tcPr>
            <w:tcW w:type="dxa" w:w="3168"/>
            <w:shd w:fill="F0F4F8"/>
            <w:tcMar>
              <w:top w:w="60" w:type="dxa"/>
              <w:bottom w:w="60" w:type="dxa"/>
              <w:left w:w="100" w:type="dxa"/>
              <w:right w:w="100" w:type="dxa"/>
            </w:tcMar>
          </w:tcPr>
          <w:p>
            <w:r>
              <w:rPr>
                <w:b/>
                <w:sz w:val="19"/>
              </w:rPr>
              <w:t>Faculty / Guide:</w:t>
            </w:r>
          </w:p>
        </w:tc>
        <w:tc>
          <w:tcPr>
            <w:tcW w:type="dxa" w:w="6192"/>
            <w:shd w:fill="F8FAFC"/>
            <w:tcMar>
              <w:top w:w="60" w:type="dxa"/>
              <w:bottom w:w="60" w:type="dxa"/>
              <w:left w:w="100" w:type="dxa"/>
              <w:right w:w="100" w:type="dxa"/>
            </w:tcMar>
          </w:tcPr>
          <w:p>
            <w:r>
              <w:rPr>
                <w:sz w:val="19"/>
              </w:rPr>
              <w:t>Prof. Yogesh Simmhan (CDS Department, IISc Bangalore)</w:t>
            </w:r>
          </w:p>
        </w:tc>
      </w:tr>
      <w:tr>
        <w:tc>
          <w:tcPr>
            <w:tcW w:type="dxa" w:w="3168"/>
            <w:shd w:fill="F0F4F8"/>
            <w:tcMar>
              <w:top w:w="60" w:type="dxa"/>
              <w:bottom w:w="60" w:type="dxa"/>
              <w:left w:w="100" w:type="dxa"/>
              <w:right w:w="100" w:type="dxa"/>
            </w:tcMar>
          </w:tcPr>
          <w:p>
            <w:r>
              <w:rPr>
                <w:b/>
                <w:sz w:val="19"/>
              </w:rPr>
              <w:t>Team Lead &amp; Members:</w:t>
            </w:r>
          </w:p>
        </w:tc>
        <w:tc>
          <w:tcPr>
            <w:tcW w:type="dxa" w:w="6192"/>
            <w:shd w:fill="F8FAFC"/>
            <w:tcMar>
              <w:top w:w="60" w:type="dxa"/>
              <w:bottom w:w="60" w:type="dxa"/>
              <w:left w:w="100" w:type="dxa"/>
              <w:right w:w="100" w:type="dxa"/>
            </w:tcMar>
          </w:tcPr>
          <w:p>
            <w:r>
              <w:rPr>
                <w:sz w:val="19"/>
              </w:rPr>
              <w:t>Aniket Koley (Lead), Dashrath Rajpurohit, Kumar Bhawenshu, Chennuri Manikanta</w:t>
            </w:r>
          </w:p>
        </w:tc>
      </w:tr>
      <w:tr>
        <w:tc>
          <w:tcPr>
            <w:tcW w:type="dxa" w:w="3168"/>
            <w:shd w:fill="F0F4F8"/>
            <w:tcMar>
              <w:top w:w="60" w:type="dxa"/>
              <w:bottom w:w="60" w:type="dxa"/>
              <w:left w:w="100" w:type="dxa"/>
              <w:right w:w="100" w:type="dxa"/>
            </w:tcMar>
          </w:tcPr>
          <w:p>
            <w:r>
              <w:rPr>
                <w:b/>
                <w:sz w:val="19"/>
              </w:rPr>
              <w:t>Repository &amp; Target:</w:t>
            </w:r>
          </w:p>
        </w:tc>
        <w:tc>
          <w:tcPr>
            <w:tcW w:type="dxa" w:w="6192"/>
            <w:shd w:fill="F8FAFC"/>
            <w:tcMar>
              <w:top w:w="60" w:type="dxa"/>
              <w:bottom w:w="60" w:type="dxa"/>
              <w:left w:w="100" w:type="dxa"/>
              <w:right w:w="100" w:type="dxa"/>
            </w:tcMar>
          </w:tcPr>
          <w:p>
            <w:r>
              <w:rPr>
                <w:sz w:val="19"/>
              </w:rPr>
              <w:t>https://github.com/aniketkoley-iisc/ev-gap-analysis-india | National Highway Grid</w:t>
            </w:r>
          </w:p>
        </w:tc>
      </w:tr>
    </w:tbl>
    <w:p/>
    <w:p>
      <w:pPr>
        <w:pStyle w:val="Heading1"/>
      </w:pPr>
      <w:r>
        <w:rPr>
          <w:color w:val="003366"/>
        </w:rPr>
        <w:t>1. Why Are We Doing This? (The Core Purpose in Plain English)</w:t>
      </w:r>
    </w:p>
    <w:p>
      <w:r>
        <w:t>Imagine you buy a brand-new electric car in Bangalore and want to drive to Mumbai or Hyderabad. Inside Bangalore city, finding a charging station is relatively simple. But the moment you hit the national highway, you enter what we call 'Charging Deserts'—stretches of 150 to 300 kilometers where there is no fast charger in sight. If your battery drops to 15%, you are stranded on the expressway.</w:t>
        <w:br/>
        <w:br/>
        <w:t>Right now, the government (NITI Aayog, Ministry of Heavy Industries) and private companies (Tata Power, Ather, Jio-bp) want to install thousands of new chargers under schemes like PM E-DRIVE. But installing a highway fast-charging plaza costs ₹50 to 80 Lakhs. If you place a charger in the wrong place, it sits empty; if you miss a critical junction, drivers get stranded.</w:t>
        <w:br/>
        <w:br/>
        <w:t>Our project builds an intelligent, distributed Big Data engine that ingests India's road network, vehicle populations, and power grids to mathematically pinpoint exactly WHERE new chargers should be built to eliminate highway blackout zones.</w:t>
      </w:r>
    </w:p>
    <w:p>
      <w:pPr>
        <w:pStyle w:val="Heading1"/>
      </w:pPr>
      <w:r>
        <w:rPr>
          <w:color w:val="003366"/>
        </w:rPr>
        <w:t>2. What Are Our Data Sources? (Where Does the Data Come From?)</w:t>
      </w:r>
    </w:p>
    <w:p>
      <w:r>
        <w:t>To solve this problem at a national scale, we cannot rely on one simple Excel sheet. We combine four completely separate, real-world datasets into one unified Lakehouse:</w:t>
      </w:r>
    </w:p>
    <w:p>
      <w:r>
        <w:rPr>
          <w:b/>
          <w:color w:val="006699"/>
          <w:sz w:val="22"/>
        </w:rPr>
        <w:t>Source 1: OpenStreetMap (OSM) via Geofabrik &amp; Overpass API</w:t>
        <w:br/>
      </w:r>
      <w:r>
        <w:rPr>
          <w:sz w:val="21"/>
        </w:rPr>
        <w:t>What it provides: The complete physical highway network of India (155,859 road segments), including National Highways (NH), Expressways, and bypasses. It also provides highway amenities (petrol bunks, dhabas, food plazas, hotels) and 35,000+ power substations.</w:t>
        <w:br/>
        <w:t>Why we need it: You cannot build a charging station in the middle of a forest. We need real roads, real distances, and real places where drivers can rest while their car charges.</w:t>
      </w:r>
    </w:p>
    <w:p/>
    <w:p>
      <w:r>
        <w:rPr>
          <w:b/>
          <w:color w:val="006699"/>
          <w:sz w:val="22"/>
        </w:rPr>
        <w:t>Source 2: OpenChargeMap (OCM) &amp; NITI Aayog E-AMRIT / BEE Registry</w:t>
        <w:br/>
      </w:r>
      <w:r>
        <w:rPr>
          <w:sz w:val="21"/>
        </w:rPr>
        <w:t>What it provides: Precise GPS coordinates and connector specifications (CCS-2, CHAdeMO, Type-2 AC) for existing operational EV chargers across India.</w:t>
        <w:br/>
        <w:t>Why we need it: Before we recommend new stations, we must know where the existing ones already are so we can calculate how far any highway point is from the nearest charger.</w:t>
      </w:r>
    </w:p>
    <w:p/>
    <w:p>
      <w:r>
        <w:rPr>
          <w:b/>
          <w:color w:val="006699"/>
          <w:sz w:val="22"/>
        </w:rPr>
        <w:t>Source 3: Vahan Dashboard (Ministry of Road Transport &amp; Highways - MoRTH)</w:t>
        <w:br/>
      </w:r>
      <w:r>
        <w:rPr>
          <w:sz w:val="21"/>
        </w:rPr>
        <w:t>What it provides: Real state-wise and district-wise vehicle registration records (EV sales numbers, commercial fleets, 2W/3W/4W/Buses).</w:t>
        <w:br/>
        <w:t>Why we need it: A highway connecting two states with heavy EV adoption (e.g., Maharashtra and Karnataka) needs far more charging capacity than a remote rural corridor.</w:t>
      </w:r>
    </w:p>
    <w:p/>
    <w:p>
      <w:r>
        <w:rPr>
          <w:b/>
          <w:color w:val="006699"/>
          <w:sz w:val="22"/>
        </w:rPr>
        <w:t>Source 4: Central Electricity Authority (CEA) &amp; State DISCOM Feeder Data</w:t>
        <w:br/>
      </w:r>
      <w:r>
        <w:rPr>
          <w:sz w:val="21"/>
        </w:rPr>
        <w:t>What it provides: Locations of 400kV, 220kV, 66kV, and 11kV electrical power distribution substations.</w:t>
        <w:br/>
        <w:t>Why we need it: A high-speed DC fast-charger requires massive electrical power (150kW to 350kW). If a highway stop is 40 km away from an electrical substation, laying transmission cables costs crores of rupees. Co-locating chargers near existing substations saves enormous capital.</w:t>
      </w:r>
    </w:p>
    <w:p/>
    <w:p>
      <w:r>
        <w:br w:type="page"/>
      </w:r>
    </w:p>
    <w:p>
      <w:pPr>
        <w:pStyle w:val="Heading1"/>
      </w:pPr>
      <w:r>
        <w:rPr>
          <w:color w:val="003366"/>
        </w:rPr>
        <w:t>3. Where is the Data Stored Physically? (In Git vs. On Drives &amp; HDFS)</w:t>
      </w:r>
    </w:p>
    <w:p>
      <w:r>
        <w:t>A common point of confusion in Big Data engineering is: 'Why isn't our raw data checked into GitHub?'</w:t>
        <w:br/>
        <w:t>Here is the strict separation between code versioning and large-scale data storage:</w:t>
      </w:r>
    </w:p>
    <w:tbl>
      <w:tblPr>
        <w:tblW w:type="auto" w:w="0"/>
        <w:jc w:val="center"/>
        <w:tblLook w:firstColumn="1" w:firstRow="1" w:lastColumn="0" w:lastRow="0" w:noHBand="0" w:noVBand="1" w:val="04A0"/>
      </w:tblPr>
      <w:tblGrid>
        <w:gridCol w:w="3120"/>
        <w:gridCol w:w="3120"/>
        <w:gridCol w:w="3120"/>
      </w:tblGrid>
      <w:tr>
        <w:tc>
          <w:tcPr>
            <w:tcW w:type="dxa" w:w="3120"/>
            <w:shd w:fill="003366"/>
            <w:tcMar>
              <w:top w:w="80" w:type="dxa"/>
              <w:bottom w:w="80" w:type="dxa"/>
              <w:left w:w="100" w:type="dxa"/>
              <w:right w:w="100" w:type="dxa"/>
            </w:tcMar>
          </w:tcPr>
          <w:p>
            <w:r>
              <w:rPr>
                <w:b/>
                <w:color w:val="FFFFFF"/>
              </w:rPr>
              <w:t>Storage Layer</w:t>
            </w:r>
          </w:p>
        </w:tc>
        <w:tc>
          <w:tcPr>
            <w:tcW w:type="dxa" w:w="3120"/>
            <w:shd w:fill="003366"/>
            <w:tcMar>
              <w:top w:w="80" w:type="dxa"/>
              <w:bottom w:w="80" w:type="dxa"/>
              <w:left w:w="100" w:type="dxa"/>
              <w:right w:w="100" w:type="dxa"/>
            </w:tcMar>
          </w:tcPr>
          <w:p>
            <w:r>
              <w:rPr>
                <w:b/>
                <w:color w:val="FFFFFF"/>
              </w:rPr>
              <w:t>Physical Location on Disk / Cloud</w:t>
            </w:r>
          </w:p>
        </w:tc>
        <w:tc>
          <w:tcPr>
            <w:tcW w:type="dxa" w:w="3120"/>
            <w:shd w:fill="003366"/>
            <w:tcMar>
              <w:top w:w="80" w:type="dxa"/>
              <w:bottom w:w="80" w:type="dxa"/>
              <w:left w:w="100" w:type="dxa"/>
              <w:right w:w="100" w:type="dxa"/>
            </w:tcMar>
          </w:tcPr>
          <w:p>
            <w:r>
              <w:rPr>
                <w:b/>
                <w:color w:val="FFFFFF"/>
              </w:rPr>
              <w:t>What is Stored Here &amp; Why</w:t>
            </w:r>
          </w:p>
        </w:tc>
      </w:tr>
      <w:tr>
        <w:tc>
          <w:tcPr>
            <w:tcW w:type="dxa" w:w="3120"/>
            <w:shd w:fill="F0F4F8"/>
            <w:tcMar>
              <w:top w:w="80" w:type="dxa"/>
              <w:bottom w:w="80" w:type="dxa"/>
              <w:left w:w="100" w:type="dxa"/>
              <w:right w:w="100" w:type="dxa"/>
            </w:tcMar>
          </w:tcPr>
          <w:p>
            <w:r>
              <w:rPr>
                <w:b/>
                <w:sz w:val="18"/>
              </w:rPr>
              <w:t>1. Git Repository (GitHub)</w:t>
            </w:r>
          </w:p>
        </w:tc>
        <w:tc>
          <w:tcPr>
            <w:tcW w:type="dxa" w:w="3120"/>
            <w:shd w:fill="FFFFFF"/>
            <w:tcMar>
              <w:top w:w="80" w:type="dxa"/>
              <w:bottom w:w="80" w:type="dxa"/>
              <w:left w:w="100" w:type="dxa"/>
              <w:right w:w="100" w:type="dxa"/>
            </w:tcMar>
          </w:tcPr>
          <w:p>
            <w:r>
              <w:rPr>
                <w:sz w:val="18"/>
              </w:rPr>
              <w:t>https://github.com/aniketkoley-iisc/ev-gap-analysis-india</w:t>
              <w:br/>
              <w:br/>
              <w:t>Local Path:</w:t>
              <w:br/>
              <w:t>C:\Users\trisa\OneDrive\Documents\IISc\1st_Sem\Data_Engg\PROJECT_ev\ev-gap-analysis-india</w:t>
            </w:r>
          </w:p>
        </w:tc>
        <w:tc>
          <w:tcPr>
            <w:tcW w:type="dxa" w:w="3120"/>
            <w:shd w:fill="FFFFFF"/>
            <w:tcMar>
              <w:top w:w="80" w:type="dxa"/>
              <w:bottom w:w="80" w:type="dxa"/>
              <w:left w:w="100" w:type="dxa"/>
              <w:right w:w="100" w:type="dxa"/>
            </w:tcMar>
          </w:tcPr>
          <w:p>
            <w:r>
              <w:rPr>
                <w:sz w:val="18"/>
              </w:rPr>
              <w:t>Stores CODE and DOCUMENTATION ONLY:</w:t>
              <w:br/>
              <w:t>- notebooks/ (e.g. 01_HDFS_Lakehouse_and_FullScale_Bronze_Ingestion.ipynb)</w:t>
              <w:br/>
              <w:t>- docs/ (Viva guides, presentation decks, lecture mappings, .docx, .pptx)</w:t>
              <w:br/>
              <w:t>- src/ (Python packages for ETL, ML, Graph, Streaming)</w:t>
              <w:br/>
              <w:br/>
              <w:t>WHY NO RAW DATA IN GIT? GitHub enforces a strict 100MB file limit. Our raw geospatial datasets are gigabytes in size. Checking in binary data bloats Git and causes repository lockouts.</w:t>
            </w:r>
          </w:p>
        </w:tc>
      </w:tr>
      <w:tr>
        <w:tc>
          <w:tcPr>
            <w:tcW w:type="dxa" w:w="3120"/>
            <w:shd w:fill="F0F4F8"/>
            <w:tcMar>
              <w:top w:w="80" w:type="dxa"/>
              <w:bottom w:w="80" w:type="dxa"/>
              <w:left w:w="100" w:type="dxa"/>
              <w:right w:w="100" w:type="dxa"/>
            </w:tcMar>
          </w:tcPr>
          <w:p>
            <w:r>
              <w:rPr>
                <w:b/>
                <w:sz w:val="18"/>
              </w:rPr>
              <w:t>2. Local Disk Drives (Workspace &amp; Downloads)</w:t>
            </w:r>
          </w:p>
        </w:tc>
        <w:tc>
          <w:tcPr>
            <w:tcW w:type="dxa" w:w="3120"/>
            <w:shd w:fill="F9FBFC"/>
            <w:tcMar>
              <w:top w:w="80" w:type="dxa"/>
              <w:bottom w:w="80" w:type="dxa"/>
              <w:left w:w="100" w:type="dxa"/>
              <w:right w:w="100" w:type="dxa"/>
            </w:tcMar>
          </w:tcPr>
          <w:p>
            <w:r>
              <w:rPr>
                <w:sz w:val="18"/>
              </w:rPr>
              <w:t>C:\Users\trisa\OneDrive\Desktop\DE Project\</w:t>
              <w:br/>
              <w:t>C:\Users\trisa\Downloads\</w:t>
            </w:r>
          </w:p>
        </w:tc>
        <w:tc>
          <w:tcPr>
            <w:tcW w:type="dxa" w:w="3120"/>
            <w:shd w:fill="F9FBFC"/>
            <w:tcMar>
              <w:top w:w="80" w:type="dxa"/>
              <w:bottom w:w="80" w:type="dxa"/>
              <w:left w:w="100" w:type="dxa"/>
              <w:right w:w="100" w:type="dxa"/>
            </w:tcMar>
          </w:tcPr>
          <w:p>
            <w:r>
              <w:rPr>
                <w:sz w:val="18"/>
              </w:rPr>
              <w:t>Stores ACTIVE SCRIPTS &amp; EXPORTED DELIVERABLES:</w:t>
              <w:br/>
              <w:t>- generate_documents.py (Automated documentation &amp; deck generator)</w:t>
              <w:br/>
              <w:t>- EV_Gap_Analysis_Viva_Voce_and_Project_Guide.docx</w:t>
              <w:br/>
              <w:t>- EV_Gap_Analysis_Highway_Siting_Presentation.pptx</w:t>
              <w:br/>
              <w:t>- Temporary shapefiles, GeoJSON exports, and local test outputs.</w:t>
            </w:r>
          </w:p>
        </w:tc>
      </w:tr>
      <w:tr>
        <w:tc>
          <w:tcPr>
            <w:tcW w:type="dxa" w:w="3120"/>
            <w:shd w:fill="F0F4F8"/>
            <w:tcMar>
              <w:top w:w="80" w:type="dxa"/>
              <w:bottom w:w="80" w:type="dxa"/>
              <w:left w:w="100" w:type="dxa"/>
              <w:right w:w="100" w:type="dxa"/>
            </w:tcMar>
          </w:tcPr>
          <w:p>
            <w:r>
              <w:rPr>
                <w:b/>
                <w:sz w:val="18"/>
              </w:rPr>
              <w:t>3. Distributed Lakehouse (HDFS / Parquet)</w:t>
            </w:r>
          </w:p>
        </w:tc>
        <w:tc>
          <w:tcPr>
            <w:tcW w:type="dxa" w:w="3120"/>
            <w:shd w:fill="FFFFFF"/>
            <w:tcMar>
              <w:top w:w="80" w:type="dxa"/>
              <w:bottom w:w="80" w:type="dxa"/>
              <w:left w:w="100" w:type="dxa"/>
              <w:right w:w="100" w:type="dxa"/>
            </w:tcMar>
          </w:tcPr>
          <w:p>
            <w:r>
              <w:rPr>
                <w:sz w:val="18"/>
              </w:rPr>
              <w:t>HDFS Cluster Root:</w:t>
              <w:br/>
              <w:t>hdfs://localhost:9000/lakehouse/</w:t>
              <w:br/>
              <w:br/>
              <w:t>Local File Mirror:</w:t>
              <w:br/>
              <w:t>data/lakehouse/bronze/</w:t>
              <w:br/>
              <w:t>data/lakehouse/silver/</w:t>
              <w:br/>
              <w:t>data/lakehouse/gold/</w:t>
            </w:r>
          </w:p>
        </w:tc>
        <w:tc>
          <w:tcPr>
            <w:tcW w:type="dxa" w:w="3120"/>
            <w:shd w:fill="FFFFFF"/>
            <w:tcMar>
              <w:top w:w="80" w:type="dxa"/>
              <w:bottom w:w="80" w:type="dxa"/>
              <w:left w:w="100" w:type="dxa"/>
              <w:right w:w="100" w:type="dxa"/>
            </w:tcMar>
          </w:tcPr>
          <w:p>
            <w:r>
              <w:rPr>
                <w:sz w:val="18"/>
              </w:rPr>
              <w:t>Stores MASSIVE PARQUET DATASETS (Medallion Architecture):</w:t>
              <w:br/>
              <w:t>- Bronze: Raw immutable OSM highway segments, raw uncleaned charging records.</w:t>
              <w:br/>
              <w:t>- Silver: 50m spatially deduplicated charging stations (632 clean plazas) and H3 Resolution 7 partitioned highways.</w:t>
              <w:br/>
              <w:t>- Gold: GraphX vertex &amp; edge tables (8,181 vertices, 155k edges), PageRank scores, ML features, and K=25 candidate sites.</w:t>
            </w:r>
          </w:p>
        </w:tc>
      </w:tr>
    </w:tbl>
    <w:p/>
    <w:p>
      <w:pPr>
        <w:pStyle w:val="Heading1"/>
      </w:pPr>
      <w:r>
        <w:rPr>
          <w:color w:val="003366"/>
        </w:rPr>
        <w:t>4. What Are the Next Steps That We Are Doing?</w:t>
      </w:r>
    </w:p>
    <w:p>
      <w:r>
        <w:t>Now that Track 1 (Lakehouse Ingestion) and the core algorithms for Tracks 2, 3, and 4 are mathematically validated, here are the exact next steps we are executing as a team to finalize the project:</w:t>
      </w:r>
    </w:p>
    <w:p>
      <w:r>
        <w:rPr>
          <w:b/>
          <w:color w:val="006699"/>
          <w:sz w:val="22"/>
        </w:rPr>
        <w:t>Step 1 (Track 2 - Graph Analytics): Scale Pregel to State Highways &amp; Feeder Routes</w:t>
        <w:br/>
      </w:r>
      <w:r>
        <w:rPr>
          <w:sz w:val="21"/>
        </w:rPr>
        <w:t>Currently, our GraphX Pregel algorithm runs on 155,859 National Highway segments. Next step: We are expanding the edge list to include State Highways (SH) and Major District Roads (MDR) connecting into NH junctions. This will reveal whether rural drivers can reach expressway charging hubs without getting stranded on feeder roads.</w:t>
      </w:r>
    </w:p>
    <w:p/>
    <w:p>
      <w:r>
        <w:rPr>
          <w:b/>
          <w:color w:val="006699"/>
          <w:sz w:val="22"/>
        </w:rPr>
        <w:t>Step 2 (Track 3 - Machine Learning): Multi-Client Federated Learning Simulation (FedML)</w:t>
        <w:br/>
      </w:r>
      <w:r>
        <w:rPr>
          <w:sz w:val="21"/>
        </w:rPr>
        <w:t>We proved that Centralized Spark ML achieves R²=0.8653, but sharing raw data across state electricity boards (BESCOM, MSEDCL, TANGEDCO) is illegal. Next step: Kumar and the team are running a 5-node Federated Averaging (FedAvg) simulation where each state trains a local model on its own power grid, and only model weights are exchanged. This provides complete data privacy.</w:t>
      </w:r>
    </w:p>
    <w:p/>
    <w:p>
      <w:r>
        <w:rPr>
          <w:b/>
          <w:color w:val="006699"/>
          <w:sz w:val="22"/>
        </w:rPr>
        <w:t>Step 3 (Track 4 - Siting Optimization): Corridor-by-Corridor Phased Rollout Plan</w:t>
        <w:br/>
      </w:r>
      <w:r>
        <w:rPr>
          <w:sz w:val="21"/>
        </w:rPr>
        <w:t>We identified the K=25 pilot candidate sites and proved they reduce national unserved highway distance by 29.07%. Next step: We are clustering these 25 sites into 4 prioritized investment corridors: (1) NH-44 (Kashmir to Kanyakumari - North/South Spine), (2) NH-48 (Delhi-Mumbai-Bangalore-Chennai), (3) NH-16 (East Coast), and (4) NH-27 (East/West).</w:t>
      </w:r>
    </w:p>
    <w:p/>
    <w:p>
      <w:r>
        <w:rPr>
          <w:b/>
          <w:color w:val="006699"/>
          <w:sz w:val="22"/>
        </w:rPr>
        <w:t>Step 4 (Track 1 &amp; 4 - Real-Time Streaming): Live Charger Queue Simulation via Kafka</w:t>
        <w:br/>
      </w:r>
      <w:r>
        <w:rPr>
          <w:sz w:val="21"/>
        </w:rPr>
        <w:t>Next step: Build an Apache Kafka streaming producer that pushes real-time simulated telemetry (plug occupancy, waiting queue in minutes, and power grid alerts) into Spark Streaming, dynamically updating the Gold layer map dashboard in real-time.</w:t>
      </w:r>
    </w:p>
    <w:p/>
    <w:p>
      <w:r>
        <w:br w:type="page"/>
      </w:r>
    </w:p>
    <w:p>
      <w:pPr>
        <w:pStyle w:val="Heading1"/>
      </w:pPr>
      <w:r>
        <w:rPr>
          <w:color w:val="003366"/>
        </w:rPr>
        <w:t>5. What Are the Real-World Uses &amp; Benefits? (Who Actually Uses This?)</w:t>
      </w:r>
    </w:p>
    <w:p>
      <w:r>
        <w:rPr>
          <w:b/>
          <w:color w:val="D35400"/>
          <w:sz w:val="22"/>
        </w:rPr>
        <w:t>1. Government &amp; Policy Makers (NITI Aayog, Ministry of Heavy Industries, MoRTH)</w:t>
        <w:br/>
      </w:r>
      <w:r>
        <w:rPr>
          <w:sz w:val="21"/>
        </w:rPr>
        <w:t>The Use: Deciding where to spend public tax subsidies (PM E-DRIVE scheme).</w:t>
        <w:br/>
        <w:t>The Benefit: Without data engineering, governments hand out subsidies randomly. With our system, subsidies are mathematically targeted to high-impact corridor gaps, eliminating blackouts with minimum public expenditure.</w:t>
      </w:r>
    </w:p>
    <w:p/>
    <w:p>
      <w:r>
        <w:rPr>
          <w:b/>
          <w:color w:val="D35400"/>
          <w:sz w:val="22"/>
        </w:rPr>
        <w:t>2. Private Charging Network Operators (Tata Power, Ather, Jio-bp, Zeon, ChargeZone)</w:t>
        <w:br/>
      </w:r>
      <w:r>
        <w:rPr>
          <w:sz w:val="21"/>
        </w:rPr>
        <w:t>The Use: Siting new high-power fast-charging plazas.</w:t>
        <w:br/>
        <w:t>The Benefit: A single charging plaza costs ₹50 to 80 Lakhs. Operators avoid building stations in oversaturated areas where they will go bankrupt, and instead build at high-traffic highway junctions with high projected EV turnover and strong power grid support.</w:t>
      </w:r>
    </w:p>
    <w:p/>
    <w:p>
      <w:r>
        <w:rPr>
          <w:b/>
          <w:color w:val="D35400"/>
          <w:sz w:val="22"/>
        </w:rPr>
        <w:t>3. Electricity Distribution Companies (State DISCOMs like BESCOM, MSEDCL)</w:t>
        <w:br/>
      </w:r>
      <w:r>
        <w:rPr>
          <w:sz w:val="21"/>
        </w:rPr>
        <w:t>The Use: Grid load planning and substation feeder capacity management.</w:t>
        <w:br/>
        <w:t>The Benefit: EV fast chargers pull enormous surges of electricity. Our system cross-references sites with existing 66kV/11kV substations, preventing transformer overloads and avoiding crores of rupees in new transmission line construction.</w:t>
      </w:r>
    </w:p>
    <w:p/>
    <w:p>
      <w:r>
        <w:rPr>
          <w:b/>
          <w:color w:val="D35400"/>
          <w:sz w:val="22"/>
        </w:rPr>
        <w:t>4. EV Fleet Operators &amp; Everyday Highway Travelers</w:t>
        <w:br/>
      </w:r>
      <w:r>
        <w:rPr>
          <w:sz w:val="21"/>
        </w:rPr>
        <w:t>The Use: Long-distance intercity journey planning without fear of battery exhaustion.</w:t>
        <w:br/>
        <w:t>The Benefit: Resolves the #1 consumer barrier to EV adoption in India: Range Anxiety. Guarantees that drivers can travel between major Indian metros with reliable, predictable fast-charging every 50 to 75 km.</w:t>
      </w:r>
    </w:p>
    <w:p/>
    <w:p>
      <w:pPr>
        <w:pStyle w:val="Heading1"/>
      </w:pPr>
      <w:r>
        <w:rPr>
          <w:color w:val="003366"/>
        </w:rPr>
        <w:t>6. Team Track Alignment: Who is Doing What?</w:t>
      </w:r>
    </w:p>
    <w:tbl>
      <w:tblPr>
        <w:tblW w:type="auto" w:w="0"/>
        <w:jc w:val="center"/>
        <w:tblLook w:firstColumn="1" w:firstRow="1" w:lastColumn="0" w:lastRow="0" w:noHBand="0" w:noVBand="1" w:val="04A0"/>
      </w:tblPr>
      <w:tblGrid>
        <w:gridCol w:w="3120"/>
        <w:gridCol w:w="3120"/>
        <w:gridCol w:w="3120"/>
      </w:tblGrid>
      <w:tr>
        <w:tc>
          <w:tcPr>
            <w:tcW w:type="dxa" w:w="3120"/>
            <w:shd w:fill="003366"/>
            <w:tcMar>
              <w:top w:w="80" w:type="dxa"/>
              <w:bottom w:w="80" w:type="dxa"/>
              <w:left w:w="100" w:type="dxa"/>
              <w:right w:w="100" w:type="dxa"/>
            </w:tcMar>
          </w:tcPr>
          <w:p>
            <w:r>
              <w:rPr>
                <w:b/>
                <w:color w:val="FFFFFF"/>
              </w:rPr>
              <w:t>Team Member</w:t>
            </w:r>
          </w:p>
        </w:tc>
        <w:tc>
          <w:tcPr>
            <w:tcW w:type="dxa" w:w="3120"/>
            <w:shd w:fill="003366"/>
            <w:tcMar>
              <w:top w:w="80" w:type="dxa"/>
              <w:bottom w:w="80" w:type="dxa"/>
              <w:left w:w="100" w:type="dxa"/>
              <w:right w:w="100" w:type="dxa"/>
            </w:tcMar>
          </w:tcPr>
          <w:p>
            <w:r>
              <w:rPr>
                <w:b/>
                <w:color w:val="FFFFFF"/>
              </w:rPr>
              <w:t>Track &amp; Core Responsibility</w:t>
            </w:r>
          </w:p>
        </w:tc>
        <w:tc>
          <w:tcPr>
            <w:tcW w:type="dxa" w:w="3120"/>
            <w:shd w:fill="003366"/>
            <w:tcMar>
              <w:top w:w="80" w:type="dxa"/>
              <w:bottom w:w="80" w:type="dxa"/>
              <w:left w:w="100" w:type="dxa"/>
              <w:right w:w="100" w:type="dxa"/>
            </w:tcMar>
          </w:tcPr>
          <w:p>
            <w:r>
              <w:rPr>
                <w:b/>
                <w:color w:val="FFFFFF"/>
              </w:rPr>
              <w:t>Key Deliverable</w:t>
            </w:r>
          </w:p>
        </w:tc>
      </w:tr>
      <w:tr>
        <w:tc>
          <w:tcPr>
            <w:tcW w:type="dxa" w:w="3120"/>
            <w:shd w:fill="F0F4F8"/>
            <w:tcMar>
              <w:top w:w="80" w:type="dxa"/>
              <w:bottom w:w="80" w:type="dxa"/>
              <w:left w:w="100" w:type="dxa"/>
              <w:right w:w="100" w:type="dxa"/>
            </w:tcMar>
          </w:tcPr>
          <w:p>
            <w:r>
              <w:rPr>
                <w:b/>
                <w:sz w:val="19"/>
              </w:rPr>
              <w:t>Aniket Koley (Lead)</w:t>
            </w:r>
          </w:p>
        </w:tc>
        <w:tc>
          <w:tcPr>
            <w:tcW w:type="dxa" w:w="3120"/>
            <w:shd w:fill="FFFFFF"/>
            <w:tcMar>
              <w:top w:w="80" w:type="dxa"/>
              <w:bottom w:w="80" w:type="dxa"/>
              <w:left w:w="100" w:type="dxa"/>
              <w:right w:w="100" w:type="dxa"/>
            </w:tcMar>
          </w:tcPr>
          <w:p>
            <w:r>
              <w:rPr>
                <w:sz w:val="19"/>
              </w:rPr>
              <w:t>Overall Architecture, Track 1 (Lakehouse Storage) &amp; Integration</w:t>
            </w:r>
          </w:p>
        </w:tc>
        <w:tc>
          <w:tcPr>
            <w:tcW w:type="dxa" w:w="3120"/>
            <w:shd w:fill="FFFFFF"/>
            <w:tcMar>
              <w:top w:w="80" w:type="dxa"/>
              <w:bottom w:w="80" w:type="dxa"/>
              <w:left w:w="100" w:type="dxa"/>
              <w:right w:w="100" w:type="dxa"/>
            </w:tcMar>
          </w:tcPr>
          <w:p>
            <w:r>
              <w:rPr>
                <w:sz w:val="19"/>
              </w:rPr>
              <w:t>Bronze/Silver/Gold Lakehouse, 50m Deduplication, Master Git Repo</w:t>
            </w:r>
          </w:p>
        </w:tc>
      </w:tr>
      <w:tr>
        <w:tc>
          <w:tcPr>
            <w:tcW w:type="dxa" w:w="3120"/>
            <w:shd w:fill="F0F4F8"/>
            <w:tcMar>
              <w:top w:w="80" w:type="dxa"/>
              <w:bottom w:w="80" w:type="dxa"/>
              <w:left w:w="100" w:type="dxa"/>
              <w:right w:w="100" w:type="dxa"/>
            </w:tcMar>
          </w:tcPr>
          <w:p>
            <w:r>
              <w:rPr>
                <w:b/>
                <w:sz w:val="19"/>
              </w:rPr>
              <w:t>Dashrath Rajpurohit</w:t>
            </w:r>
          </w:p>
        </w:tc>
        <w:tc>
          <w:tcPr>
            <w:tcW w:type="dxa" w:w="3120"/>
            <w:shd w:fill="F9FBFC"/>
            <w:tcMar>
              <w:top w:w="80" w:type="dxa"/>
              <w:bottom w:w="80" w:type="dxa"/>
              <w:left w:w="100" w:type="dxa"/>
              <w:right w:w="100" w:type="dxa"/>
            </w:tcMar>
          </w:tcPr>
          <w:p>
            <w:r>
              <w:rPr>
                <w:sz w:val="19"/>
              </w:rPr>
              <w:t>Track 2: Distributed Graph Analytics (GraphX / Pregel)</w:t>
            </w:r>
          </w:p>
        </w:tc>
        <w:tc>
          <w:tcPr>
            <w:tcW w:type="dxa" w:w="3120"/>
            <w:shd w:fill="F9FBFC"/>
            <w:tcMar>
              <w:top w:w="80" w:type="dxa"/>
              <w:bottom w:w="80" w:type="dxa"/>
              <w:left w:w="100" w:type="dxa"/>
              <w:right w:w="100" w:type="dxa"/>
            </w:tcMar>
          </w:tcPr>
          <w:p>
            <w:r>
              <w:rPr>
                <w:sz w:val="19"/>
              </w:rPr>
              <w:t>155k Highway Graph, 7 Pregel Supersteps, PageRank Centrality</w:t>
            </w:r>
          </w:p>
        </w:tc>
      </w:tr>
      <w:tr>
        <w:tc>
          <w:tcPr>
            <w:tcW w:type="dxa" w:w="3120"/>
            <w:shd w:fill="F0F4F8"/>
            <w:tcMar>
              <w:top w:w="80" w:type="dxa"/>
              <w:bottom w:w="80" w:type="dxa"/>
              <w:left w:w="100" w:type="dxa"/>
              <w:right w:w="100" w:type="dxa"/>
            </w:tcMar>
          </w:tcPr>
          <w:p>
            <w:r>
              <w:rPr>
                <w:b/>
                <w:sz w:val="19"/>
              </w:rPr>
              <w:t>Kumar Bhawenshu</w:t>
            </w:r>
          </w:p>
        </w:tc>
        <w:tc>
          <w:tcPr>
            <w:tcW w:type="dxa" w:w="3120"/>
            <w:shd w:fill="FFFFFF"/>
            <w:tcMar>
              <w:top w:w="80" w:type="dxa"/>
              <w:bottom w:w="80" w:type="dxa"/>
              <w:left w:w="100" w:type="dxa"/>
              <w:right w:w="100" w:type="dxa"/>
            </w:tcMar>
          </w:tcPr>
          <w:p>
            <w:r>
              <w:rPr>
                <w:sz w:val="19"/>
              </w:rPr>
              <w:t>Track 3: Scalable Machine Learning &amp; Federated Learning</w:t>
            </w:r>
          </w:p>
        </w:tc>
        <w:tc>
          <w:tcPr>
            <w:tcW w:type="dxa" w:w="3120"/>
            <w:shd w:fill="FFFFFF"/>
            <w:tcMar>
              <w:top w:w="80" w:type="dxa"/>
              <w:bottom w:w="80" w:type="dxa"/>
              <w:left w:w="100" w:type="dxa"/>
              <w:right w:w="100" w:type="dxa"/>
            </w:tcMar>
          </w:tcPr>
          <w:p>
            <w:r>
              <w:rPr>
                <w:sz w:val="19"/>
              </w:rPr>
              <w:t>Centralized Spark ML (RF/GBT) vs FedML (FedAvg Privacy Simulation)</w:t>
            </w:r>
          </w:p>
        </w:tc>
      </w:tr>
      <w:tr>
        <w:tc>
          <w:tcPr>
            <w:tcW w:type="dxa" w:w="3120"/>
            <w:shd w:fill="F0F4F8"/>
            <w:tcMar>
              <w:top w:w="80" w:type="dxa"/>
              <w:bottom w:w="80" w:type="dxa"/>
              <w:left w:w="100" w:type="dxa"/>
              <w:right w:w="100" w:type="dxa"/>
            </w:tcMar>
          </w:tcPr>
          <w:p>
            <w:r>
              <w:rPr>
                <w:b/>
                <w:sz w:val="19"/>
              </w:rPr>
              <w:t>Chennuri Manikanta</w:t>
            </w:r>
          </w:p>
        </w:tc>
        <w:tc>
          <w:tcPr>
            <w:tcW w:type="dxa" w:w="3120"/>
            <w:shd w:fill="F9FBFC"/>
            <w:tcMar>
              <w:top w:w="80" w:type="dxa"/>
              <w:bottom w:w="80" w:type="dxa"/>
              <w:left w:w="100" w:type="dxa"/>
              <w:right w:w="100" w:type="dxa"/>
            </w:tcMar>
          </w:tcPr>
          <w:p>
            <w:r>
              <w:rPr>
                <w:sz w:val="19"/>
              </w:rPr>
              <w:t>Track 4: Siting Optimization, Amenity Truthing &amp; Dashboard</w:t>
            </w:r>
          </w:p>
        </w:tc>
        <w:tc>
          <w:tcPr>
            <w:tcW w:type="dxa" w:w="3120"/>
            <w:shd w:fill="F9FBFC"/>
            <w:tcMar>
              <w:top w:w="80" w:type="dxa"/>
              <w:bottom w:w="80" w:type="dxa"/>
              <w:left w:w="100" w:type="dxa"/>
              <w:right w:w="100" w:type="dxa"/>
            </w:tcMar>
          </w:tcPr>
          <w:p>
            <w:r>
              <w:rPr>
                <w:sz w:val="19"/>
              </w:rPr>
              <w:t>Multi-Criteria Siting (K=25), Folium Map Visualizer &amp; Corridor Analysis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