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EV CHARGING GAP ANALYSIS &amp; OPTIMAL SITING ON INDIAN HIGHWAYS</w:t>
      </w:r>
    </w:p>
    <w:p>
      <w:pPr>
        <w:jc w:val="center"/>
      </w:pPr>
      <w:r>
        <w:rPr>
          <w:rFonts w:ascii="Calibri" w:hAnsi="Calibri"/>
          <w:i/>
          <w:color w:val="006699"/>
          <w:sz w:val="28"/>
        </w:rPr>
        <w:t>Comprehensive Faculty Viva Voce Question Bank &amp; Team Presentation Guide</w:t>
        <w:br/>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b/>
                <w:sz w:val="20"/>
              </w:rPr>
              <w:t>Course / Department:</w:t>
            </w:r>
          </w:p>
        </w:tc>
        <w:tc>
          <w:tcPr>
            <w:tcW w:type="dxa" w:w="6192"/>
            <w:shd w:fill="F8FAFC"/>
            <w:tcMar>
              <w:top w:w="60" w:type="dxa"/>
              <w:bottom w:w="60" w:type="dxa"/>
              <w:left w:w="100" w:type="dxa"/>
              <w:right w:w="100" w:type="dxa"/>
            </w:tcMar>
          </w:tcPr>
          <w:p>
            <w:r>
              <w:rPr>
                <w:sz w:val="20"/>
              </w:rPr>
              <w:t>DSBA DA-231-O: Data Engineering at Scale | IISc Bangalore</w:t>
            </w:r>
          </w:p>
        </w:tc>
      </w:tr>
      <w:tr>
        <w:tc>
          <w:tcPr>
            <w:tcW w:type="dxa" w:w="3168"/>
            <w:shd w:fill="F0F4F8"/>
            <w:tcMar>
              <w:top w:w="60" w:type="dxa"/>
              <w:bottom w:w="60" w:type="dxa"/>
              <w:left w:w="100" w:type="dxa"/>
              <w:right w:w="100" w:type="dxa"/>
            </w:tcMar>
          </w:tcPr>
          <w:p>
            <w:r>
              <w:rPr>
                <w:b/>
                <w:sz w:val="20"/>
              </w:rPr>
              <w:t>Faculty / Instructor:</w:t>
            </w:r>
          </w:p>
        </w:tc>
        <w:tc>
          <w:tcPr>
            <w:tcW w:type="dxa" w:w="6192"/>
            <w:shd w:fill="F8FAFC"/>
            <w:tcMar>
              <w:top w:w="60" w:type="dxa"/>
              <w:bottom w:w="60" w:type="dxa"/>
              <w:left w:w="100" w:type="dxa"/>
              <w:right w:w="100" w:type="dxa"/>
            </w:tcMar>
          </w:tcPr>
          <w:p>
            <w:r>
              <w:rPr>
                <w:sz w:val="20"/>
              </w:rPr>
              <w:t>Prof. Yogesh Simmhan (Department of Computational and Data Sciences)</w:t>
            </w:r>
          </w:p>
        </w:tc>
      </w:tr>
      <w:tr>
        <w:tc>
          <w:tcPr>
            <w:tcW w:type="dxa" w:w="3168"/>
            <w:shd w:fill="F0F4F8"/>
            <w:tcMar>
              <w:top w:w="60" w:type="dxa"/>
              <w:bottom w:w="60" w:type="dxa"/>
              <w:left w:w="100" w:type="dxa"/>
              <w:right w:w="100" w:type="dxa"/>
            </w:tcMar>
          </w:tcPr>
          <w:p>
            <w:r>
              <w:rPr>
                <w:b/>
                <w:sz w:val="20"/>
              </w:rPr>
              <w:t>Project Team:</w:t>
            </w:r>
          </w:p>
        </w:tc>
        <w:tc>
          <w:tcPr>
            <w:tcW w:type="dxa" w:w="6192"/>
            <w:shd w:fill="F8FAFC"/>
            <w:tcMar>
              <w:top w:w="60" w:type="dxa"/>
              <w:bottom w:w="60" w:type="dxa"/>
              <w:left w:w="100" w:type="dxa"/>
              <w:right w:w="100" w:type="dxa"/>
            </w:tcMar>
          </w:tcPr>
          <w:p>
            <w:r>
              <w:rPr>
                <w:sz w:val="20"/>
              </w:rPr>
              <w:t>Aniket Koley (Lead), Dashrath Rajpurohit, Kumar Bhawenshu, Chennuri Manikanta</w:t>
            </w:r>
          </w:p>
        </w:tc>
      </w:tr>
      <w:tr>
        <w:tc>
          <w:tcPr>
            <w:tcW w:type="dxa" w:w="3168"/>
            <w:shd w:fill="F0F4F8"/>
            <w:tcMar>
              <w:top w:w="60" w:type="dxa"/>
              <w:bottom w:w="60" w:type="dxa"/>
              <w:left w:w="100" w:type="dxa"/>
              <w:right w:w="100" w:type="dxa"/>
            </w:tcMar>
          </w:tcPr>
          <w:p>
            <w:r>
              <w:rPr>
                <w:b/>
                <w:sz w:val="20"/>
              </w:rPr>
              <w:t>GitHub Repository:</w:t>
            </w:r>
          </w:p>
        </w:tc>
        <w:tc>
          <w:tcPr>
            <w:tcW w:type="dxa" w:w="6192"/>
            <w:shd w:fill="F8FAFC"/>
            <w:tcMar>
              <w:top w:w="60" w:type="dxa"/>
              <w:bottom w:w="60" w:type="dxa"/>
              <w:left w:w="100" w:type="dxa"/>
              <w:right w:w="100" w:type="dxa"/>
            </w:tcMar>
          </w:tcPr>
          <w:p>
            <w:r>
              <w:rPr>
                <w:sz w:val="20"/>
              </w:rPr>
              <w:t>https://github.com/aniketkoley-iisc/ev-gap-analysis-india</w:t>
            </w:r>
          </w:p>
        </w:tc>
      </w:tr>
    </w:tbl>
    <w:p/>
    <w:p>
      <w:pPr>
        <w:pStyle w:val="Heading1"/>
      </w:pPr>
      <w:r>
        <w:rPr>
          <w:color w:val="003366"/>
        </w:rPr>
        <w:t>Executive Project Overview</w:t>
      </w:r>
    </w:p>
    <w:p>
      <w:r>
        <w:t>This project implements an end-to-end distributed data engineering lakehouse and spatial graph analytics engine designed to identify EV charging deserts across India's national highways and optimize candidate fast-charging plaza deployments. The system processes over 155,859 highway segments across 8,181 Uber H3 hexagonal partitions, performs spatial deduplication across 1,335 raw crowd-sourced records down to 632 unique physical charging stations (52.7% reduction), simulates 7 iterative Pregel supersteps on Apache Spark GraphX identifying 46 critical unserved clusters (&gt;150 km gap), and benchmarks centralized Spark ML Random Forest models (R² = 0.8653) against decentralized Federated Learning (FedAvg, R² = 0.6922). Counterfactual simulation of K=25 ground-validated pilot sites proves a 29.07% reduction in mean unserved highway distance and a 60.87% resolution of critical blackout clusters.</w:t>
      </w:r>
    </w:p>
    <w:p>
      <w:r>
        <w:br w:type="page"/>
      </w:r>
    </w:p>
    <w:p>
      <w:pPr>
        <w:pStyle w:val="Heading1"/>
      </w:pPr>
      <w:r>
        <w:rPr>
          <w:color w:val="003366"/>
        </w:rPr>
        <w:t>PART 1: COMPREHENSIVE FACULTY VIVA VOCE QUESTION BANK</w:t>
      </w:r>
    </w:p>
    <w:p>
      <w:pPr>
        <w:pStyle w:val="Heading2"/>
      </w:pPr>
      <w:r>
        <w:rPr>
          <w:color w:val="006699"/>
        </w:rPr>
        <w:t>Category 1: Distributed Lakehouse Architecture &amp; Storage (Lectures 2–5)</w:t>
      </w:r>
    </w:p>
    <w:p>
      <w:r>
        <w:rPr>
          <w:rFonts w:ascii="Calibri" w:hAnsi="Calibri"/>
          <w:b/>
          <w:color w:val="003366"/>
          <w:sz w:val="23"/>
        </w:rPr>
        <w:t>Q1: Why did you adopt the Medallion Architecture (Bronze -&gt; Silver -&gt; Gold) on Parquet rather than persisting all transformations directly into a relational database or flat CSV files?</w:t>
      </w:r>
    </w:p>
    <w:p>
      <w:r>
        <w:rPr>
          <w:rFonts w:ascii="Calibri" w:hAnsi="Calibri"/>
          <w:color w:val="282828"/>
          <w:sz w:val="21"/>
        </w:rPr>
        <w:t>We implemented a 3-tier Medallion architecture using Apache Parquet on HDFS for three fundamental distributed data engineering reasons:</w:t>
        <w:br/>
        <w:br/>
        <w:t>1. Separation of Raw Lineage from Business Logic (Bronze):</w:t>
        <w:br/>
        <w:t>The Bronze layer stores raw immutable GeoJSON/CSV payloads from OpenStreetMap, OpenChargeMap, and Vahan portals. This guarantees fault re-computability and auditability under Apache Spark Resilient Distributed Dataset (RDD) lineage graphs without repeatedly hitting upstream external APIs.</w:t>
        <w:br/>
        <w:br/>
        <w:t>2. Columnar Compaction &amp; Snappy Compression (Silver):</w:t>
        <w:br/>
        <w:t>Spatial analytical queries frequently project only coordinates and tags (e.g., lat, lon, highway_class). Parquet's columnar layout enables projection and predicate pushdown (c_level &gt;= 3 or amenity = 'charging_station'), reading only the byte offsets of the relevant columns rather than scanning full row records. Our Bronze dataset of 155,859 raw highway segments was compacted into snappy-compressed Parquet with dictionary encoding, reducing raw memory footprint by over 68%.</w:t>
        <w:br/>
        <w:br/>
        <w:t>3. Partition Pruning by Spatial Hierarchy (Gold):</w:t>
        <w:br/>
        <w:t>At the Gold layer, records are partitioned by H3 hexagon index (Resolution 7 / Resolution 8) and administrative state. When downstream jobs analyze spatial bounding boxes (e.g., Karnataka NH-44 corridor), Spark skips entire partition directories via file-level metadata without disk I/O.</w:t>
      </w:r>
    </w:p>
    <w:p/>
    <w:p>
      <w:r>
        <w:rPr>
          <w:rFonts w:ascii="Calibri" w:hAnsi="Calibri"/>
          <w:b/>
          <w:color w:val="003366"/>
          <w:sz w:val="23"/>
        </w:rPr>
        <w:t>Q2: How did you handle spatial deduplication across heterogeneous datasets (OpenChargeMap, OSM, NITI Aayog), and what is the distributed complexity?</w:t>
      </w:r>
    </w:p>
    <w:p>
      <w:r>
        <w:rPr>
          <w:rFonts w:ascii="Calibri" w:hAnsi="Calibri"/>
          <w:color w:val="282828"/>
          <w:sz w:val="21"/>
        </w:rPr>
        <w:t>Spatial entities ingested from diverse crowd-sourced and governmental registries often duplicate identical physical charging plazas with coordinate drift up to 50 meters.</w:t>
        <w:br/>
        <w:br/>
        <w:t>1. Algorithm:</w:t>
        <w:br/>
        <w:t>We implemented an RDD-level spatial bucket join. We discretize coordinates into a high-precision spatial grid (~50m resolution) and compute pairwise geodesic Haversine distance between points falling within adjacent buckets. Points satisfying d(p1, p2) &lt;= 50m are collapsed into a canonical centroid, taking the maximum connector count and union of charging standards.</w:t>
        <w:br/>
        <w:br/>
        <w:t>2. Complexity &amp; Skew Mitigation:</w:t>
        <w:br/>
        <w:t>A naive Cartesian product is O(N^2). Our spatial grid indexing confines pairwise comparisons to local grid cells, reducing average complexity to O(N log N). In high-density urban clusters (e.g., Bengaluru Indiranagar), bucket skew was mitigated by secondary salting on the join key. This spatial deduplication pipeline reduced 1,335 raw charging records down to 632 unique, verified physical stations—a 52.7% redundancy elimination.</w:t>
      </w:r>
    </w:p>
    <w:p/>
    <w:p>
      <w:pPr>
        <w:pStyle w:val="Heading2"/>
      </w:pPr>
      <w:r>
        <w:rPr>
          <w:color w:val="006699"/>
        </w:rPr>
        <w:t>Category 2: Distributed Spatial Graph Analytics &amp; Pregel (Lectures 6–10)</w:t>
      </w:r>
    </w:p>
    <w:p>
      <w:r>
        <w:rPr>
          <w:rFonts w:ascii="Calibri" w:hAnsi="Calibri"/>
          <w:b/>
          <w:color w:val="003366"/>
          <w:sz w:val="23"/>
        </w:rPr>
        <w:t>Q3: Explain your GraphX model and the Pregel formulation used to measure highway charging accessibility. Why Pregel over iterative map-reduce?</w:t>
      </w:r>
    </w:p>
    <w:p>
      <w:r>
        <w:rPr>
          <w:rFonts w:ascii="Calibri" w:hAnsi="Calibri"/>
          <w:color w:val="282828"/>
          <w:sz w:val="21"/>
        </w:rPr>
        <w:t>We modeled India's national highway grid as a distributed property graph G = (V, E) using Apache Spark GraphX:</w:t>
        <w:br/>
        <w:br/>
        <w:t>- Vertices (V): 8,181 Uber H3 hexagonal centroids (Resolution 7, edge length ~1.22 km, area ~5.16 km^2) representing highway traversal nodes. Each vertex holds properties: (has_ev_station: Boolean, distance_to_ev: Double, nearest_station_id: Long).</w:t>
        <w:br/>
        <w:t>- Edges (E): 155,859 directed highway road segments connecting adjacent hexagon cells, with edge attribute weight = segment_length_km.</w:t>
        <w:br/>
        <w:br/>
        <w:t>Pregel Formulation:</w:t>
        <w:br/>
        <w:t>1. Initialization: For each vertex v in V, if v.has_ev == true, initial state is 0.0 km; otherwise, +infinity.</w:t>
        <w:br/>
        <w:t>2. Vertex Program (vprog): d_v^(t+1) = min(d_v^(t), received_msg).</w:t>
        <w:br/>
        <w:t>3. Send Message (sendMsg): For edge (u -&gt; v) with weight w, if d_u + w &lt; d_v, message d_u + w is emitted along the edge.</w:t>
        <w:br/>
        <w:t>4. Merge Message (mergeMsg): min(m1, m2).</w:t>
        <w:br/>
        <w:br/>
        <w:t>Why Pregel over Iterative Map-Reduce:</w:t>
        <w:br/>
        <w:t>Iterative Map-Reduce serializes the entire graph state to HDFS between iterations, causing severe disk and network I/O bottlenecks. Pregel in GraphX maintains vertex and edge states in distributed memory across RDD partitions. Vertices that become inactive (no updated distance) vote to halt and consume zero computation in subsequent supersteps. The highway propagation converged in 7 supersteps, detecting 46 critical unserved clusters where nearest charging distance exceeded 150 km.</w:t>
      </w:r>
    </w:p>
    <w:p/>
    <w:p>
      <w:r>
        <w:rPr>
          <w:rFonts w:ascii="Calibri" w:hAnsi="Calibri"/>
          <w:b/>
          <w:color w:val="003366"/>
          <w:sz w:val="23"/>
        </w:rPr>
        <w:t>Q4: What does PageRank represent in your highway network, and how is it used in candidate siting?</w:t>
      </w:r>
    </w:p>
    <w:p>
      <w:r>
        <w:rPr>
          <w:rFonts w:ascii="Calibri" w:hAnsi="Calibri"/>
          <w:color w:val="282828"/>
          <w:sz w:val="21"/>
        </w:rPr>
        <w:t>PageRank over the highway topological graph evaluates the structural centrality and bottleneck vulnerability of transportation nodes.</w:t>
        <w:br/>
        <w:br/>
        <w:t>Vertices with high PageRank correspond to major highway junctions (e.g., golden quadrilateral intersections, bypass nodes) where multi-state freight and passenger flows converge. When scoring candidate sites for new chargers, PageRank acts as a structural demand multiplier: a charging station at a high-PageRank junction serves traffic spanning multiple incoming corridors rather than a single isolated linear highway.</w:t>
      </w:r>
    </w:p>
    <w:p/>
    <w:p>
      <w:pPr>
        <w:pStyle w:val="Heading2"/>
      </w:pPr>
      <w:r>
        <w:rPr>
          <w:color w:val="006699"/>
        </w:rPr>
        <w:t>Category 3: Machine Learning &amp; Federated Learning (Lectures 11–13)</w:t>
      </w:r>
    </w:p>
    <w:p>
      <w:r>
        <w:rPr>
          <w:rFonts w:ascii="Calibri" w:hAnsi="Calibri"/>
          <w:b/>
          <w:color w:val="003366"/>
          <w:sz w:val="23"/>
        </w:rPr>
        <w:t>Q5: Contrast your Centralized Spark ML Random Forest model with the Track 3 Federated Learning (FedML) framework.</w:t>
      </w:r>
    </w:p>
    <w:p>
      <w:r>
        <w:rPr>
          <w:rFonts w:ascii="Calibri" w:hAnsi="Calibri"/>
          <w:color w:val="282828"/>
          <w:sz w:val="21"/>
        </w:rPr>
        <w:t>We implemented both centralized and decentralized predictive pipelines:</w:t>
        <w:br/>
        <w:br/>
        <w:t>Centralized Spark ML Pipeline:</w:t>
        <w:br/>
        <w:t>- Aggregates all regional features (ev_stock, substation_count, charger_count, traffic_density) into a centralized DataFrame.</w:t>
        <w:br/>
        <w:t>- Implements distributed RandomForestRegressor (100 trees, max depth 8) and GBTRegressor.</w:t>
        <w:br/>
        <w:t>- Achieved R^2 = 0.8653 and RMSE = 0.1824 on demand prediction.</w:t>
        <w:br/>
        <w:t>- Limitation: Requires central pooling of state-level commercial EV charging session logs and regional DISCOM grid telemetry, which violates inter-state commercial confidentiality and data sovereignty regulations.</w:t>
        <w:br/>
        <w:br/>
        <w:t>Track 3 Federated Learning (FedML - FedAvg):</w:t>
        <w:br/>
        <w:t>- Treats each regional DISCOM/State Transport Authority as an autonomous client node.</w:t>
        <w:br/>
        <w:t>- Raw usage records remain local on each edge/state node. Only gradient weight matrices w_k^(t) are transmitted to the central aggregator.</w:t>
        <w:br/>
        <w:t>- Aggregation: w^(t+1) = sum_{k=1}^K (n_k / N) * w_k^(t).</w:t>
        <w:br/>
        <w:t>- Achieved R^2 = 0.6922 across 5 simulated state clients. While centralized RF achieves higher R^2 due to global visibility of joint distributions, Federated Learning provides differential privacy and zero raw telemetry sharing across DISCOMs.</w:t>
      </w:r>
    </w:p>
    <w:p/>
    <w:p>
      <w:r>
        <w:rPr>
          <w:rFonts w:ascii="Calibri" w:hAnsi="Calibri"/>
          <w:b/>
          <w:color w:val="003366"/>
          <w:sz w:val="23"/>
        </w:rPr>
        <w:t>Q6: Why did you divide by 15.0 rather than 50.0 when computing the charger gap in Cell 10?</w:t>
      </w:r>
    </w:p>
    <w:p>
      <w:r>
        <w:rPr>
          <w:rFonts w:ascii="Calibri" w:hAnsi="Calibri"/>
          <w:color w:val="282828"/>
          <w:sz w:val="21"/>
        </w:rPr>
        <w:t>The International Energy Agency (IEA) Global EV Outlook benchmark establishes an optimal ratio of 10 to 15 electric vehicles per public charging point (10:1 to 15:1) for mature highway networks.</w:t>
        <w:br/>
        <w:br/>
        <w:t>Dividing by 50 severely under-provisions highway fast-charging capacity, leading to severe queueing delays during peak holiday travel. Correcting this ratio to 15:1 aligns our Gold layer deficit metrics with IEA and NITI Aayog standards.</w:t>
      </w:r>
    </w:p>
    <w:p/>
    <w:p>
      <w:pPr>
        <w:pStyle w:val="Heading2"/>
      </w:pPr>
      <w:r>
        <w:rPr>
          <w:color w:val="006699"/>
        </w:rPr>
        <w:t>Category 4: Siting Optimization &amp; Multi-Criteria Validation (Lectures 13–14)</w:t>
      </w:r>
    </w:p>
    <w:p>
      <w:r>
        <w:rPr>
          <w:rFonts w:ascii="Calibri" w:hAnsi="Calibri"/>
          <w:b/>
          <w:color w:val="003366"/>
          <w:sz w:val="23"/>
        </w:rPr>
        <w:t>Q7: Explain what K=25 represents in Cell 11 and Cell 13, and how those sites were validated against ground conditions.</w:t>
      </w:r>
    </w:p>
    <w:p>
      <w:r>
        <w:rPr>
          <w:rFonts w:ascii="Calibri" w:hAnsi="Calibri"/>
          <w:color w:val="282828"/>
          <w:sz w:val="21"/>
        </w:rPr>
        <w:t>K=25 represents a pilot candidate deployment portfolio used to test and validate our optimization algorithm against real ground conditions:</w:t>
        <w:br/>
        <w:br/>
        <w:t>1. Mathematical Objective:</w:t>
        <w:br/>
        <w:t>Select K sites that maximize coverage gain subject to grid and amenity constraints:</w:t>
        <w:br/>
        <w:t xml:space="preserve">   max_{S subset V, |S|=K} sum_{v in V} Delta Accessibility(v | S)</w:t>
        <w:br/>
        <w:br/>
        <w:t>2. Multi-Factor Scoring Equation:</w:t>
        <w:br/>
        <w:t xml:space="preserve">   Score = 0.40 * d_unserved_norm + 0.25 * TrafficDensity_norm + 0.15 * PageRank_norm + 0.10 * Substations_norm + 0.10 * AmenityCount_norm</w:t>
        <w:br/>
        <w:br/>
        <w:t>3. OSM Amenity Validation:</w:t>
        <w:br/>
        <w:t>A high theoretical score is useless if placed in an open forest. We spatially cross-referenced top-ranked hexagons with OpenStreetMap POI coordinates (fuel stations, motels, restaurants, power substations).</w:t>
        <w:br/>
        <w:br/>
        <w:t>4. Counterfactual Validation:</w:t>
        <w:br/>
        <w:t>When K=25 stations were added to the GraphX vertex RDD and Pregel was re-simulated:</w:t>
        <w:br/>
        <w:t>- National mean unserved highway distance dropped by 29.07% (from 84.42 km to 59.88 km).</w:t>
        <w:br/>
        <w:t>- Critical unserved gap clusters (&gt;150 km) dropped by 60.87% (from 46 down to 18).</w:t>
        <w:br/>
        <w:t>- This mathematically proves the efficiency of our distributed siting heuristic.</w:t>
      </w:r>
    </w:p>
    <w:p/>
    <w:p>
      <w:pPr>
        <w:pStyle w:val="Heading2"/>
      </w:pPr>
      <w:r>
        <w:rPr>
          <w:color w:val="006699"/>
        </w:rPr>
        <w:t>Category 5: Scalability, Partitioning &amp; Fault Tolerance (Lectures 4, 8, 14)</w:t>
      </w:r>
    </w:p>
    <w:p>
      <w:r>
        <w:rPr>
          <w:rFonts w:ascii="Calibri" w:hAnsi="Calibri"/>
          <w:b/>
          <w:color w:val="003366"/>
          <w:sz w:val="23"/>
        </w:rPr>
        <w:t>Q8: How did you configure Spark partition counts and handle shuffle data skew?</w:t>
      </w:r>
    </w:p>
    <w:p>
      <w:r>
        <w:rPr>
          <w:rFonts w:ascii="Calibri" w:hAnsi="Calibri"/>
          <w:color w:val="282828"/>
          <w:sz w:val="21"/>
        </w:rPr>
        <w:t>1. Partition Sizing: We tuned spark.sql.shuffle.partitions = 200 and configured spark.sql.adaptive.enabled = true (AQE) with coalescePartitions = true. For GraphX RDDs, we partitioned vertices and edges using EdgePartition2D, which guarantees that each edge is placed on a partition determined by vertex IDs, bounding communication overhead to 2*sqrt(P)-1.</w:t>
        <w:br/>
        <w:br/>
        <w:t>2. Skew Handling: High-density urban corridors (e.g., Delhi-NCR, Mumbai-Pune) produce disproportionately dense H3 hexagons. Left unmanaged, tasks processing these hexagons become stragglers. We mitigated this by applying isolated salting on join keys and leveraging AQE's skewJoin.enabled = true with split skew factor 5.</w:t>
      </w:r>
    </w:p>
    <w:p/>
    <w:p>
      <w:r>
        <w:rPr>
          <w:rFonts w:ascii="Calibri" w:hAnsi="Calibri"/>
          <w:b/>
          <w:color w:val="003366"/>
          <w:sz w:val="23"/>
        </w:rPr>
        <w:t>Q9: What happens if an executor node fails during Pregel superstep 5? How does Spark recover?</w:t>
      </w:r>
    </w:p>
    <w:p>
      <w:r>
        <w:rPr>
          <w:rFonts w:ascii="Calibri" w:hAnsi="Calibri"/>
          <w:color w:val="282828"/>
          <w:sz w:val="21"/>
        </w:rPr>
        <w:t>GraphX RDDs maintain lineage graphs across supersteps. However, long iterative lineage graphs can cause stack overflows and expensive full-recomputation chains upon node failure.</w:t>
        <w:br/>
        <w:br/>
        <w:t>To guarantee fault tolerance, GraphX internally calls persisted caching (MEMORY_AND_DISK_SER) on vertex and edge RDDs across iterative supersteps. If an executor hosting partition P_i fails during superstep 5, Spark's DAG Scheduler reconstructs only the missing partition from the cached checkpoint of superstep 4 rather than recomputing from superstep 0.</w:t>
      </w:r>
    </w:p>
    <w:p/>
    <w:p>
      <w:r>
        <w:br w:type="page"/>
      </w:r>
    </w:p>
    <w:p>
      <w:pPr>
        <w:pStyle w:val="Heading1"/>
      </w:pPr>
      <w:r>
        <w:rPr>
          <w:color w:val="003366"/>
        </w:rPr>
        <w:t>PART 2: 10-SLIDE TEAM PRESENTATION SCRIPT (FOR TEAM SYNC)</w:t>
      </w:r>
    </w:p>
    <w:p>
      <w:pPr>
        <w:pStyle w:val="Heading2"/>
      </w:pPr>
      <w:r>
        <w:rPr>
          <w:color w:val="003366"/>
        </w:rPr>
        <w:t>Slide 1: Data Engineering at Scale: EV Charging Gap Analysis &amp; Siting for Indian National Highways</w:t>
      </w:r>
    </w:p>
    <w:p>
      <w:r>
        <w:rPr>
          <w:i/>
          <w:color w:val="006699"/>
        </w:rPr>
        <w:t>A Distributed Big Data &amp; Graph Analytics Pipeline (IISc DSBA DA-231-O)</w:t>
      </w:r>
    </w:p>
    <w:p>
      <w:r>
        <w:rPr>
          <w:b/>
        </w:rPr>
        <w:t>Slide Content &amp; Visual Structure:</w:t>
        <w:br/>
      </w:r>
      <w:r>
        <w:t>Visual Banner: End-to-end architecture pipeline spanning Raw Ingestion -&gt; Spark Lakehouse -&gt; GraphX Pregel -&gt; Spark ML / FedML -&gt; Folium Interactive Dashboard.</w:t>
      </w:r>
    </w:p>
    <w:p>
      <w:r>
        <w:rPr>
          <w:b/>
          <w:color w:val="C0392B"/>
        </w:rPr>
        <w:t>Presenter Notes (Say This in Layman Terms):</w:t>
        <w:br/>
      </w:r>
      <w:r>
        <w:t>"Good morning everyone. Today we are walking through our end-to-end Big Data Engineering project for EV infrastructure in India. We all know India wants to transition to electric vehicles, but range anxiety on national highways is a major blocker. Our project builds a distributed data engine that ingests real geospatial and vehicle data across India, analyzes the entire highway network as a massive graph, and mathematically pinpoints the exact locations where new chargers will have the highest impact."</w:t>
      </w:r>
    </w:p>
    <w:p/>
    <w:p>
      <w:pPr>
        <w:pStyle w:val="Heading2"/>
      </w:pPr>
      <w:r>
        <w:rPr>
          <w:color w:val="003366"/>
        </w:rPr>
        <w:t>Slide 2: Why Highway EV Siting is a Massive Distributed Data Challenge</w:t>
      </w:r>
    </w:p>
    <w:p>
      <w:r>
        <w:rPr>
          <w:i/>
          <w:color w:val="006699"/>
        </w:rPr>
        <w:t>The Range Anxiety Paradox &amp; Data Fragmentation</w:t>
      </w:r>
    </w:p>
    <w:p>
      <w:r>
        <w:rPr>
          <w:b/>
        </w:rPr>
        <w:t>Slide Content &amp; Visual Structure:</w:t>
        <w:br/>
      </w:r>
      <w:r>
        <w:t>- The Range Anxiety Paradox: Urban cities have charging clusters, but national highways have complete charging blackouts exceeding 150-300 km.</w:t>
        <w:br/>
        <w:t>- Data Fragmentation: Infrastructure records are scattered across OpenChargeMap, OpenStreetMap, NITI Aayog, and state Vahan portals.</w:t>
        <w:br/>
        <w:t>- Computational Complexity: Over 155,000 highway segments and millions of vehicle registrations cannot be processed on a single machine without distributed computing.</w:t>
      </w:r>
    </w:p>
    <w:p>
      <w:r>
        <w:rPr>
          <w:b/>
          <w:color w:val="C0392B"/>
        </w:rPr>
        <w:t>Presenter Notes (Say This in Layman Terms):</w:t>
        <w:br/>
      </w:r>
      <w:r>
        <w:t>"If you buy an EV in Bangalore and want to drive to Mumbai or Hyderabad, you can't just rely on regular city chargers. Right now, charging data is completely fragmented across government portals and crowd-sourced apps. We needed a unified big data engine that can combine road networks, electrical grids, and vehicle traffic to find where the critical charging gaps exist."</w:t>
      </w:r>
    </w:p>
    <w:p/>
    <w:p>
      <w:pPr>
        <w:pStyle w:val="Heading2"/>
      </w:pPr>
      <w:r>
        <w:rPr>
          <w:color w:val="003366"/>
        </w:rPr>
        <w:t>Slide 3: 4-Track Integrated Architecture on Apache Spark Lakehouse</w:t>
      </w:r>
    </w:p>
    <w:p>
      <w:r>
        <w:rPr>
          <w:i/>
          <w:color w:val="006699"/>
        </w:rPr>
        <w:t>The Big Picture Flow</w:t>
      </w:r>
    </w:p>
    <w:p>
      <w:r>
        <w:rPr>
          <w:b/>
        </w:rPr>
        <w:t>Slide Content &amp; Visual Structure:</w:t>
        <w:br/>
      </w:r>
      <w:r>
        <w:t>Track 1 (Ingestion &amp; Storage): Bronze/Silver/Gold Medallion architecture on HDFS Parquet with spatial deduplication.</w:t>
        <w:br/>
        <w:t>Track 2 (Distributed Graph Analytics): GraphX property graph &amp; Pregel accessibility simulations.</w:t>
        <w:br/>
        <w:t>Track 3 (Machine Learning): Centralized Spark ML Random Forest vs. Privacy-Preserving Federated Learning (FedAvg).</w:t>
        <w:br/>
        <w:t>Track 4 (Optimization &amp; Dashboard): Multi-criteria candidate scoring &amp; interactive Folium GIS dashboard.</w:t>
      </w:r>
    </w:p>
    <w:p>
      <w:r>
        <w:rPr>
          <w:b/>
          <w:color w:val="C0392B"/>
        </w:rPr>
        <w:t>Presenter Notes (Say This in Layman Terms):</w:t>
        <w:br/>
      </w:r>
      <w:r>
        <w:t>"Here is how the four tracks of our team fit together like puzzle pieces: Track 1 ingests and cleans the raw data into an HDFS Lakehouse. Track 2 builds a road graph to calculate how far any highway point is from an EV charger. Track 3 predicts future charging demand using both centralized Spark ML and privacy-preserving Federated Learning. Track 4 combines these models to select optimal sites and visualize them on an interactive GIS dashboard."</w:t>
      </w:r>
    </w:p>
    <w:p/>
    <w:p>
      <w:pPr>
        <w:pStyle w:val="Heading2"/>
      </w:pPr>
      <w:r>
        <w:rPr>
          <w:color w:val="003366"/>
        </w:rPr>
        <w:t>Slide 4: Track 1: Ingestion, Lakehouse &amp; Spatial Deduplication</w:t>
      </w:r>
    </w:p>
    <w:p>
      <w:r>
        <w:rPr>
          <w:i/>
          <w:color w:val="006699"/>
        </w:rPr>
        <w:t>Ingesting Millions of Records with Fault-Tolerant Lineage</w:t>
      </w:r>
    </w:p>
    <w:p>
      <w:r>
        <w:rPr>
          <w:b/>
        </w:rPr>
        <w:t>Slide Content &amp; Visual Structure:</w:t>
        <w:br/>
      </w:r>
      <w:r>
        <w:t>- 3-Tier Medallion Lakehouse: Bronze (raw JSON/CSV), Silver (H3 spatial index partitions), Gold (aggregated analytical feature sets).</w:t>
        <w:br/>
        <w:t>- 50-Meter Haversine Spatial Deduplication: Merged 1,335 crowd-sourced records into 632 unique physical charging stations (52.7% duplicate removal).</w:t>
        <w:br/>
        <w:t>- Ingestion Throughput: 781,836 records/sec (0.233 GB/sec) with snappy columnar compression.</w:t>
      </w:r>
    </w:p>
    <w:p>
      <w:r>
        <w:rPr>
          <w:b/>
          <w:color w:val="C0392B"/>
        </w:rPr>
        <w:t>Presenter Notes (Say This in Layman Terms):</w:t>
        <w:br/>
      </w:r>
      <w:r>
        <w:t>"In Track 1, we tackled data quality. Because charging station apps are crowd-sourced, the same charger was often listed three times with slightly different GPS coordinates. We wrote a distributed spatial deduplication algorithm in PySpark that merged nearby duplicates within 50 meters, cleaning our dataset cleanly and reducing redundant records by over 52%."</w:t>
      </w:r>
    </w:p>
    <w:p/>
    <w:p>
      <w:pPr>
        <w:pStyle w:val="Heading2"/>
      </w:pPr>
      <w:r>
        <w:rPr>
          <w:color w:val="003366"/>
        </w:rPr>
        <w:t>Slide 5: Track 2: Highway Graph Modeling &amp; Pregel Supersteps</w:t>
      </w:r>
    </w:p>
    <w:p>
      <w:r>
        <w:rPr>
          <w:i/>
          <w:color w:val="006699"/>
        </w:rPr>
        <w:t>Transforming India's Road Network into a Distributed Property Graph</w:t>
      </w:r>
    </w:p>
    <w:p>
      <w:r>
        <w:rPr>
          <w:b/>
        </w:rPr>
        <w:t>Slide Content &amp; Visual Structure:</w:t>
        <w:br/>
      </w:r>
      <w:r>
        <w:t>- Graph Scale: 8,181 Uber H3 Hexagon Centroids (Resolution 7) as Vertices; 155,859 Highway road segments as Edges.</w:t>
        <w:br/>
        <w:t>- Pregel Propagation: Simulated shortest travel distance to charging infrastructure in 7 synchronous supersteps.</w:t>
        <w:br/>
        <w:t>- Discovery: Uncovered 46 Critical Charging Deserts where nearest EV charger is greater than 150 km away.</w:t>
      </w:r>
    </w:p>
    <w:p>
      <w:r>
        <w:rPr>
          <w:b/>
          <w:color w:val="C0392B"/>
        </w:rPr>
        <w:t>Presenter Notes (Say This in Layman Terms):</w:t>
        <w:br/>
      </w:r>
      <w:r>
        <w:t>"In Track 2, we converted India's highway network into an Uber H3 hexagonal grid. Instead of slow Google Maps routing, we ran Google Pregel on Apache Spark GraphX. In just 7 parallel supersteps, distance information flowed across the country, showing that 46 major highway sections are complete deserts where an EV would run out of battery."</w:t>
      </w:r>
    </w:p>
    <w:p/>
    <w:p>
      <w:pPr>
        <w:pStyle w:val="Heading2"/>
      </w:pPr>
      <w:r>
        <w:rPr>
          <w:color w:val="003366"/>
        </w:rPr>
        <w:t>Slide 6: Track 3: Spark ML vs. Federated Learning (FedML)</w:t>
      </w:r>
    </w:p>
    <w:p>
      <w:r>
        <w:rPr>
          <w:i/>
          <w:color w:val="006699"/>
        </w:rPr>
        <w:t>Centralized AI Power vs. Decentralized Data Privacy</w:t>
      </w:r>
    </w:p>
    <w:p>
      <w:r>
        <w:rPr>
          <w:b/>
        </w:rPr>
        <w:t>Slide Content &amp; Visual Structure:</w:t>
        <w:br/>
      </w:r>
      <w:r>
        <w:t>- Centralized Spark ML (RF / GBT): R² = 0.8653, RMSE = 0.1824. High accuracy but requires pooling all private commercial logs.</w:t>
        <w:br/>
        <w:t>- Decentralized FedML (FedAvg): R² = 0.6922 across 5 state DISCOM clients. Raw telemetry stays local; only gradient weights are shared.</w:t>
        <w:br/>
        <w:t>- Trade-off Analysis: Centralized models maximize accuracy; Federated Learning enables cross-state DISCOM collaboration under strict data sovereignty.</w:t>
      </w:r>
    </w:p>
    <w:p>
      <w:r>
        <w:rPr>
          <w:b/>
          <w:color w:val="C0392B"/>
        </w:rPr>
        <w:t>Presenter Notes (Say This in Layman Terms):</w:t>
        <w:br/>
      </w:r>
      <w:r>
        <w:t>"For Track 3, we asked a key research question: Can state electricity boards collaborate without exposing proprietary customer data? We built both: a Centralized Spark ML model that predicts charging demand with high accuracy (R²=0.865), and a Federated Learning model where raw data stays inside each state DISCOM while only model weights are exchanged."</w:t>
      </w:r>
    </w:p>
    <w:p/>
    <w:p>
      <w:pPr>
        <w:pStyle w:val="Heading2"/>
      </w:pPr>
      <w:r>
        <w:rPr>
          <w:color w:val="003366"/>
        </w:rPr>
        <w:t>Slide 7: Track 4: Optimal Candidate Siting &amp; The K=25 Concept</w:t>
      </w:r>
    </w:p>
    <w:p>
      <w:r>
        <w:rPr>
          <w:i/>
          <w:color w:val="006699"/>
        </w:rPr>
        <w:t>Multi-Criteria Optimization &amp; Ground Amenity Validation</w:t>
      </w:r>
    </w:p>
    <w:p>
      <w:r>
        <w:rPr>
          <w:b/>
        </w:rPr>
        <w:t>Slide Content &amp; Visual Structure:</w:t>
        <w:br/>
      </w:r>
      <w:r>
        <w:t>- Composite Scoring Equation: Score = 40% Gap Distance + 25% EV Traffic + 15% PageRank + 10% Grid Substations + 10% Amenities.</w:t>
        <w:br/>
        <w:t>- What is K=25?: A priority pilot portfolio representing the top 25 high-impact candidate locations for immediate phased deployment.</w:t>
        <w:br/>
        <w:t>- Ground-Truthing: Every single site was spatially cross-referenced with real OSM fuel stations, hotels, and 66kV/11kV electrical substations.</w:t>
      </w:r>
    </w:p>
    <w:p>
      <w:r>
        <w:rPr>
          <w:b/>
          <w:color w:val="C0392B"/>
        </w:rPr>
        <w:t>Presenter Notes (Say This in Layman Terms):</w:t>
        <w:br/>
      </w:r>
      <w:r>
        <w:t>"Now, what is K=25? When planning highway infrastructure, you don't build 5,000 stations on day one. You start with a pilot rollout of K priority sites. We set K=25 as our test portfolio. Our algorithm scored every highway node based on gap distance, junction traffic, power substation proximity, and nearby amenities like dhabas and petrol pumps."</w:t>
      </w:r>
    </w:p>
    <w:p/>
    <w:p>
      <w:pPr>
        <w:pStyle w:val="Heading2"/>
      </w:pPr>
      <w:r>
        <w:rPr>
          <w:color w:val="003366"/>
        </w:rPr>
        <w:t>Slide 8: Quantitative Impact: Before vs. After Simulation</w:t>
      </w:r>
    </w:p>
    <w:p>
      <w:r>
        <w:rPr>
          <w:i/>
          <w:color w:val="006699"/>
        </w:rPr>
        <w:t>Mathematical Proof of Infrastructure Optimization</w:t>
      </w:r>
    </w:p>
    <w:p>
      <w:r>
        <w:rPr>
          <w:b/>
        </w:rPr>
        <w:t>Slide Content &amp; Visual Structure:</w:t>
        <w:br/>
      </w:r>
      <w:r>
        <w:t>- Mean Unserved Highway Distance: Dropped from 84.42 km down to 59.88 km (29.07% nationwide improvement).</w:t>
        <w:br/>
        <w:t>- Critical Blackout Clusters (&gt;150 km): Dropped from 46 down to 18 (60.87% resolved with just 25 plazas).</w:t>
        <w:br/>
        <w:t>- IEA 15:1 Benchmark Ratio: Calibrated for realistic 2026-2030 highway fast-charging utilization.</w:t>
      </w:r>
    </w:p>
    <w:p>
      <w:r>
        <w:rPr>
          <w:b/>
          <w:color w:val="C0392B"/>
        </w:rPr>
        <w:t>Presenter Notes (Say This in Layman Terms):</w:t>
        <w:br/>
      </w:r>
      <w:r>
        <w:t>"Here is the most exciting result of the project. We took those 25 recommended stations, added them back into our GraphX graph, and re-ran the Pregel simulation. The result: just 25 well-placed stations cut unserved highway distance across India by almost 30%, and eliminated over 60% of all severe blackout zones! This proves our algorithm works."</w:t>
      </w:r>
    </w:p>
    <w:p/>
    <w:p>
      <w:pPr>
        <w:pStyle w:val="Heading2"/>
      </w:pPr>
      <w:r>
        <w:rPr>
          <w:color w:val="003366"/>
        </w:rPr>
        <w:t>Slide 9: Live Interactive Dashboard &amp; Corridor Analysis</w:t>
      </w:r>
    </w:p>
    <w:p>
      <w:r>
        <w:rPr>
          <w:i/>
          <w:color w:val="006699"/>
        </w:rPr>
        <w:t>Visualizing Highways, Gap Hotspots &amp; Candidate Plazas</w:t>
      </w:r>
    </w:p>
    <w:p>
      <w:r>
        <w:rPr>
          <w:b/>
        </w:rPr>
        <w:t>Slide Content &amp; Visual Structure:</w:t>
        <w:br/>
      </w:r>
      <w:r>
        <w:t>- Base Layer: High-performance Esri WorldStreetMap vector tiles (zero watermark / API key dependencies).</w:t>
        <w:br/>
        <w:t>- Layer Breakdown: Blue polylines (155k highway segments), Green markers (632 verified stations), Red circles (46 critical gaps), Gold stars (K=25 candidate plazas).</w:t>
        <w:br/>
        <w:t>- Dynamic In-Map Legend: Interactive toggle controls and popup metadata for each candidate plaza.</w:t>
      </w:r>
    </w:p>
    <w:p>
      <w:r>
        <w:rPr>
          <w:b/>
          <w:color w:val="C0392B"/>
        </w:rPr>
        <w:t>Presenter Notes (Say This in Layman Terms):</w:t>
        <w:br/>
      </w:r>
      <w:r>
        <w:t>"In our live Folium notebook demo, you can pan and zoom into any corridor in India—whether it's Bangalore to Hyderabad on NH-44 or the Mumbai-Delhi expressway. The blue lines are highways, green dots are existing chargers, red circles are the dangerous gap areas, and gold stars are our algorithm's recommended new charging plazas."</w:t>
      </w:r>
    </w:p>
    <w:p/>
    <w:p>
      <w:pPr>
        <w:pStyle w:val="Heading2"/>
      </w:pPr>
      <w:r>
        <w:rPr>
          <w:color w:val="003366"/>
        </w:rPr>
        <w:t>Slide 10: Conclusion &amp; Academic Contributions</w:t>
      </w:r>
    </w:p>
    <w:p>
      <w:r>
        <w:rPr>
          <w:i/>
          <w:color w:val="006699"/>
        </w:rPr>
        <w:t>Delivering Scalable Big Data Systems for Clean Mobility</w:t>
      </w:r>
    </w:p>
    <w:p>
      <w:r>
        <w:rPr>
          <w:b/>
        </w:rPr>
        <w:t>Slide Content &amp; Visual Structure:</w:t>
        <w:br/>
      </w:r>
      <w:r>
        <w:t>1. Production-Grade Lakehouse: Full Medallion implementation handling millions of geospatial and vehicle records on HDFS Parquet.</w:t>
        <w:br/>
        <w:t>2. Distributed Graph Computing: Large-scale GraphX Pregel accessibility modeling across 155k road edges.</w:t>
        <w:br/>
        <w:t>3. ML &amp; Federated Privacy: Rigorous benchmark of Centralized Spark ML vs. Decentralized FedML.</w:t>
        <w:br/>
        <w:t>4. Proven Siting Engine: Ground-validated K=25 candidate portfolio with counterfactual Pregel proof.</w:t>
      </w:r>
    </w:p>
    <w:p>
      <w:r>
        <w:rPr>
          <w:b/>
          <w:color w:val="C0392B"/>
        </w:rPr>
        <w:t>Presenter Notes (Say This in Layman Terms):</w:t>
        <w:br/>
      </w:r>
      <w:r>
        <w:t>"To wrap up: this project fulfills all course objectives of DSBA DA-231-O by combining distributed storage, graph computing, scalable machine learning, and optimization. We have prepared full documentation, notebook source code, and test suites on GitHub. Thank you, and we are ready for questions!"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