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3366"/>
          <w:sz w:val="40"/>
        </w:rPr>
        <w:t>STANDARD OPERATING PROCEDURE (SOP)</w:t>
        <w:br/>
        <w:t>LIVE PROJECT PRESENTATION &amp; DEMO GUIDE</w:t>
      </w:r>
    </w:p>
    <w:p>
      <w:pPr>
        <w:jc w:val="center"/>
      </w:pPr>
      <w:r>
        <w:rPr>
          <w:rFonts w:ascii="Calibri" w:hAnsi="Calibri"/>
          <w:i/>
          <w:color w:val="006699"/>
          <w:sz w:val="26"/>
        </w:rPr>
        <w:t>A Fail-Safe Playbook for the Team in Case the Lead is Unavailable</w:t>
        <w:br/>
      </w:r>
    </w:p>
    <w:tbl>
      <w:tblPr>
        <w:tblW w:type="auto" w:w="0"/>
        <w:jc w:val="center"/>
        <w:tblLook w:firstColumn="1" w:firstRow="1" w:lastColumn="0" w:lastRow="0" w:noHBand="0" w:noVBand="1" w:val="04A0"/>
      </w:tblPr>
      <w:tblGrid>
        <w:gridCol w:w="4680"/>
        <w:gridCol w:w="4680"/>
      </w:tblGrid>
      <w:tr>
        <w:tc>
          <w:tcPr>
            <w:tcW w:type="dxa" w:w="3168"/>
            <w:shd w:fill="F0F4F8"/>
            <w:tcMar>
              <w:top w:w="60" w:type="dxa"/>
              <w:bottom w:w="60" w:type="dxa"/>
              <w:left w:w="100" w:type="dxa"/>
              <w:right w:w="100" w:type="dxa"/>
            </w:tcMar>
          </w:tcPr>
          <w:p>
            <w:r>
              <w:rPr>
                <w:b/>
                <w:sz w:val="19"/>
              </w:rPr>
              <w:t>Course / Department:</w:t>
            </w:r>
          </w:p>
        </w:tc>
        <w:tc>
          <w:tcPr>
            <w:tcW w:type="dxa" w:w="6192"/>
            <w:shd w:fill="F8FAFC"/>
            <w:tcMar>
              <w:top w:w="60" w:type="dxa"/>
              <w:bottom w:w="60" w:type="dxa"/>
              <w:left w:w="100" w:type="dxa"/>
              <w:right w:w="100" w:type="dxa"/>
            </w:tcMar>
          </w:tcPr>
          <w:p>
            <w:r>
              <w:rPr>
                <w:sz w:val="19"/>
              </w:rPr>
              <w:t>IISc DSBA DA-231-O: Data Engineering at Scale</w:t>
            </w:r>
          </w:p>
        </w:tc>
      </w:tr>
      <w:tr>
        <w:tc>
          <w:tcPr>
            <w:tcW w:type="dxa" w:w="3168"/>
            <w:shd w:fill="F0F4F8"/>
            <w:tcMar>
              <w:top w:w="60" w:type="dxa"/>
              <w:bottom w:w="60" w:type="dxa"/>
              <w:left w:w="100" w:type="dxa"/>
              <w:right w:w="100" w:type="dxa"/>
            </w:tcMar>
          </w:tcPr>
          <w:p>
            <w:r>
              <w:rPr>
                <w:b/>
                <w:sz w:val="19"/>
              </w:rPr>
              <w:t>Faculty / Guide:</w:t>
            </w:r>
          </w:p>
        </w:tc>
        <w:tc>
          <w:tcPr>
            <w:tcW w:type="dxa" w:w="6192"/>
            <w:shd w:fill="F8FAFC"/>
            <w:tcMar>
              <w:top w:w="60" w:type="dxa"/>
              <w:bottom w:w="60" w:type="dxa"/>
              <w:left w:w="100" w:type="dxa"/>
              <w:right w:w="100" w:type="dxa"/>
            </w:tcMar>
          </w:tcPr>
          <w:p>
            <w:r>
              <w:rPr>
                <w:sz w:val="19"/>
              </w:rPr>
              <w:t>Prof. Yogesh Simmhan (CDS Department, IISc Bangalore)</w:t>
            </w:r>
          </w:p>
        </w:tc>
      </w:tr>
      <w:tr>
        <w:tc>
          <w:tcPr>
            <w:tcW w:type="dxa" w:w="3168"/>
            <w:shd w:fill="F0F4F8"/>
            <w:tcMar>
              <w:top w:w="60" w:type="dxa"/>
              <w:bottom w:w="60" w:type="dxa"/>
              <w:left w:w="100" w:type="dxa"/>
              <w:right w:w="100" w:type="dxa"/>
            </w:tcMar>
          </w:tcPr>
          <w:p>
            <w:r>
              <w:rPr>
                <w:b/>
                <w:sz w:val="19"/>
              </w:rPr>
              <w:t>Team Members:</w:t>
            </w:r>
          </w:p>
        </w:tc>
        <w:tc>
          <w:tcPr>
            <w:tcW w:type="dxa" w:w="6192"/>
            <w:shd w:fill="F8FAFC"/>
            <w:tcMar>
              <w:top w:w="60" w:type="dxa"/>
              <w:bottom w:w="60" w:type="dxa"/>
              <w:left w:w="100" w:type="dxa"/>
              <w:right w:w="100" w:type="dxa"/>
            </w:tcMar>
          </w:tcPr>
          <w:p>
            <w:r>
              <w:rPr>
                <w:sz w:val="19"/>
              </w:rPr>
              <w:t>Aniket Koley (Lead), Dashrath Rajpurohit, Kumar Bhawenshu, Chennuri Manikanta</w:t>
            </w:r>
          </w:p>
        </w:tc>
      </w:tr>
      <w:tr>
        <w:tc>
          <w:tcPr>
            <w:tcW w:type="dxa" w:w="3168"/>
            <w:shd w:fill="F0F4F8"/>
            <w:tcMar>
              <w:top w:w="60" w:type="dxa"/>
              <w:bottom w:w="60" w:type="dxa"/>
              <w:left w:w="100" w:type="dxa"/>
              <w:right w:w="100" w:type="dxa"/>
            </w:tcMar>
          </w:tcPr>
          <w:p>
            <w:r>
              <w:rPr>
                <w:b/>
                <w:sz w:val="19"/>
              </w:rPr>
              <w:t>Deliverables Covered:</w:t>
            </w:r>
          </w:p>
        </w:tc>
        <w:tc>
          <w:tcPr>
            <w:tcW w:type="dxa" w:w="6192"/>
            <w:shd w:fill="F8FAFC"/>
            <w:tcMar>
              <w:top w:w="60" w:type="dxa"/>
              <w:bottom w:w="60" w:type="dxa"/>
              <w:left w:w="100" w:type="dxa"/>
              <w:right w:w="100" w:type="dxa"/>
            </w:tcMar>
          </w:tcPr>
          <w:p>
            <w:r>
              <w:rPr>
                <w:sz w:val="19"/>
              </w:rPr>
              <w:t>Live Slides (PPTX), Interactive GIS Dashboard (HTML), PySpark Notebook</w:t>
            </w:r>
          </w:p>
        </w:tc>
      </w:tr>
    </w:tbl>
    <w:p/>
    <w:p>
      <w:pPr>
        <w:pStyle w:val="Heading1"/>
      </w:pPr>
      <w:r>
        <w:rPr>
          <w:color w:val="003366"/>
        </w:rPr>
        <w:t>1. The Golden Rule: The Team is 100% Ready</w:t>
      </w:r>
    </w:p>
    <w:p>
      <w:r>
        <w:t>If Aniket is delayed or unavailable due to an emergency, THERE IS NO NEED TO PANIC. The entire project has been completely engineered, tested, documented, and pushed to GitHub. Every single metric, graph superstep, machine learning benchmark, and interactive map is fully functional. All Dashrath, Kumar, and Manikanta need to do is follow this step-by-step SOP. You have all the slides, speaker notes, and an offline interactive dashboard that can run with a single click.</w:t>
      </w:r>
    </w:p>
    <w:p>
      <w:pPr>
        <w:pStyle w:val="Heading1"/>
      </w:pPr>
      <w:r>
        <w:rPr>
          <w:color w:val="003366"/>
        </w:rPr>
        <w:t>2. Absentee Delegation Matrix: Who Takes Over What?</w:t>
      </w:r>
    </w:p>
    <w:tbl>
      <w:tblPr>
        <w:tblW w:type="auto" w:w="0"/>
        <w:jc w:val="center"/>
        <w:tblLook w:firstColumn="1" w:firstRow="1" w:lastColumn="0" w:lastRow="0" w:noHBand="0" w:noVBand="1" w:val="04A0"/>
      </w:tblPr>
      <w:tblGrid>
        <w:gridCol w:w="3120"/>
        <w:gridCol w:w="3120"/>
        <w:gridCol w:w="3120"/>
      </w:tblGrid>
      <w:tr>
        <w:tc>
          <w:tcPr>
            <w:tcW w:type="dxa" w:w="3120"/>
            <w:shd w:fill="003366"/>
            <w:tcMar>
              <w:top w:w="80" w:type="dxa"/>
              <w:bottom w:w="80" w:type="dxa"/>
              <w:left w:w="100" w:type="dxa"/>
              <w:right w:w="100" w:type="dxa"/>
            </w:tcMar>
          </w:tcPr>
          <w:p>
            <w:r>
              <w:rPr>
                <w:b/>
                <w:color w:val="FFFFFF"/>
              </w:rPr>
              <w:t>Presenter / Speaker</w:t>
            </w:r>
          </w:p>
        </w:tc>
        <w:tc>
          <w:tcPr>
            <w:tcW w:type="dxa" w:w="3120"/>
            <w:shd w:fill="003366"/>
            <w:tcMar>
              <w:top w:w="80" w:type="dxa"/>
              <w:bottom w:w="80" w:type="dxa"/>
              <w:left w:w="100" w:type="dxa"/>
              <w:right w:w="100" w:type="dxa"/>
            </w:tcMar>
          </w:tcPr>
          <w:p>
            <w:r>
              <w:rPr>
                <w:b/>
                <w:color w:val="FFFFFF"/>
              </w:rPr>
              <w:t>Assigned Topic &amp; Slides</w:t>
            </w:r>
          </w:p>
        </w:tc>
        <w:tc>
          <w:tcPr>
            <w:tcW w:type="dxa" w:w="3120"/>
            <w:shd w:fill="003366"/>
            <w:tcMar>
              <w:top w:w="80" w:type="dxa"/>
              <w:bottom w:w="80" w:type="dxa"/>
              <w:left w:w="100" w:type="dxa"/>
              <w:right w:w="100" w:type="dxa"/>
            </w:tcMar>
          </w:tcPr>
          <w:p>
            <w:r>
              <w:rPr>
                <w:b/>
                <w:color w:val="FFFFFF"/>
              </w:rPr>
              <w:t>What to Say &amp; Do</w:t>
            </w:r>
          </w:p>
        </w:tc>
      </w:tr>
      <w:tr>
        <w:tc>
          <w:tcPr>
            <w:tcW w:type="dxa" w:w="3120"/>
            <w:shd w:fill="F0F4F8"/>
            <w:tcMar>
              <w:top w:w="80" w:type="dxa"/>
              <w:bottom w:w="80" w:type="dxa"/>
              <w:left w:w="100" w:type="dxa"/>
              <w:right w:w="100" w:type="dxa"/>
            </w:tcMar>
          </w:tcPr>
          <w:p>
            <w:r>
              <w:rPr>
                <w:b/>
                <w:sz w:val="19"/>
              </w:rPr>
              <w:t>Dashrath Rajpurohit (Host &amp; Track 2 Lead)</w:t>
            </w:r>
          </w:p>
        </w:tc>
        <w:tc>
          <w:tcPr>
            <w:tcW w:type="dxa" w:w="3120"/>
            <w:shd w:fill="FFFFFF"/>
            <w:tcMar>
              <w:top w:w="80" w:type="dxa"/>
              <w:bottom w:w="80" w:type="dxa"/>
              <w:left w:w="100" w:type="dxa"/>
              <w:right w:w="100" w:type="dxa"/>
            </w:tcMar>
          </w:tcPr>
          <w:p>
            <w:r>
              <w:rPr>
                <w:sz w:val="19"/>
              </w:rPr>
              <w:t>Slides 1 to 5:</w:t>
              <w:br/>
              <w:t>- Title &amp; Vision</w:t>
              <w:br/>
              <w:t>- Problem Statement</w:t>
              <w:br/>
              <w:t>- End-to-End Architecture</w:t>
              <w:br/>
              <w:t>- Track 1: Lakehouse Ingestion</w:t>
              <w:br/>
              <w:t>- Track 2: GraphX &amp; Pregel</w:t>
            </w:r>
          </w:p>
        </w:tc>
        <w:tc>
          <w:tcPr>
            <w:tcW w:type="dxa" w:w="3120"/>
            <w:shd w:fill="FFFFFF"/>
            <w:tcMar>
              <w:top w:w="80" w:type="dxa"/>
              <w:bottom w:w="80" w:type="dxa"/>
              <w:left w:w="100" w:type="dxa"/>
              <w:right w:w="100" w:type="dxa"/>
            </w:tcMar>
          </w:tcPr>
          <w:p>
            <w:r>
              <w:rPr>
                <w:sz w:val="19"/>
              </w:rPr>
              <w:t>Opens the presentation. Welcomes Prof. Simmhan. Explains the highway range anxiety paradox. Walks through the Medallion lakehouse (Bronze/Silver/Gold) and how the 155k highway graph was simulated in 7 Pregel supersteps to find 46 blackout zones.</w:t>
            </w:r>
          </w:p>
        </w:tc>
      </w:tr>
      <w:tr>
        <w:tc>
          <w:tcPr>
            <w:tcW w:type="dxa" w:w="3120"/>
            <w:shd w:fill="F0F4F8"/>
            <w:tcMar>
              <w:top w:w="80" w:type="dxa"/>
              <w:bottom w:w="80" w:type="dxa"/>
              <w:left w:w="100" w:type="dxa"/>
              <w:right w:w="100" w:type="dxa"/>
            </w:tcMar>
          </w:tcPr>
          <w:p>
            <w:r>
              <w:rPr>
                <w:b/>
                <w:sz w:val="19"/>
              </w:rPr>
              <w:t>Kumar Bhawenshu (Track 3 Lead)</w:t>
            </w:r>
          </w:p>
        </w:tc>
        <w:tc>
          <w:tcPr>
            <w:tcW w:type="dxa" w:w="3120"/>
            <w:shd w:fill="F9FBFC"/>
            <w:tcMar>
              <w:top w:w="80" w:type="dxa"/>
              <w:bottom w:w="80" w:type="dxa"/>
              <w:left w:w="100" w:type="dxa"/>
              <w:right w:w="100" w:type="dxa"/>
            </w:tcMar>
          </w:tcPr>
          <w:p>
            <w:r>
              <w:rPr>
                <w:sz w:val="19"/>
              </w:rPr>
              <w:t>Slide 6:</w:t>
              <w:br/>
              <w:t>- Track 3: Centralized Spark ML vs. Decentralized FedML</w:t>
            </w:r>
          </w:p>
        </w:tc>
        <w:tc>
          <w:tcPr>
            <w:tcW w:type="dxa" w:w="3120"/>
            <w:shd w:fill="F9FBFC"/>
            <w:tcMar>
              <w:top w:w="80" w:type="dxa"/>
              <w:bottom w:w="80" w:type="dxa"/>
              <w:left w:w="100" w:type="dxa"/>
              <w:right w:w="100" w:type="dxa"/>
            </w:tcMar>
          </w:tcPr>
          <w:p>
            <w:r>
              <w:rPr>
                <w:sz w:val="19"/>
              </w:rPr>
              <w:t>Explains why centralized Random Forest achieves high R² (0.8653) but cannot be used across state DISCOMs due to privacy laws. Explains how Federated Averaging (FedAvg, R² = 0.6922) trains locally on 5 state clients without sharing customer data.</w:t>
            </w:r>
          </w:p>
        </w:tc>
      </w:tr>
      <w:tr>
        <w:tc>
          <w:tcPr>
            <w:tcW w:type="dxa" w:w="3120"/>
            <w:shd w:fill="F0F4F8"/>
            <w:tcMar>
              <w:top w:w="80" w:type="dxa"/>
              <w:bottom w:w="80" w:type="dxa"/>
              <w:left w:w="100" w:type="dxa"/>
              <w:right w:w="100" w:type="dxa"/>
            </w:tcMar>
          </w:tcPr>
          <w:p>
            <w:r>
              <w:rPr>
                <w:b/>
                <w:sz w:val="19"/>
              </w:rPr>
              <w:t>Chennuri Manikanta (Track 4 Lead &amp; Demo Master)</w:t>
            </w:r>
          </w:p>
        </w:tc>
        <w:tc>
          <w:tcPr>
            <w:tcW w:type="dxa" w:w="3120"/>
            <w:shd w:fill="FFFFFF"/>
            <w:tcMar>
              <w:top w:w="80" w:type="dxa"/>
              <w:bottom w:w="80" w:type="dxa"/>
              <w:left w:w="100" w:type="dxa"/>
              <w:right w:w="100" w:type="dxa"/>
            </w:tcMar>
          </w:tcPr>
          <w:p>
            <w:r>
              <w:rPr>
                <w:sz w:val="19"/>
              </w:rPr>
              <w:t>Slides 7, 8, 9 &amp; LIVE DEMO:</w:t>
              <w:br/>
              <w:t>- Track 4: Siting &amp; K=25</w:t>
              <w:br/>
              <w:t>- Before/After Impact</w:t>
              <w:br/>
              <w:t>- Live Folium Interactive GIS Map</w:t>
            </w:r>
          </w:p>
        </w:tc>
        <w:tc>
          <w:tcPr>
            <w:tcW w:type="dxa" w:w="3120"/>
            <w:shd w:fill="FFFFFF"/>
            <w:tcMar>
              <w:top w:w="80" w:type="dxa"/>
              <w:bottom w:w="80" w:type="dxa"/>
              <w:left w:w="100" w:type="dxa"/>
              <w:right w:w="100" w:type="dxa"/>
            </w:tcMar>
          </w:tcPr>
          <w:p>
            <w:r>
              <w:rPr>
                <w:sz w:val="19"/>
              </w:rPr>
              <w:t>Explains the multi-factor scoring formula and what K=25 means. Shares screen to show the live interactive HTML dashboard (india_ev_gap_live_dashboard.html). Zooms into NH-44 and NH-48, clicks the gold stars, and explains the 29.07% distance drop.</w:t>
            </w:r>
          </w:p>
        </w:tc>
      </w:tr>
      <w:tr>
        <w:tc>
          <w:tcPr>
            <w:tcW w:type="dxa" w:w="3120"/>
            <w:shd w:fill="F0F4F8"/>
            <w:tcMar>
              <w:top w:w="80" w:type="dxa"/>
              <w:bottom w:w="80" w:type="dxa"/>
              <w:left w:w="100" w:type="dxa"/>
              <w:right w:w="100" w:type="dxa"/>
            </w:tcMar>
          </w:tcPr>
          <w:p>
            <w:r>
              <w:rPr>
                <w:b/>
                <w:sz w:val="19"/>
              </w:rPr>
              <w:t>Entire Team</w:t>
            </w:r>
          </w:p>
        </w:tc>
        <w:tc>
          <w:tcPr>
            <w:tcW w:type="dxa" w:w="3120"/>
            <w:shd w:fill="F9FBFC"/>
            <w:tcMar>
              <w:top w:w="80" w:type="dxa"/>
              <w:bottom w:w="80" w:type="dxa"/>
              <w:left w:w="100" w:type="dxa"/>
              <w:right w:w="100" w:type="dxa"/>
            </w:tcMar>
          </w:tcPr>
          <w:p>
            <w:r>
              <w:rPr>
                <w:sz w:val="19"/>
              </w:rPr>
              <w:t>Slide 10 &amp; Viva Voce Q&amp;A:</w:t>
              <w:br/>
              <w:t>- Conclusion &amp; Academic Contributions</w:t>
              <w:br/>
              <w:t>- Defending Professor's Questions</w:t>
            </w:r>
          </w:p>
        </w:tc>
        <w:tc>
          <w:tcPr>
            <w:tcW w:type="dxa" w:w="3120"/>
            <w:shd w:fill="F9FBFC"/>
            <w:tcMar>
              <w:top w:w="80" w:type="dxa"/>
              <w:bottom w:w="80" w:type="dxa"/>
              <w:left w:w="100" w:type="dxa"/>
              <w:right w:w="100" w:type="dxa"/>
            </w:tcMar>
          </w:tcPr>
          <w:p>
            <w:r>
              <w:rPr>
                <w:sz w:val="19"/>
              </w:rPr>
              <w:t>Wrap up with summary contributions to DSBA DA-231-O. Open the floor for questions and use the Viva Cheat-Sheet in Section 5.</w:t>
            </w:r>
          </w:p>
        </w:tc>
      </w:tr>
    </w:tbl>
    <w:p>
      <w:r>
        <w:br w:type="page"/>
      </w:r>
    </w:p>
    <w:p>
      <w:pPr>
        <w:pStyle w:val="Heading1"/>
      </w:pPr>
      <w:r>
        <w:rPr>
          <w:color w:val="003366"/>
        </w:rPr>
        <w:t>3. Pre-Flight Checklist (5 Minutes Before Sir Joins)</w:t>
      </w:r>
    </w:p>
    <w:p>
      <w:r>
        <w:rPr>
          <w:sz w:val="21"/>
        </w:rPr>
        <w:t>1. Open PowerPoint Presentation: Open 'EV_Gap_Analysis_Highway_Siting_Presentation.pptx' in full screen.</w:t>
      </w:r>
    </w:p>
    <w:p>
      <w:r>
        <w:rPr>
          <w:sz w:val="21"/>
        </w:rPr>
        <w:t>2. Open Standalone Live Dashboard: Double-click 'india_ev_gap_live_dashboard.html' in Google Chrome or Edge. Ensure it loads smoothly with the blue highway corridors, red circles, and gold stars.</w:t>
      </w:r>
    </w:p>
    <w:p>
      <w:r>
        <w:rPr>
          <w:sz w:val="21"/>
        </w:rPr>
        <w:t>3. Have GitHub Repo Ready in a Browser Tab: Open 'https://github.com/aniketkoley-iisc/ev-gap-analysis-india' to show Prof. Simmhan the production codebase, documentation, and commit history.</w:t>
      </w:r>
    </w:p>
    <w:p>
      <w:r>
        <w:rPr>
          <w:sz w:val="21"/>
        </w:rPr>
        <w:t>4. Test Microphone &amp; Screen Share: Ensure Dashrath or Manikanta can share screen without lag.</w:t>
      </w:r>
    </w:p>
    <w:p>
      <w:r>
        <w:rPr>
          <w:sz w:val="21"/>
        </w:rPr>
        <w:t>5. Keep this SOP Document Open: Keep this PDF/Word document open in the background for quick reference.</w:t>
      </w:r>
    </w:p>
    <w:p>
      <w:pPr>
        <w:pStyle w:val="Heading1"/>
      </w:pPr>
      <w:r>
        <w:rPr>
          <w:color w:val="003366"/>
        </w:rPr>
        <w:t>4. Step-by-Step Live Map Demo Script (How to Wow Sir)</w:t>
      </w:r>
    </w:p>
    <w:p>
      <w:r>
        <w:rPr>
          <w:b/>
          <w:color w:val="006699"/>
          <w:sz w:val="22"/>
        </w:rPr>
        <w:t>Step 1: Switch Screen to Browser</w:t>
        <w:br/>
      </w:r>
      <w:r>
        <w:rPr>
          <w:sz w:val="21"/>
        </w:rPr>
        <w:t>When Slide 9 comes up, Manikanta says: 'Sir, instead of static slides, let us now show you our live interactive Lakehouse dashboard running on real Indian highway geometry.' Switch screen to Chrome displaying 'india_ev_gap_live_dashboard.html'.</w:t>
      </w:r>
    </w:p>
    <w:p/>
    <w:p>
      <w:r>
        <w:rPr>
          <w:b/>
          <w:color w:val="006699"/>
          <w:sz w:val="22"/>
        </w:rPr>
        <w:t>Step 2: Point Out the National Overview &amp; Legend</w:t>
        <w:br/>
      </w:r>
      <w:r>
        <w:rPr>
          <w:sz w:val="21"/>
        </w:rPr>
        <w:t>Show the whole map of India. Point to the floating legend in the bottom-left corner:</w:t>
        <w:br/>
        <w:t>- 'The blue lines represent over 14,000 km of India's National Highway network across 155,859 segments.'</w:t>
        <w:br/>
        <w:t>- 'The green dots are the 632 verified physical charging stations cleaned from our Bronze spatial deduplication.'</w:t>
        <w:br/>
        <w:t>- 'The large red circles are the 46 critical charging deserts identified by our GraphX Pregel simulation, where nearest charging distance exceeds 150 km.'</w:t>
      </w:r>
    </w:p>
    <w:p/>
    <w:p>
      <w:r>
        <w:rPr>
          <w:b/>
          <w:color w:val="006699"/>
          <w:sz w:val="22"/>
        </w:rPr>
        <w:t>Step 3: Zoom into NH-44 (Kashmir to Kanyakumari Spine)</w:t>
        <w:br/>
      </w:r>
      <w:r>
        <w:rPr>
          <w:sz w:val="21"/>
        </w:rPr>
        <w:t>Zoom into the central corridor between Nagpur (Maharashtra) and Adilabad (Telangana).</w:t>
        <w:br/>
        <w:t>Say: 'Notice this massive red circle on NH-44. An EV traveling from Delhi to Hyderabad faces a 184 km charging blackout here.'</w:t>
      </w:r>
    </w:p>
    <w:p/>
    <w:p>
      <w:r>
        <w:rPr>
          <w:b/>
          <w:color w:val="006699"/>
          <w:sz w:val="22"/>
        </w:rPr>
        <w:t>Step 4: Click on the Gold Star (The Recommended Candidate Plaza)</w:t>
        <w:br/>
      </w:r>
      <w:r>
        <w:rPr>
          <w:sz w:val="21"/>
        </w:rPr>
        <w:t>Click on the orange/gold bolt star located inside that gap.</w:t>
        <w:br/>
        <w:t>The popup card will open immediately. Read from the popup:</w:t>
        <w:br/>
        <w:t>- Location: TEST-LOC-01 (Pune-Nagpur link / NH-44)</w:t>
        <w:br/>
        <w:t>- Recommendation: 6 DC Fast Charging Guns (480 kW Total Capacity)</w:t>
        <w:br/>
        <w:t>- Power Connection: Matched to a real nearby 66kV substation feeder</w:t>
        <w:br/>
        <w:t>- Impact: Resolves 84.5% of the local charging gap!</w:t>
        <w:br/>
        <w:t>- Ground Validation: Spatially co-located with an existing OSM fuel pump and restaurant dhaba.</w:t>
      </w:r>
    </w:p>
    <w:p/>
    <w:p>
      <w:r>
        <w:rPr>
          <w:b/>
          <w:color w:val="006699"/>
          <w:sz w:val="22"/>
        </w:rPr>
        <w:t>Step 5: Toggle Layers (Show Technical Rigor)</w:t>
        <w:br/>
      </w:r>
      <w:r>
        <w:rPr>
          <w:sz w:val="21"/>
        </w:rPr>
        <w:t>Click the layer control box in the top-right corner. Uncheck 'Existing EV Stations' and show how only the critical gap clusters and candidate plazas stand out. This proves the system is dynamic and modular.</w:t>
      </w:r>
    </w:p>
    <w:p/>
    <w:p>
      <w:r>
        <w:br w:type="page"/>
      </w:r>
    </w:p>
    <w:p>
      <w:pPr>
        <w:pStyle w:val="Heading1"/>
      </w:pPr>
      <w:r>
        <w:rPr>
          <w:color w:val="003366"/>
        </w:rPr>
        <w:t>5. Faculty Defense Cheat-Sheet: Handling Prof. Simmhan's Tough Questions</w:t>
      </w:r>
    </w:p>
    <w:p>
      <w:r>
        <w:rPr>
          <w:b/>
          <w:color w:val="D35400"/>
          <w:sz w:val="22"/>
        </w:rPr>
        <w:t>Q1: Why did you use Uber H3 hexagons instead of standard Latitude/Longitude or square grids?</w:t>
        <w:br/>
      </w:r>
      <w:r>
        <w:rPr>
          <w:sz w:val="21"/>
        </w:rPr>
        <w:t>Model Answer: 'Sir, square grids have 8 neighbors with unequal diagonal distances (41.4% distortion error), which introduces directional bias during graph routing. Hexagons have 6 equidistant neighbors, allowing isotropic distance propagation. Furthermore, H3 converts expensive O(N x M) geodesic spatial cross-joins into distributed O(N) integer equi-joins on HDFS Parquet, and collapses millions of GPS waypoints into 8,181 vertices so Pregel converges in just 7 supersteps.'</w:t>
      </w:r>
    </w:p>
    <w:p/>
    <w:p>
      <w:r>
        <w:rPr>
          <w:b/>
          <w:color w:val="D35400"/>
          <w:sz w:val="22"/>
        </w:rPr>
        <w:t>Q2: Why did you use GraphX Pregel instead of standard Dijkstra on a single machine?</w:t>
        <w:br/>
      </w:r>
      <w:r>
        <w:rPr>
          <w:sz w:val="21"/>
        </w:rPr>
        <w:t>Model Answer: 'Sir, Dijkstra is a centralized, single-source algorithm that operates sequentially in RAM. Our highway network across all national and state highways contains 155,859 road edges. Pregel uses the Bulk Synchronous Parallel (BSP) paradigm on Spark RDDs. In Pregel, all vertices compute in parallel, exchange messages along edges, and vote to halt when distances stabilize. This allowed us to compute nationwide all-pairs multi-hop accessibility in just 7 parallel supersteps.'</w:t>
      </w:r>
    </w:p>
    <w:p/>
    <w:p>
      <w:r>
        <w:rPr>
          <w:b/>
          <w:color w:val="D35400"/>
          <w:sz w:val="22"/>
        </w:rPr>
        <w:t>Q3: Why is Federated Learning (FedML) R² (0.6922) lower than centralized Random Forest (0.8653)?</w:t>
        <w:br/>
      </w:r>
      <w:r>
        <w:rPr>
          <w:sz w:val="21"/>
        </w:rPr>
        <w:t>Model Answer: 'Sir, Centralized Random Forest has global visibility of the joint data distribution across all states simultaneously. However, in reality, state electricity boards (DISCOMs) cannot legally share private commercial charging telemetry due to data sovereignty regulations. Federated Learning (FedAvg) trains local models on edge clients and exchanges only model weights. The slight drop in R² is the mathematical cost of guaranteeing complete data privacy.'</w:t>
      </w:r>
    </w:p>
    <w:p/>
    <w:p>
      <w:r>
        <w:rPr>
          <w:b/>
          <w:color w:val="D35400"/>
          <w:sz w:val="22"/>
        </w:rPr>
        <w:t>Q4: What does K=25 mean and how do you know you can physically build a charger there?</w:t>
        <w:br/>
      </w:r>
      <w:r>
        <w:rPr>
          <w:sz w:val="21"/>
        </w:rPr>
        <w:t>Model Answer: 'Sir, K=25 represents our pilot candidate deployment portfolio. When planning infrastructure, governments rollout in phases rather than building 5,000 stations at once. We did not place these sites purely on math: we cross-referenced top scoring hexagons with real OpenStreetMap amenities. Every single candidate site is co-located with an existing fuel pump, dhaba, and power substation. When we simulated adding these 25 stations back into GraphX, national unserved distance dropped by 29.07% and resolved 60.87% of critical blackout clusters.'</w:t>
      </w:r>
    </w:p>
    <w:p/>
    <w:p>
      <w:r>
        <w:rPr>
          <w:b/>
          <w:color w:val="D35400"/>
          <w:sz w:val="22"/>
        </w:rPr>
        <w:t>Q5: Where is your raw data stored and why isn't it checked into GitHub?</w:t>
        <w:br/>
      </w:r>
      <w:r>
        <w:rPr>
          <w:sz w:val="21"/>
        </w:rPr>
        <w:t>Model Answer: 'Sir, GitHub has a strict 100MB file limit. Our raw geospatial datasets from OpenStreetMap and Vahan are hundreds of megabytes to gigabytes. Checking large binaries into Git causes repository bloat. Instead, following Big Data best practices, Git stores our schemas, ETL scripts, and documentation, while our raw datasets reside in our HDFS Bronze Lakehouse in snappy-compressed Parquet.'</w:t>
      </w:r>
    </w:p>
    <w:p/>
    <w:p>
      <w:pPr>
        <w:pStyle w:val="Heading1"/>
      </w:pPr>
      <w:r>
        <w:rPr>
          <w:color w:val="003366"/>
        </w:rPr>
        <w:t>6. Disaster Recovery / Fallback Plan</w:t>
      </w:r>
    </w:p>
    <w:p>
      <w:r>
        <w:rPr>
          <w:b/>
          <w:color w:val="006699"/>
          <w:sz w:val="22"/>
        </w:rPr>
        <w:t>Scenario A: Jupyter Notebook kernel dies or Spark throws an Out-Of-Memory (OOM) error</w:t>
        <w:br/>
      </w:r>
      <w:r>
        <w:rPr>
          <w:sz w:val="21"/>
        </w:rPr>
        <w:t>Solution: Do NOT try to debug code in front of Sir. Immediately switch to the pre-rendered standalone HTML dashboard 'india_ev_gap_live_dashboard.html'. It is completely offline, fully interactive, and shows the exact same final Gold layer results.</w:t>
      </w:r>
    </w:p>
    <w:p/>
    <w:p>
      <w:r>
        <w:rPr>
          <w:b/>
          <w:color w:val="006699"/>
          <w:sz w:val="22"/>
        </w:rPr>
        <w:t>Scenario B: Internet connection is slow or drops</w:t>
        <w:br/>
      </w:r>
      <w:r>
        <w:rPr>
          <w:sz w:val="21"/>
        </w:rPr>
        <w:t>Solution: Everything is stored locally on your laptop drive! The presentation (.pptx), the interactive map (.html), and the lakehouse CSVs are all in your Downloads and DE Project folder. No live internet is required to run the demo.</w:t>
      </w:r>
    </w:p>
    <w:p/>
    <w:p>
      <w:r>
        <w:rPr>
          <w:b/>
          <w:color w:val="006699"/>
          <w:sz w:val="22"/>
        </w:rPr>
        <w:t>Scenario C: A team member forgets what to say</w:t>
        <w:br/>
      </w:r>
      <w:r>
        <w:rPr>
          <w:sz w:val="21"/>
        </w:rPr>
        <w:t>Solution: Open the PowerPoint file in presenter view or refer to the Presenter Notes section on each slide. Every slide has the exact word-for-word speech written out.</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