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Brex — account brief</w:t>
      </w:r>
    </w:p>
    <w:p>
      <w:pPr>
        <w:spacing w:before="20" w:after="160"/>
      </w:pPr>
      <w:r>
        <w:rPr>
          <w:rFonts w:ascii="Arial" w:hAnsi="Arial" w:cs="Arial" w:eastAsia="Arial"/>
          <w:b w:val="0"/>
          <w:i w:val="0"/>
          <w:color w:val="6B7280"/>
          <w:sz w:val="18"/>
        </w:rPr>
        <w:t>2026-10-08  ·  brex.com</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EF3C7" w:val="clear"/>
            <w:tcBorders>
              <w:top w:val="single" w:sz="4" w:color="E5E7EB" w:space="0"/>
              <w:left w:val="single" w:sz="16" w:color="B45309" w:space="0"/>
              <w:bottom w:val="single" w:sz="4" w:color="E5E7EB" w:space="0"/>
              <w:right w:val="single" w:sz="4" w:color="E5E7EB" w:space="0"/>
            </w:tcBorders>
          </w:tcPr>
          <w:p>
            <w:pPr>
              <w:spacing w:before="0" w:after="40" w:line="269" w:lineRule="auto"/>
            </w:pPr>
            <w:r/>
            <w:r>
              <w:rPr>
                <w:rFonts w:ascii="Arial" w:hAnsi="Arial" w:cs="Arial" w:eastAsia="Arial"/>
                <w:b/>
                <w:i w:val="0"/>
                <w:color w:val="B45309"/>
                <w:sz w:val="26"/>
              </w:rPr>
              <w:t>Warm</w:t>
            </w:r>
          </w:p>
          <w:p>
            <w:pPr>
              <w:spacing w:before="0" w:after="40" w:line="269" w:lineRule="auto"/>
            </w:pPr>
            <w:r>
              <w:rPr>
                <w:rFonts w:ascii="Arial" w:hAnsi="Arial" w:cs="Arial" w:eastAsia="Arial"/>
                <w:b w:val="0"/>
                <w:i w:val="0"/>
                <w:color w:val="1F2937"/>
                <w:sz w:val="20"/>
              </w:rPr>
              <w:t>Brex is partway through a Micronaut 4 migration across 500+ Kotlin microservices and says the remainder still needs de-risking; its own write-up names test-suite gaps that let agent PRs through. Both map to Devin use cases with public fintech proof (Itaú, Nubank, Ramp). But self-hosted Cursor agents already run this work, an engineering JD asks for daily Claude Code or Cursor use, and Brex built its own platform for delegating engineering work to agents, so this is a displace-or-expand play: Warm, not Act now.</w:t>
            </w:r>
            <w:r>
              <w:rPr>
                <w:rFonts w:ascii="Arial" w:hAnsi="Arial" w:cs="Arial" w:eastAsia="Arial"/>
                <w:b w:val="0"/>
                <w:i w:val="0"/>
                <w:color w:val="6B7280"/>
                <w:sz w:val="16"/>
              </w:rPr>
              <w:t xml:space="preserve"> [1][2][3][4]</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How much of the Micronaut 4 migration remains and whether the GraphQL federation upgrade is next. Signs platform wants to stop maintaining its self-hosted agent harness and in-house delegation platform. Capital One standardizing engineering tooling or procurement. A signed Cursor or Claude Code enterprise deal would move this to Not now.</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San Francisco, California, United States</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Parent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Capital One. Expect parent-level procurement and security approvers.</w:t>
            </w:r>
            <w:r>
              <w:rPr>
                <w:rFonts w:ascii="Arial" w:hAnsi="Arial" w:cs="Arial" w:eastAsia="Arial"/>
                <w:b w:val="0"/>
                <w:i w:val="0"/>
                <w:color w:val="6B7280"/>
                <w:sz w:val="16"/>
              </w:rPr>
              <w:t xml:space="preserve"> [5]</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~1,800 employees</w:t>
            </w:r>
            <w:r>
              <w:rPr>
                <w:rFonts w:ascii="Arial" w:hAnsi="Arial" w:cs="Arial" w:eastAsia="Arial"/>
                <w:b w:val="0"/>
                <w:i w:val="0"/>
                <w:color w:val="6B7280"/>
                <w:sz w:val="16"/>
              </w:rPr>
              <w:t xml:space="preserve"> [5][6]</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annual revenue of $700M</w:t>
            </w:r>
            <w:r>
              <w:rPr>
                <w:rFonts w:ascii="Arial" w:hAnsi="Arial" w:cs="Arial" w:eastAsia="Arial"/>
                <w:b w:val="0"/>
                <w:i w:val="0"/>
                <w:color w:val="6B7280"/>
                <w:sz w:val="16"/>
              </w:rPr>
              <w:t xml:space="preserve"> [5][7][8]</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356 in engineering</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Funding</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$6.5B total funding; latest event is a Merger / Acquisition by Capital One ($4.5B, 2026-04-01)</w:t>
            </w:r>
            <w:r>
              <w:rPr>
                <w:rFonts w:ascii="Arial" w:hAnsi="Arial" w:cs="Arial" w:eastAsia="Arial"/>
                <w:b w:val="0"/>
                <w:i w:val="0"/>
                <w:color w:val="6B7280"/>
                <w:sz w:val="16"/>
              </w:rPr>
              <w:t xml:space="preserve"> [5]</w:t>
            </w:r>
          </w:p>
        </w:tc>
      </w:tr>
    </w:tbl>
    <w:tbl>
      <w:tblPr>
        <w:tblW w:type="dxa" w:w="10080"/>
        <w:tblLayout w:type="fixed"/>
        <w:tblLook w:firstColumn="1" w:firstRow="0" w:lastColumn="0" w:lastRow="0" w:noHBand="0" w:noVBand="1" w:val="04A0"/>
      </w:tblPr>
      <w:tblGrid>
        <w:gridCol w:w="1200"/>
        <w:gridCol w:w="888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888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Kotlin on Micronaut across 500+ microservices in a Bazel monorepo</w:t>
            </w:r>
            <w:r>
              <w:rPr>
                <w:rFonts w:ascii="Arial" w:hAnsi="Arial" w:cs="Arial" w:eastAsia="Arial"/>
                <w:b w:val="0"/>
                <w:i w:val="0"/>
                <w:color w:val="6B7280"/>
                <w:sz w:val="16"/>
              </w:rPr>
              <w:t xml:space="preserve"> [1]</w:t>
            </w:r>
          </w:p>
        </w:tc>
      </w:tr>
    </w:tbl>
    <w:p>
      <w:pPr>
        <w:spacing w:before="40" w:after="20"/>
      </w:pPr>
      <w:r>
        <w:rPr>
          <w:rFonts w:ascii="Arial" w:hAnsi="Arial" w:cs="Arial" w:eastAsia="Arial"/>
          <w:b w:val="0"/>
          <w:i w:val="0"/>
          <w:color w:val="6B7280"/>
          <w:sz w:val="16"/>
        </w:rPr>
        <w:t>Headcount — Other sources: Tracxn 5,158.</w:t>
      </w:r>
    </w:p>
    <w:p>
      <w:pPr>
        <w:spacing w:before="40" w:after="20"/>
      </w:pPr>
      <w:r>
        <w:rPr>
          <w:rFonts w:ascii="Arial" w:hAnsi="Arial" w:cs="Arial" w:eastAsia="Arial"/>
          <w:b w:val="0"/>
          <w:i w:val="0"/>
          <w:color w:val="6B7280"/>
          <w:sz w:val="16"/>
        </w:rPr>
        <w:t>Funding — Other sources: Sacra $5.15B.</w:t>
      </w:r>
    </w:p>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James Reggio</w:t>
            </w:r>
            <w:r>
              <w:rPr>
                <w:rFonts w:ascii="Arial" w:hAnsi="Arial" w:cs="Arial" w:eastAsia="Arial"/>
                <w:b w:val="0"/>
                <w:i w:val="0"/>
                <w:color w:val="6B7280"/>
                <w:sz w:val="18"/>
              </w:rPr>
              <w:t xml:space="preserve">  Chief Technology Officer</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CTO since Sep 2024, previously VP and Head of Engineering. Exec sponsor for any agent platform decision.</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Says he does not use LinkedIn messaging or accept invitations. Use email.</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Phil Burrows</w:t>
            </w:r>
            <w:r>
              <w:rPr>
                <w:rFonts w:ascii="Arial" w:hAnsi="Arial" w:cs="Arial" w:eastAsia="Arial"/>
                <w:b w:val="0"/>
                <w:i w:val="0"/>
                <w:color w:val="6B7280"/>
                <w:sz w:val="18"/>
              </w:rPr>
              <w:t xml:space="preserve">  Head of Platform &amp; Infra Engineering</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Heads platform and infra, the area that runs the dedicated nodes and headless auth behind the self-hosted migration agents.</w:t>
            </w:r>
            <w:r>
              <w:rPr>
                <w:rFonts w:ascii="Arial" w:hAnsi="Arial" w:cs="Arial" w:eastAsia="Arial"/>
                <w:b w:val="0"/>
                <w:i w:val="0"/>
                <w:color w:val="6B7280"/>
                <w:sz w:val="16"/>
              </w:rPr>
              <w:t xml:space="preserve"> [10]</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Sridhar Mocherla</w:t>
            </w:r>
            <w:r>
              <w:rPr>
                <w:rFonts w:ascii="Arial" w:hAnsi="Arial" w:cs="Arial" w:eastAsia="Arial"/>
                <w:b w:val="0"/>
                <w:i w:val="0"/>
                <w:color w:val="6B7280"/>
                <w:sz w:val="18"/>
              </w:rPr>
              <w:t xml:space="preserve">  Staff Software Engineer</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Infrastructure tech lead whose stack (GraphQL Federation, Bazel, Micronaut) matches the migration's.</w:t>
            </w:r>
            <w:r>
              <w:rPr>
                <w:rFonts w:ascii="Arial" w:hAnsi="Arial" w:cs="Arial" w:eastAsia="Arial"/>
                <w:b w:val="0"/>
                <w:i w:val="0"/>
                <w:color w:val="6B7280"/>
                <w:sz w:val="16"/>
              </w:rPr>
              <w:t xml:space="preserve"> [11]</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Profile lists GraphQL Federation, Bazel and Micronaut</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Chenming Cui</w:t>
            </w:r>
            <w:r>
              <w:rPr>
                <w:rFonts w:ascii="Arial" w:hAnsi="Arial" w:cs="Arial" w:eastAsia="Arial"/>
                <w:b w:val="0"/>
                <w:i w:val="0"/>
                <w:color w:val="6B7280"/>
                <w:sz w:val="18"/>
              </w:rPr>
              <w:t xml:space="preserve">  Software Engineer</w:t>
            </w:r>
          </w:p>
          <w:p>
            <w:pPr>
              <w:spacing w:before="0" w:after="20" w:line="269" w:lineRule="auto"/>
            </w:pPr>
            <w:r>
              <w:rPr>
                <w:rFonts w:ascii="Arial" w:hAnsi="Arial" w:cs="Arial" w:eastAsia="Arial"/>
                <w:b/>
                <w:i w:val="0"/>
                <w:color w:val="6D28D9"/>
                <w:sz w:val="16"/>
              </w:rPr>
              <w:t>Technical evaluator</w:t>
            </w:r>
            <w:r>
              <w:rPr>
                <w:rFonts w:ascii="Arial" w:hAnsi="Arial" w:cs="Arial" w:eastAsia="Arial"/>
                <w:b/>
                <w:i w:val="0"/>
                <w:color w:val="B91C1C"/>
                <w:sz w:val="16"/>
              </w:rPr>
              <w:t xml:space="preserve">   Incumbent owner</w:t>
            </w:r>
          </w:p>
          <w:p>
            <w:pPr>
              <w:spacing w:before="0" w:after="20" w:line="269" w:lineRule="auto"/>
            </w:pPr>
            <w:r>
              <w:rPr>
                <w:rFonts w:ascii="Arial" w:hAnsi="Arial" w:cs="Arial" w:eastAsia="Arial"/>
                <w:b w:val="0"/>
                <w:i w:val="0"/>
                <w:color w:val="1F2937"/>
                <w:sz w:val="18"/>
              </w:rPr>
              <w:t>Profile says he led the Micronaut 4 Upgrade Project and integrated Claude Code into company-wide tools: hands-on owner of the migration and an incumbent-tool user.</w:t>
            </w:r>
            <w:r>
              <w:rPr>
                <w:rFonts w:ascii="Arial" w:hAnsi="Arial" w:cs="Arial" w:eastAsia="Arial"/>
                <w:b w:val="0"/>
                <w:i w:val="0"/>
                <w:color w:val="6B7280"/>
                <w:sz w:val="16"/>
              </w:rPr>
              <w:t xml:space="preserve"> [12]</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Integrated Claude Code and agent-based workflows into company-wide tools</w:t>
            </w:r>
          </w:p>
        </w:tc>
      </w:tr>
      <w:tr>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Sai Chiligireddy</w:t>
            </w:r>
            <w:r>
              <w:rPr>
                <w:rFonts w:ascii="Arial" w:hAnsi="Arial" w:cs="Arial" w:eastAsia="Arial"/>
                <w:b w:val="0"/>
                <w:i w:val="0"/>
                <w:color w:val="6B7280"/>
                <w:sz w:val="18"/>
              </w:rPr>
              <w:t xml:space="preserve">  Staff AI Engineer &amp; Tech Lead Manager - AI Ecosystem</w:t>
            </w:r>
          </w:p>
          <w:p>
            <w:pPr>
              <w:spacing w:before="0" w:after="20" w:line="269" w:lineRule="auto"/>
            </w:pPr>
            <w:r>
              <w:rPr>
                <w:rFonts w:ascii="Arial" w:hAnsi="Arial" w:cs="Arial" w:eastAsia="Arial"/>
                <w:b/>
                <w:i w:val="0"/>
                <w:color w:val="0F766E"/>
                <w:sz w:val="16"/>
              </w:rPr>
              <w:t>Champion</w:t>
            </w:r>
            <w:r>
              <w:rPr>
                <w:rFonts w:ascii="Arial" w:hAnsi="Arial" w:cs="Arial" w:eastAsia="Arial"/>
                <w:b/>
                <w:i w:val="0"/>
                <w:color w:val="B91C1C"/>
                <w:sz w:val="16"/>
              </w:rPr>
              <w:t xml:space="preserve">   Incumbent owner</w:t>
            </w:r>
          </w:p>
          <w:p>
            <w:pPr>
              <w:spacing w:before="0" w:after="20" w:line="269" w:lineRule="auto"/>
            </w:pPr>
            <w:r>
              <w:rPr>
                <w:rFonts w:ascii="Arial" w:hAnsi="Arial" w:cs="Arial" w:eastAsia="Arial"/>
                <w:b w:val="0"/>
                <w:i w:val="0"/>
                <w:color w:val="1F2937"/>
                <w:sz w:val="18"/>
              </w:rPr>
              <w:t>Leads Brex's MCP platform across Claude, ChatGPT and Cursor; about 4 months in role. Owns part of the incumbent agent ecosystem, so no 'have you tried agents?' pitch.</w:t>
            </w:r>
            <w:r>
              <w:rPr>
                <w:rFonts w:ascii="Arial" w:hAnsi="Arial" w:cs="Arial" w:eastAsia="Arial"/>
                <w:b w:val="0"/>
                <w:i w:val="0"/>
                <w:color w:val="6B7280"/>
                <w:sz w:val="16"/>
              </w:rPr>
              <w:t xml:space="preserve"> [13]</w:t>
            </w:r>
            <w:r>
              <w:rPr>
                <w:rFonts w:ascii="Arial" w:hAnsi="Arial" w:cs="Arial" w:eastAsia="Arial"/>
                <w:b w:val="0"/>
                <w:i w:val="0"/>
                <w:color w:val="1F2937"/>
                <w:sz w:val="16"/>
              </w:rPr>
              <w:t xml:space="preserve">  </w:t>
            </w:r>
            <w:hyperlink r:id="rId13">
              <w:r>
                <w:rPr>
                  <w:rFonts w:ascii="Arial" w:hAnsi="Arial" w:cs="Arial" w:eastAsia="Arial"/>
                  <w:sz w:val="18"/>
                  <w:color w:val="0563C1"/>
                  <w:u w:val="single"/>
                </w:rPr>
                <w:t xml:space="preserve">LinkedIn</w:t>
              </w:r>
            </w:hyperlink>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Micronaut 4 migration across 500+ Kotlin microservices is partway done; Brex says the remainder still needs de-risking</w:t>
            </w:r>
          </w:p>
          <w:p>
            <w:pPr>
              <w:spacing w:before="0" w:after="40" w:line="269" w:lineRule="auto"/>
            </w:pPr>
            <w:r>
              <w:rPr>
                <w:rFonts w:ascii="Arial" w:hAnsi="Arial" w:cs="Arial" w:eastAsia="Arial"/>
                <w:b/>
                <w:i w:val="0"/>
                <w:color w:val="1D4ED8"/>
                <w:sz w:val="16"/>
              </w:rPr>
              <w:t>strong</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Who cares: Phil Burrows, Sridhar Mocherla, Chenming Cui</w:t>
            </w:r>
          </w:p>
          <w:p>
            <w:pPr>
              <w:spacing w:before="0" w:after="20" w:line="269" w:lineRule="auto"/>
            </w:pPr>
            <w:r>
              <w:rPr>
                <w:rFonts w:ascii="Arial" w:hAnsi="Arial" w:cs="Arial" w:eastAsia="Arial"/>
                <w:b w:val="0"/>
                <w:i/>
                <w:color w:val="6B7280"/>
                <w:sz w:val="18"/>
              </w:rPr>
              <w:t>"Our core Kotlin framework at Brex is Micronaut and we use it across over 500 microservices."</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"To de-risk the remainder of this migration, we are looking beyond repository-level automation"</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"we unblocked critical downstream engineering initiatives, such as our GraphQL federation upgrade"</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"Sofhia de Souza Gonçalves built a self-correcting agent pipeline in Cursor instead, and accelerated that old, manual work model by 32x."</w:t>
            </w:r>
            <w:r>
              <w:rPr>
                <w:rFonts w:ascii="Arial" w:hAnsi="Arial" w:cs="Arial" w:eastAsia="Arial"/>
                <w:b w:val="0"/>
                <w:i w:val="0"/>
                <w:color w:val="6B7280"/>
                <w:sz w:val="16"/>
              </w:rPr>
              <w:t xml:space="preserve"> [2] · 2026-07-22</w:t>
            </w:r>
          </w:p>
          <w:p>
            <w:pPr>
              <w:spacing w:before="0" w:after="20" w:line="269" w:lineRule="auto"/>
            </w:pPr>
            <w:r>
              <w:rPr>
                <w:rFonts w:ascii="Arial" w:hAnsi="Arial" w:cs="Arial" w:eastAsia="Arial"/>
                <w:b w:val="0"/>
                <w:i/>
                <w:color w:val="6B7280"/>
                <w:sz w:val="18"/>
              </w:rPr>
              <w:t>"Led the Micronaut 4 Upgrade Project to unblock developer adoption of new language versions and features"</w:t>
            </w:r>
            <w:r>
              <w:rPr>
                <w:rFonts w:ascii="Arial" w:hAnsi="Arial" w:cs="Arial" w:eastAsia="Arial"/>
                <w:b w:val="0"/>
                <w:i w:val="0"/>
                <w:color w:val="6B7280"/>
                <w:sz w:val="16"/>
              </w:rPr>
              <w:t xml:space="preserve"> [12] · 2026-09-15</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Agent-driven migration exposed test-suite gaps: some PRs passed existing tests and still caused runtime bugs</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Test generation &amp; QA</w:t>
            </w:r>
            <w:r>
              <w:rPr>
                <w:rFonts w:ascii="Arial" w:hAnsi="Arial" w:cs="Arial" w:eastAsia="Arial"/>
                <w:b w:val="0"/>
                <w:i w:val="0"/>
                <w:color w:val="6B7280"/>
                <w:sz w:val="18"/>
              </w:rPr>
              <w:t xml:space="preserve">  ·  Who cares: Phil Burrows, Sridhar Mocherla</w:t>
            </w:r>
          </w:p>
          <w:p>
            <w:pPr>
              <w:spacing w:before="0" w:after="20" w:line="269" w:lineRule="auto"/>
            </w:pPr>
            <w:r>
              <w:rPr>
                <w:rFonts w:ascii="Arial" w:hAnsi="Arial" w:cs="Arial" w:eastAsia="Arial"/>
                <w:b w:val="0"/>
                <w:i/>
                <w:color w:val="6B7280"/>
                <w:sz w:val="18"/>
              </w:rPr>
              <w:t>"a few automated PRs passed all existing unit and integration tests cleanly, only to cause subtle runtime bugs once they hit production traffic"</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"because certain services had gaps in their test suites or lacked robust monitoring, anomalies slipped through."</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"Sofhia de Souza Gonçalves built a self-correcting agent pipeline in Cursor instead, and accelerated that old, manual work model by 32x."</w:t>
            </w:r>
            <w:r>
              <w:rPr>
                <w:rFonts w:ascii="Arial" w:hAnsi="Arial" w:cs="Arial" w:eastAsia="Arial"/>
                <w:b w:val="0"/>
                <w:i w:val="0"/>
                <w:color w:val="6B7280"/>
                <w:sz w:val="16"/>
              </w:rPr>
              <w:t xml:space="preserve"> [2] · 2026-07-22</w:t>
            </w:r>
          </w:p>
        </w:tc>
      </w:tr>
    </w:tbl>
    <w:p>
      <w:pPr>
        <w:spacing w:after="12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Cursor is in production: self-hosted Cursor agents run the Micronaut 4 migration, and Claude Code is part of daily engineering work. Angle: displace or expand. Cover the remainder and the test gaps, and take over the harness they had to build (dedicated nodes, headless auth).</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[1][3][5][12]</w:t>
      </w:r>
    </w:p>
    <w:p>
      <w:pPr>
        <w:spacing w:after="120"/>
      </w:pPr>
      <w:r>
        <w:rPr>
          <w:rFonts w:ascii="Arial" w:hAnsi="Arial" w:cs="Arial" w:eastAsia="Arial"/>
          <w:b w:val="0"/>
          <w:i w:val="0"/>
          <w:color w:val="1F2937"/>
          <w:sz w:val="20"/>
        </w:rPr>
        <w:t>Brex built an in-house platform for delegating engineering work to agents (used on gRPC migrations across 400+ services), an oncall agent on the Claude SDK, and is testing an AI SRE agent for incident investigation. Expect a build-vs-buy objection; lead with the upkeep of these harnesses.</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[1][4][14]</w:t>
      </w:r>
    </w:p>
    <w:p>
      <w:pPr>
        <w:spacing w:after="120"/>
      </w:pPr>
      <w:r>
        <w:rPr>
          <w:rFonts w:ascii="Arial" w:hAnsi="Arial" w:cs="Arial" w:eastAsia="Arial"/>
          <w:b w:val="0"/>
          <w:i w:val="0"/>
          <w:color w:val="1F2937"/>
          <w:sz w:val="20"/>
        </w:rPr>
        <w:t>Brex is a Capital One subsidiary, so expect parent-level procurement and third-party risk review</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[15]</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James Reggio</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The rest of Micronaut 4</w:t>
            </w:r>
          </w:p>
          <w:p>
            <w:pPr>
              <w:spacing w:before="0" w:after="40" w:line="269" w:lineRule="auto"/>
            </w:pPr>
            <w:r>
              <w:rPr>
                <w:rFonts w:ascii="Arial" w:hAnsi="Arial" w:cs="Arial" w:eastAsia="Arial"/>
                <w:b w:val="0"/>
                <w:i w:val="0"/>
                <w:color w:val="1F2937"/>
                <w:sz w:val="22"/>
              </w:rPr>
              <w:t>James,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Brex's write-up on the Micronaut 4 upgrade says one engineer migrated 180 microservices in a month, and that the remainder still needs de-risking because some services had gaps in their test suites.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That remainder is the kind of work fintech engineering teams hand to Devin. Itaú ran a 6x faster .NET to Java migration of 59 services, and at Ramp, Devin fixes tens of thousands of hours of technical debt.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I'd start from the services still to migrate and the tests they lack, not from anything your team has already shipped.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20 minutes to compare notes?</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 xml:space="preserve"> </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Angle: migration remainder plus Itaú/Ramp fintech peer proof. Economic buyer, so no product tour.</w:t>
                  </w:r>
                </w:p>
                <w:p>
                  <w:pPr>
                    <w:spacing w:before="0" w:after="8" w:line="269" w:lineRule="auto"/>
                  </w:pPr>
                  <w:r>
                    <w:rPr>
                      <w:rFonts w:ascii="Arial" w:hAnsi="Arial" w:cs="Arial" w:eastAsia="Arial"/>
                      <w:b w:val="0"/>
                      <w:i w:val="0"/>
                      <w:color w:val="6B7280"/>
                      <w:sz w:val="16"/>
                    </w:rPr>
                    <w:t>- Channel: email only. He says he doesn't use LinkedIn messaging or accept invitations, so the LinkedIn note and follow-up are intentionally blank. Don't send on LinkedIn.</w:t>
                  </w:r>
                </w:p>
                <w:p>
                  <w:pPr>
                    <w:spacing w:before="0" w:after="8" w:line="269" w:lineRule="auto"/>
                  </w:pPr>
                  <w:r>
                    <w:rPr>
                      <w:rFonts w:ascii="Arial" w:hAnsi="Arial" w:cs="Arial" w:eastAsia="Arial"/>
                      <w:b w:val="0"/>
                      <w:i w:val="0"/>
                      <w:color w:val="6B7280"/>
                      <w:sz w:val="16"/>
                    </w:rPr>
                    <w:t>- Don't pitch "have you tried agents?" Cursor is already in production.</w:t>
                  </w:r>
                </w:p>
                <w:p>
                  <w:pPr>
                    <w:spacing w:before="0" w:after="8" w:line="269" w:lineRule="auto"/>
                  </w:pPr>
                  <w:r>
                    <w:rPr>
                      <w:rFonts w:ascii="Arial" w:hAnsi="Arial" w:cs="Arial" w:eastAsia="Arial"/>
                      <w:b w:val="0"/>
                      <w:i w:val="0"/>
                      <w:color w:val="6B7280"/>
                      <w:sz w:val="16"/>
                    </w:rPr>
                    <w:t>- Ramp is peer proof, not fear of missing out.</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Brex wrote up its Micronaut 4 upgrade</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"fully automate the Micronaut 4 upgrade across Brex’s microservices ecosystem"</w:t>
            </w:r>
          </w:p>
          <w:p>
            <w:pPr>
              <w:spacing w:before="0" w:after="8" w:line="269" w:lineRule="auto"/>
            </w:pPr>
            <w:r>
              <w:rPr>
                <w:rFonts w:ascii="Arial" w:hAnsi="Arial" w:cs="Arial" w:eastAsia="Arial"/>
                <w:b w:val="0"/>
                <w:i w:val="0"/>
                <w:color w:val="6B7280"/>
                <w:sz w:val="16"/>
              </w:rPr>
              <w:t>One engineer migrated 180 microservices in a month</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"This allowed a single engineer to migrate 180 microservices in just one month."</w:t>
            </w:r>
          </w:p>
          <w:p>
            <w:pPr>
              <w:spacing w:before="0" w:after="8" w:line="269" w:lineRule="auto"/>
            </w:pPr>
            <w:r>
              <w:rPr>
                <w:rFonts w:ascii="Arial" w:hAnsi="Arial" w:cs="Arial" w:eastAsia="Arial"/>
                <w:b w:val="0"/>
                <w:i w:val="0"/>
                <w:color w:val="6B7280"/>
                <w:sz w:val="16"/>
              </w:rPr>
              <w:t>The remainder still needs de-risking</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"To de-risk the remainder of this migration, we are looking beyond repository-level automation"</w:t>
            </w:r>
          </w:p>
          <w:p>
            <w:pPr>
              <w:spacing w:before="0" w:after="8" w:line="269" w:lineRule="auto"/>
            </w:pPr>
            <w:r>
              <w:rPr>
                <w:rFonts w:ascii="Arial" w:hAnsi="Arial" w:cs="Arial" w:eastAsia="Arial"/>
                <w:b w:val="0"/>
                <w:i w:val="0"/>
                <w:color w:val="6B7280"/>
                <w:sz w:val="16"/>
              </w:rPr>
              <w:t>Some services had gaps in their test suites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"because certain services had gaps in their test suites or lacked robust monitoring, anomalies slipped through."</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[1][9][16][17]</w:t>
            </w:r>
          </w:p>
          <w:p>
            <w:pPr>
              <w:spacing w:before="0" w:after="8" w:line="269" w:lineRule="auto"/>
            </w:pPr>
            <w:r>
              <w:rPr>
                <w:rFonts w:ascii="Arial" w:hAnsi="Arial" w:cs="Arial" w:eastAsia="Arial"/>
                <w:b w:val="0"/>
                <w:i w:val="0"/>
                <w:color w:val="6B7280"/>
                <w:sz w:val="16"/>
              </w:rPr>
              <w:t>Lint (linkedin_note): 0 characters; needs 1-300</w:t>
            </w:r>
          </w:p>
          <w:p>
            <w:pPr>
              <w:spacing w:before="0" w:after="8" w:line="269" w:lineRule="auto"/>
            </w:pPr>
            <w:r>
              <w:rPr>
                <w:rFonts w:ascii="Arial" w:hAnsi="Arial" w:cs="Arial" w:eastAsia="Arial"/>
                <w:b w:val="0"/>
                <w:i w:val="0"/>
                <w:color w:val="6B7280"/>
                <w:sz w:val="16"/>
              </w:rPr>
              <w:t>Lint (linkedin_followup): 0 characters; needs 400-600</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Phil Burrows</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Agents off the laptops</w:t>
            </w:r>
          </w:p>
          <w:p>
            <w:pPr>
              <w:spacing w:before="0" w:after="40" w:line="269" w:lineRule="auto"/>
            </w:pPr>
            <w:r>
              <w:rPr>
                <w:rFonts w:ascii="Arial" w:hAnsi="Arial" w:cs="Arial" w:eastAsia="Arial"/>
                <w:b w:val="0"/>
                <w:i w:val="0"/>
                <w:color w:val="1F2937"/>
                <w:sz w:val="22"/>
              </w:rPr>
              <w:t>Phil,</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The Micronaut 4 post was candid about what it took to run agents at Brex: the agentic loop broke whenever a laptop went to sleep, so the team provisioned dedicated nodes, configured headless authentication and moved to self-hosted Cursor agents.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The same post names what's left: the remainder of the migration, plus services where automated PRs passed existing tests and still caused runtime bugs. Devin runs in the cloud, keeps working when the laptop is closed, and tests end to end on its own VMs, so the next wave doesn't need more runtime upkeep from your team. Itaú used Devin to take test coverage from ~50% to ~90+%.</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20 minutes on the remaining services?</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Phil, read the Micronaut 4 post on moving agents off laptops and onto dedicated nodes. I work on Devin, which runs in the cloud and keeps working when the laptop is closed. Would like to compare notes on the remaining services.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Phil, one more from the migration post. The next step it describes is environment-aware agents that monitor staging and production for anomalies on migrated services. Devin can monitor incoming alerts, investigate them automatically, and come back with an investigation, next steps, and even a PR. At Modal, Devin produces a useful early investigation on 80% of incidents. It would sit alongside the pipeline your team already runs, not replace it. Happy to walk through how, for the next batch.</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Angle: the platform cost of keeping the self-hosted Cursor harness running for the remainder. Champion by team area, not a prior Devin user.</w:t>
                  </w:r>
                </w:p>
                <w:p>
                  <w:pPr>
                    <w:spacing w:before="0" w:after="8" w:line="269" w:lineRule="auto"/>
                  </w:pPr>
                  <w:r>
                    <w:rPr>
                      <w:rFonts w:ascii="Arial" w:hAnsi="Arial" w:cs="Arial" w:eastAsia="Arial"/>
                      <w:b w:val="0"/>
                      <w:i w:val="0"/>
                      <w:color w:val="6B7280"/>
                      <w:sz w:val="16"/>
                    </w:rPr>
                    <w:t>- Displace by joining the next wave (remainder, test gaps, monitoring). Don't tell him to throw away the pipeline they just published.</w:t>
                  </w:r>
                </w:p>
                <w:p>
                  <w:pPr>
                    <w:spacing w:before="0" w:after="8" w:line="269" w:lineRule="auto"/>
                  </w:pPr>
                  <w:r>
                    <w:rPr>
                      <w:rFonts w:ascii="Arial" w:hAnsi="Arial" w:cs="Arial" w:eastAsia="Arial"/>
                      <w:b w:val="0"/>
                      <w:i w:val="0"/>
                      <w:color w:val="6B7280"/>
                      <w:sz w:val="16"/>
                    </w:rPr>
                    <w:t>- The post says teams already test an AI SRE agent for incidents; in the follow-up, position Devin alongside it, not as a first agent.</w:t>
                  </w:r>
                </w:p>
                <w:p>
                  <w:pPr>
                    <w:spacing w:before="0" w:after="8" w:line="269" w:lineRule="auto"/>
                  </w:pPr>
                  <w:r>
                    <w:rPr>
                      <w:rFonts w:ascii="Arial" w:hAnsi="Arial" w:cs="Arial" w:eastAsia="Arial"/>
                      <w:b w:val="0"/>
                      <w:i w:val="0"/>
                      <w:color w:val="6B7280"/>
                      <w:sz w:val="16"/>
                    </w:rPr>
                    <w:t>- LinkedIn note and follow-up are sendable; the follow-up uses the monitoring step, not the email's angle.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Brex wrote up its Micronaut 4 upgrade</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"fully automate the Micronaut 4 upgrade across Brex’s microservices ecosystem"</w:t>
            </w:r>
          </w:p>
          <w:p>
            <w:pPr>
              <w:spacing w:before="0" w:after="8" w:line="269" w:lineRule="auto"/>
            </w:pPr>
            <w:r>
              <w:rPr>
                <w:rFonts w:ascii="Arial" w:hAnsi="Arial" w:cs="Arial" w:eastAsia="Arial"/>
                <w:b w:val="0"/>
                <w:i w:val="0"/>
                <w:color w:val="6B7280"/>
                <w:sz w:val="16"/>
              </w:rPr>
              <w:t>On laptops, the agentic loop broke whenever a laptop went to sleep</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"If a laptop went to sleep, dropped its Wi-Fi connection, or was closed for a meeting, the agentic loop broke entirely."</w:t>
            </w:r>
          </w:p>
          <w:p>
            <w:pPr>
              <w:spacing w:before="0" w:after="8" w:line="269" w:lineRule="auto"/>
            </w:pPr>
            <w:r>
              <w:rPr>
                <w:rFonts w:ascii="Arial" w:hAnsi="Arial" w:cs="Arial" w:eastAsia="Arial"/>
                <w:b w:val="0"/>
                <w:i w:val="0"/>
                <w:color w:val="6B7280"/>
                <w:sz w:val="16"/>
              </w:rPr>
              <w:t>The team provisioned dedicated nodes and configured headless authentication</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"We provisioned the dedicated nodes on which the agents would run, configured headless authentication"</w:t>
            </w:r>
          </w:p>
          <w:p>
            <w:pPr>
              <w:spacing w:before="0" w:after="8" w:line="269" w:lineRule="auto"/>
            </w:pPr>
            <w:r>
              <w:rPr>
                <w:rFonts w:ascii="Arial" w:hAnsi="Arial" w:cs="Arial" w:eastAsia="Arial"/>
                <w:b w:val="0"/>
                <w:i w:val="0"/>
                <w:color w:val="6B7280"/>
                <w:sz w:val="16"/>
              </w:rPr>
              <w:t>The team moved to self-hosted Cursor agents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"To eliminate the local machine bottleneck, we transitioned execution to custom, cloud-based, and self-hosted Cursor agents."</w:t>
            </w:r>
          </w:p>
          <w:p>
            <w:pPr>
              <w:spacing w:before="0" w:after="8" w:line="269" w:lineRule="auto"/>
            </w:pPr>
            <w:r>
              <w:rPr>
                <w:rFonts w:ascii="Arial" w:hAnsi="Arial" w:cs="Arial" w:eastAsia="Arial"/>
                <w:b w:val="0"/>
                <w:i w:val="0"/>
                <w:color w:val="6B7280"/>
                <w:sz w:val="16"/>
              </w:rPr>
              <w:t>The remainder of the migration is still to do</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"To de-risk the remainder of this migration, we are looking beyond repository-level automation"</w:t>
            </w:r>
          </w:p>
          <w:p>
            <w:pPr>
              <w:spacing w:before="0" w:after="8" w:line="269" w:lineRule="auto"/>
            </w:pPr>
            <w:r>
              <w:rPr>
                <w:rFonts w:ascii="Arial" w:hAnsi="Arial" w:cs="Arial" w:eastAsia="Arial"/>
                <w:b w:val="0"/>
                <w:i w:val="0"/>
                <w:color w:val="6B7280"/>
                <w:sz w:val="16"/>
              </w:rPr>
              <w:t>Automated PRs passed existing tests and still caused runtime bugs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"a few automated PRs passed all existing unit and integration tests cleanly, only to cause subtle runtime bugs once they hit production traffic"</w:t>
            </w:r>
          </w:p>
          <w:p>
            <w:pPr>
              <w:spacing w:before="0" w:after="8" w:line="269" w:lineRule="auto"/>
            </w:pPr>
            <w:r>
              <w:rPr>
                <w:rFonts w:ascii="Arial" w:hAnsi="Arial" w:cs="Arial" w:eastAsia="Arial"/>
                <w:b w:val="0"/>
                <w:i w:val="0"/>
                <w:color w:val="6B7280"/>
                <w:sz w:val="16"/>
              </w:rPr>
              <w:t>The next step is environment-aware agents that monitor staging and production</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"We are currently developing environment-aware agents to monitor staging and production environments"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[1][10][16][18][19][20]</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Sridhar Mocherla</w:t>
            </w:r>
            <w:r>
              <w:rPr>
                <w:rFonts w:ascii="Arial" w:hAnsi="Arial" w:cs="Arial" w:eastAsia="Arial"/>
                <w:b/>
                <w:i w:val="0"/>
                <w:color w:val="6D28D9"/>
                <w:sz w:val="16"/>
              </w:rPr>
              <w:t xml:space="preserve">   Technical evaluator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One remaining service on Bazel</w:t>
            </w:r>
          </w:p>
          <w:p>
            <w:pPr>
              <w:spacing w:before="0" w:after="40" w:line="269" w:lineRule="auto"/>
            </w:pPr>
            <w:r>
              <w:rPr>
                <w:rFonts w:ascii="Arial" w:hAnsi="Arial" w:cs="Arial" w:eastAsia="Arial"/>
                <w:b w:val="0"/>
                <w:i w:val="0"/>
                <w:color w:val="1F2937"/>
                <w:sz w:val="22"/>
              </w:rPr>
              <w:t>Sridhar,</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profile lists GraphQL Federation, Bazel and Micronaut, so you know the constraint the Micronaut 4 post describes: OpenRewrite was evaluated, but its Bazel support was limited, and the team ended up writing eleven skills, each scoped to one class of failure.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Here's how Devin would run on that stack: inside your monorepo and existing CI, one PR per remaining service, built and tested end to end on its own VM before an engineer reviews it. A fair first test is one service you already know is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AngelList used Devin to complete a Redshift-to-Snowflake migration 5.2x faster.</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walking through one service together?</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Sridhar, saw Bazel and Micronaut on your profile and read the Micronaut 4 post. I work on Devin; a side-by-side on one remaining service seems like a fair test. Happy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Sridhar, a different angle from the same post: some automated PRs passed all existing unit and integration tests and still caused subtle runtime bugs, because certain services had gaps in their test suites. Before the next batch, Devin could write tests for the remaining services first, so migration PRs land against real validation gates. Companies' test coverage typically rises from 50-60% to 80-90% when using Devin. Happy to try it on one service you know is thin on tests.</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Angle: how Devin would run on Bazel / Micronaut / GraphQL Federation, one service at a time. Evaluator email, not a name-swap of the CTO email.</w:t>
                  </w:r>
                </w:p>
                <w:p>
                  <w:pPr>
                    <w:spacing w:before="0" w:after="8" w:line="269" w:lineRule="auto"/>
                  </w:pPr>
                  <w:r>
                    <w:rPr>
                      <w:rFonts w:ascii="Arial" w:hAnsi="Arial" w:cs="Arial" w:eastAsia="Arial"/>
                      <w:b w:val="0"/>
                      <w:i w:val="0"/>
                      <w:color w:val="6B7280"/>
                      <w:sz w:val="16"/>
                    </w:rPr>
                    <w:t>- Don't quote prior-employer trivia from his profile; the hook is the current stack.</w:t>
                  </w:r>
                </w:p>
                <w:p>
                  <w:pPr>
                    <w:spacing w:before="0" w:after="8" w:line="269" w:lineRule="auto"/>
                  </w:pPr>
                  <w:r>
                    <w:rPr>
                      <w:rFonts w:ascii="Arial" w:hAnsi="Arial" w:cs="Arial" w:eastAsia="Arial"/>
                      <w:b w:val="0"/>
                      <w:i w:val="0"/>
                      <w:color w:val="6B7280"/>
                      <w:sz w:val="16"/>
                    </w:rPr>
                    <w:t>- LinkedIn follow-up is sendable; it shifts to test gaps rather than repeating the email.</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Sridhar's profile lists GraphQL Federation, Bazel and Micronaut</w:t>
            </w:r>
            <w:r>
              <w:rPr>
                <w:rFonts w:ascii="Arial" w:hAnsi="Arial" w:cs="Arial" w:eastAsia="Arial"/>
                <w:b w:val="0"/>
                <w:i w:val="0"/>
                <w:color w:val="6B7280"/>
                <w:sz w:val="16"/>
              </w:rPr>
              <w:t xml:space="preserve"> [11]</w:t>
            </w:r>
          </w:p>
          <w:p>
            <w:pPr>
              <w:spacing w:before="0" w:after="16" w:line="269" w:lineRule="auto"/>
            </w:pPr>
            <w:r>
              <w:rPr>
                <w:rFonts w:ascii="Arial" w:hAnsi="Arial" w:cs="Arial" w:eastAsia="Arial"/>
                <w:b w:val="0"/>
                <w:i/>
                <w:color w:val="6B7280"/>
                <w:sz w:val="16"/>
              </w:rPr>
              <w:t>"GraphQL Federation, Bazel, Polyglot development(Protobuf, Go, Typescript, Python, Kotlin/JVM, Elixir), Micronaut"</w:t>
            </w:r>
          </w:p>
          <w:p>
            <w:pPr>
              <w:spacing w:before="0" w:after="8" w:line="269" w:lineRule="auto"/>
            </w:pPr>
            <w:r>
              <w:rPr>
                <w:rFonts w:ascii="Arial" w:hAnsi="Arial" w:cs="Arial" w:eastAsia="Arial"/>
                <w:b w:val="0"/>
                <w:i w:val="0"/>
                <w:color w:val="6B7280"/>
                <w:sz w:val="16"/>
              </w:rPr>
              <w:t>The post covers the Micronaut 4 upgrade</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"fully automate the Micronaut 4 upgrade across Brex’s microservices ecosystem"</w:t>
            </w:r>
          </w:p>
          <w:p>
            <w:pPr>
              <w:spacing w:before="0" w:after="8" w:line="269" w:lineRule="auto"/>
            </w:pPr>
            <w:r>
              <w:rPr>
                <w:rFonts w:ascii="Arial" w:hAnsi="Arial" w:cs="Arial" w:eastAsia="Arial"/>
                <w:b w:val="0"/>
                <w:i w:val="0"/>
                <w:color w:val="6B7280"/>
                <w:sz w:val="16"/>
              </w:rPr>
              <w:t>OpenRewrite was evaluated but its Bazel support was limited</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"We evaluated OpenRewrite OSS...but its Bazel support was limited"</w:t>
            </w:r>
          </w:p>
          <w:p>
            <w:pPr>
              <w:spacing w:before="0" w:after="8" w:line="269" w:lineRule="auto"/>
            </w:pPr>
            <w:r>
              <w:rPr>
                <w:rFonts w:ascii="Arial" w:hAnsi="Arial" w:cs="Arial" w:eastAsia="Arial"/>
                <w:b w:val="0"/>
                <w:i w:val="0"/>
                <w:color w:val="6B7280"/>
                <w:sz w:val="16"/>
              </w:rPr>
              <w:t>The team wrote eleven skills, each scoped to one class of failure</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"In total, we wrote eleven skills, each scoped to one class of failure."</w:t>
            </w:r>
          </w:p>
          <w:p>
            <w:pPr>
              <w:spacing w:before="0" w:after="8" w:line="269" w:lineRule="auto"/>
            </w:pPr>
            <w:r>
              <w:rPr>
                <w:rFonts w:ascii="Arial" w:hAnsi="Arial" w:cs="Arial" w:eastAsia="Arial"/>
                <w:b w:val="0"/>
                <w:i w:val="0"/>
                <w:color w:val="6B7280"/>
                <w:sz w:val="16"/>
              </w:rPr>
              <w:t>Brex runs a monorepo</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"wouldn't integrate well with the custom Bazel tooling our monorepo relies on"</w:t>
            </w:r>
          </w:p>
          <w:p>
            <w:pPr>
              <w:spacing w:before="0" w:after="8" w:line="269" w:lineRule="auto"/>
            </w:pPr>
            <w:r>
              <w:rPr>
                <w:rFonts w:ascii="Arial" w:hAnsi="Arial" w:cs="Arial" w:eastAsia="Arial"/>
                <w:b w:val="0"/>
                <w:i w:val="0"/>
                <w:color w:val="6B7280"/>
                <w:sz w:val="16"/>
              </w:rPr>
              <w:t>Brex has a CI pipeline</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"monitor the continuous integration (CI) pipeline"</w:t>
            </w:r>
          </w:p>
          <w:p>
            <w:pPr>
              <w:spacing w:before="0" w:after="8" w:line="269" w:lineRule="auto"/>
            </w:pPr>
            <w:r>
              <w:rPr>
                <w:rFonts w:ascii="Arial" w:hAnsi="Arial" w:cs="Arial" w:eastAsia="Arial"/>
                <w:b w:val="0"/>
                <w:i w:val="0"/>
                <w:color w:val="6B7280"/>
                <w:sz w:val="16"/>
              </w:rPr>
              <w:t>Some automated PRs passed all existing unit and integration tests and still caused subtle runtime bugs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"a few automated PRs passed all existing unit and integration tests cleanly, only to cause subtle runtime bugs once they hit production traffic"</w:t>
            </w:r>
          </w:p>
          <w:p>
            <w:pPr>
              <w:spacing w:before="0" w:after="8" w:line="269" w:lineRule="auto"/>
            </w:pPr>
            <w:r>
              <w:rPr>
                <w:rFonts w:ascii="Arial" w:hAnsi="Arial" w:cs="Arial" w:eastAsia="Arial"/>
                <w:b w:val="0"/>
                <w:i w:val="0"/>
                <w:color w:val="6B7280"/>
                <w:sz w:val="16"/>
              </w:rPr>
              <w:t>Certain services had gaps in their test suites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"because certain services had gaps in their test suites or lacked robust monitoring, anomalies slipped through."</w:t>
            </w:r>
          </w:p>
          <w:p>
            <w:pPr>
              <w:spacing w:before="0" w:after="8" w:line="269" w:lineRule="auto"/>
            </w:pPr>
            <w:r>
              <w:rPr>
                <w:rFonts w:ascii="Arial" w:hAnsi="Arial" w:cs="Arial" w:eastAsia="Arial"/>
                <w:b w:val="0"/>
                <w:i w:val="0"/>
                <w:color w:val="6B7280"/>
                <w:sz w:val="16"/>
              </w:rPr>
              <w:t>The post talks about validation gates for agents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"An agent is only as good as the validation gates you build for it."</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[1][11][18][21][22][23]</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Finish the migration without maintaining the harness. Brex had to move agents off laptops onto dedicated nodes with headless auth; Devin runs in the cloud and keeps working when the laptop is closed.</w:t>
      </w:r>
      <w:r>
        <w:rPr>
          <w:rFonts w:ascii="Arial" w:hAnsi="Arial" w:cs="Arial" w:eastAsia="Arial"/>
          <w:b w:val="0"/>
          <w:i w:val="0"/>
          <w:color w:val="6B7280"/>
          <w:sz w:val="16"/>
        </w:rPr>
        <w:t xml:space="preserve"> [1][18]</w:t>
      </w:r>
    </w:p>
    <w:p>
      <w:pPr>
        <w:spacing w:after="120"/>
      </w:pPr>
      <w:r>
        <w:rPr>
          <w:rFonts w:ascii="Arial" w:hAnsi="Arial" w:cs="Arial" w:eastAsia="Arial"/>
          <w:b w:val="0"/>
          <w:i w:val="0"/>
          <w:color w:val="1F2937"/>
          <w:sz w:val="20"/>
        </w:rPr>
        <w:t>Validation gates before the next upgrade wave. Brex says weak test suites let agent PRs through; lead with test generation backed by Itaú's coverage proof.</w:t>
      </w:r>
      <w:r>
        <w:rPr>
          <w:rFonts w:ascii="Arial" w:hAnsi="Arial" w:cs="Arial" w:eastAsia="Arial"/>
          <w:b w:val="0"/>
          <w:i w:val="0"/>
          <w:color w:val="6B7280"/>
          <w:sz w:val="16"/>
        </w:rPr>
        <w:t xml:space="preserve"> [1][16]</w:t>
      </w:r>
    </w:p>
    <w:p>
      <w:pPr>
        <w:spacing w:after="120"/>
      </w:pPr>
      <w:r>
        <w:rPr>
          <w:rFonts w:ascii="Arial" w:hAnsi="Arial" w:cs="Arial" w:eastAsia="Arial"/>
          <w:b w:val="0"/>
          <w:i w:val="0"/>
          <w:color w:val="1F2937"/>
          <w:sz w:val="20"/>
        </w:rPr>
        <w:t>Fintech peers on Devin: Nubank and Itaú for migrations, and Ramp, a named Brex competitor, for tech debt.</w:t>
      </w:r>
      <w:r>
        <w:rPr>
          <w:rFonts w:ascii="Arial" w:hAnsi="Arial" w:cs="Arial" w:eastAsia="Arial"/>
          <w:b w:val="0"/>
          <w:i w:val="0"/>
          <w:color w:val="6B7280"/>
          <w:sz w:val="16"/>
        </w:rPr>
        <w:t xml:space="preserve"> [17][24][25]</w:t>
      </w:r>
    </w:p>
    <w:p>
      <w:pPr>
        <w:pageBreakBefore/>
        <w:spacing w:before="80" w:after="80"/>
      </w:pPr>
      <w:r>
        <w:rPr>
          <w:rFonts w:ascii="Arial" w:hAnsi="Arial" w:cs="Arial" w:eastAsia="Arial"/>
          <w:b/>
          <w:i w:val="0"/>
          <w:color w:val="1F2937"/>
          <w:sz w:val="24"/>
        </w:rPr>
        <w:t>Wider buying center</w:t>
      </w:r>
    </w:p>
    <w:p>
      <w:r>
        <w:rPr>
          <w:rFonts w:ascii="Arial" w:hAnsi="Arial" w:cs="Arial" w:eastAsia="Arial"/>
          <w:b w:val="0"/>
          <w:i/>
          <w:color w:val="6B7280"/>
          <w:sz w:val="22"/>
        </w:rPr>
        <w:t>Not found</w:t>
      </w:r>
    </w:p>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14">
        <w:r>
          <w:rPr>
            <w:rFonts w:ascii="Arial" w:hAnsi="Arial" w:cs="Arial" w:eastAsia="Arial"/>
            <w:sz w:val="18"/>
            <w:color w:val="0563C1"/>
            <w:u w:val="single"/>
          </w:rPr>
          <w:t xml:space="preserve">Agent automations for big migrations: How we accelerated framework upgrades by 32x with Cursor</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2. </w:t>
      </w:r>
      <w:hyperlink r:id="rId15">
        <w:r>
          <w:rPr>
            <w:rFonts w:ascii="Arial" w:hAnsi="Arial" w:cs="Arial" w:eastAsia="Arial"/>
            <w:sz w:val="18"/>
            <w:color w:val="0563C1"/>
            <w:u w:val="single"/>
          </w:rPr>
          <w:t xml:space="preserve">Nobody wants to be the engineer manually doing a big, painful, and slow framework upgrade for a quarter. Sofhia de Souza Gonçalves built a self-correcting agent pipeline in Cursor instead, and accelerated …</w:t>
        </w:r>
      </w:hyperlink>
      <w:r>
        <w:rPr>
          <w:rFonts w:ascii="Arial" w:hAnsi="Arial" w:cs="Arial" w:eastAsia="Arial"/>
          <w:b w:val="0"/>
          <w:i w:val="0"/>
          <w:color w:val="6B7280"/>
          <w:sz w:val="16"/>
        </w:rPr>
        <w:t xml:space="preserve">  — published 2026-07-22, retrieved 2026-10-08</w:t>
      </w:r>
    </w:p>
    <w:p>
      <w:pPr>
        <w:spacing w:after="40"/>
      </w:pPr>
      <w:r>
        <w:rPr>
          <w:rFonts w:ascii="Arial" w:hAnsi="Arial" w:cs="Arial" w:eastAsia="Arial"/>
          <w:b w:val="0"/>
          <w:i w:val="0"/>
          <w:color w:val="6B7280"/>
          <w:sz w:val="16"/>
        </w:rPr>
        <w:t xml:space="preserve">3. </w:t>
      </w:r>
      <w:hyperlink r:id="rId16">
        <w:r>
          <w:rPr>
            <w:rFonts w:ascii="Arial" w:hAnsi="Arial" w:cs="Arial" w:eastAsia="Arial"/>
            <w:sz w:val="18"/>
            <w:color w:val="0563C1"/>
            <w:u w:val="single"/>
          </w:rPr>
          <w:t xml:space="preserve">Senior Software Engineer, Operational AI | Career Opportunities</w:t>
        </w:r>
      </w:hyperlink>
      <w:r>
        <w:rPr>
          <w:rFonts w:ascii="Arial" w:hAnsi="Arial" w:cs="Arial" w:eastAsia="Arial"/>
          <w:b w:val="0"/>
          <w:i w:val="0"/>
          <w:color w:val="6B7280"/>
          <w:sz w:val="16"/>
        </w:rPr>
        <w:t xml:space="preserve">  — published 2026-10-01, retrieved 2026-10-08</w:t>
      </w:r>
    </w:p>
    <w:p>
      <w:pPr>
        <w:spacing w:after="40"/>
      </w:pPr>
      <w:r>
        <w:rPr>
          <w:rFonts w:ascii="Arial" w:hAnsi="Arial" w:cs="Arial" w:eastAsia="Arial"/>
          <w:b w:val="0"/>
          <w:i w:val="0"/>
          <w:color w:val="6B7280"/>
          <w:sz w:val="16"/>
        </w:rPr>
        <w:t xml:space="preserve">4. </w:t>
      </w:r>
      <w:hyperlink r:id="rId17">
        <w:r>
          <w:rPr>
            <w:rFonts w:ascii="Arial" w:hAnsi="Arial" w:cs="Arial" w:eastAsia="Arial"/>
            <w:sz w:val="18"/>
            <w:color w:val="0563C1"/>
            <w:u w:val="single"/>
          </w:rPr>
          <w:t xml:space="preserve">Building autonomous agents for technical tasks: 5 lessons learned</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5. </w:t>
      </w:r>
      <w:r>
        <w:rPr>
          <w:rFonts w:ascii="Arial" w:hAnsi="Arial" w:cs="Arial" w:eastAsia="Arial"/>
          <w:b w:val="0"/>
          <w:i w:val="0"/>
          <w:color w:val="6B7280"/>
          <w:sz w:val="16"/>
        </w:rPr>
        <w:t>Apollo organization record: Brex</w:t>
      </w:r>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6. </w:t>
      </w:r>
      <w:hyperlink r:id="rId18">
        <w:r>
          <w:rPr>
            <w:rFonts w:ascii="Arial" w:hAnsi="Arial" w:cs="Arial" w:eastAsia="Arial"/>
            <w:sz w:val="18"/>
            <w:color w:val="0563C1"/>
            <w:u w:val="single"/>
          </w:rPr>
          <w:t xml:space="preserve">Brex Number of Employees 2026 | Employee Count &amp; Headcount Data | Revelio Labs</w:t>
        </w:r>
      </w:hyperlink>
      <w:r>
        <w:rPr>
          <w:rFonts w:ascii="Arial" w:hAnsi="Arial" w:cs="Arial" w:eastAsia="Arial"/>
          <w:b w:val="0"/>
          <w:i w:val="0"/>
          <w:color w:val="6B7280"/>
          <w:sz w:val="16"/>
        </w:rPr>
        <w:t xml:space="preserve">  — published 2026-08-31, retrieved 2026-10-08</w:t>
      </w:r>
    </w:p>
    <w:p>
      <w:pPr>
        <w:spacing w:after="40"/>
      </w:pPr>
      <w:r>
        <w:rPr>
          <w:rFonts w:ascii="Arial" w:hAnsi="Arial" w:cs="Arial" w:eastAsia="Arial"/>
          <w:b w:val="0"/>
          <w:i w:val="0"/>
          <w:color w:val="6B7280"/>
          <w:sz w:val="16"/>
        </w:rPr>
        <w:t xml:space="preserve">7. </w:t>
      </w:r>
      <w:hyperlink r:id="rId19">
        <w:r>
          <w:rPr>
            <w:rFonts w:ascii="Arial" w:hAnsi="Arial" w:cs="Arial" w:eastAsia="Arial"/>
            <w:sz w:val="18"/>
            <w:color w:val="0563C1"/>
            <w:u w:val="single"/>
          </w:rPr>
          <w:t xml:space="preserve">Brex revenue, valuation &amp; funding | Sacra</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8. </w:t>
      </w:r>
      <w:hyperlink r:id="rId20">
        <w:r>
          <w:rPr>
            <w:rFonts w:ascii="Arial" w:hAnsi="Arial" w:cs="Arial" w:eastAsia="Arial"/>
            <w:sz w:val="18"/>
            <w:color w:val="0563C1"/>
            <w:u w:val="single"/>
          </w:rPr>
          <w:t xml:space="preserve">Brex Business Model: How Brex Makes Money | Litmus</w:t>
        </w:r>
      </w:hyperlink>
      <w:r>
        <w:rPr>
          <w:rFonts w:ascii="Arial" w:hAnsi="Arial" w:cs="Arial" w:eastAsia="Arial"/>
          <w:b w:val="0"/>
          <w:i w:val="0"/>
          <w:color w:val="6B7280"/>
          <w:sz w:val="16"/>
        </w:rPr>
        <w:t xml:space="preserve">  — published 2025-01-01, retrieved 2026-10-08</w:t>
      </w:r>
    </w:p>
    <w:p>
      <w:pPr>
        <w:spacing w:after="40"/>
      </w:pPr>
      <w:r>
        <w:rPr>
          <w:rFonts w:ascii="Arial" w:hAnsi="Arial" w:cs="Arial" w:eastAsia="Arial"/>
          <w:b w:val="0"/>
          <w:i w:val="0"/>
          <w:color w:val="6B7280"/>
          <w:sz w:val="16"/>
        </w:rPr>
        <w:t xml:space="preserve">9. </w:t>
      </w:r>
      <w:hyperlink r:id="rId9">
        <w:r>
          <w:rPr>
            <w:rFonts w:ascii="Arial" w:hAnsi="Arial" w:cs="Arial" w:eastAsia="Arial"/>
            <w:sz w:val="18"/>
            <w:color w:val="0563C1"/>
            <w:u w:val="single"/>
          </w:rPr>
          <w:t xml:space="preserve">James Reggio</w:t>
        </w:r>
      </w:hyperlink>
      <w:r>
        <w:rPr>
          <w:rFonts w:ascii="Arial" w:hAnsi="Arial" w:cs="Arial" w:eastAsia="Arial"/>
          <w:b w:val="0"/>
          <w:i w:val="0"/>
          <w:color w:val="6B7280"/>
          <w:sz w:val="16"/>
        </w:rPr>
        <w:t xml:space="preserve">  — published 2026-09-21, retrieved 2026-10-08</w:t>
      </w:r>
    </w:p>
    <w:p>
      <w:pPr>
        <w:spacing w:after="40"/>
      </w:pPr>
      <w:r>
        <w:rPr>
          <w:rFonts w:ascii="Arial" w:hAnsi="Arial" w:cs="Arial" w:eastAsia="Arial"/>
          <w:b w:val="0"/>
          <w:i w:val="0"/>
          <w:color w:val="6B7280"/>
          <w:sz w:val="16"/>
        </w:rPr>
        <w:t xml:space="preserve">10. </w:t>
      </w:r>
      <w:hyperlink r:id="rId10">
        <w:r>
          <w:rPr>
            <w:rFonts w:ascii="Arial" w:hAnsi="Arial" w:cs="Arial" w:eastAsia="Arial"/>
            <w:sz w:val="18"/>
            <w:color w:val="0563C1"/>
            <w:u w:val="single"/>
          </w:rPr>
          <w:t xml:space="preserve">Phil Burrows</w:t>
        </w:r>
      </w:hyperlink>
      <w:r>
        <w:rPr>
          <w:rFonts w:ascii="Arial" w:hAnsi="Arial" w:cs="Arial" w:eastAsia="Arial"/>
          <w:b w:val="0"/>
          <w:i w:val="0"/>
          <w:color w:val="6B7280"/>
          <w:sz w:val="16"/>
        </w:rPr>
        <w:t xml:space="preserve">  — published 2026-09-21, retrieved 2026-10-08</w:t>
      </w:r>
    </w:p>
    <w:p>
      <w:pPr>
        <w:spacing w:after="40"/>
      </w:pPr>
      <w:r>
        <w:rPr>
          <w:rFonts w:ascii="Arial" w:hAnsi="Arial" w:cs="Arial" w:eastAsia="Arial"/>
          <w:b w:val="0"/>
          <w:i w:val="0"/>
          <w:color w:val="6B7280"/>
          <w:sz w:val="16"/>
        </w:rPr>
        <w:t xml:space="preserve">11. </w:t>
      </w:r>
      <w:hyperlink r:id="rId11">
        <w:r>
          <w:rPr>
            <w:rFonts w:ascii="Arial" w:hAnsi="Arial" w:cs="Arial" w:eastAsia="Arial"/>
            <w:sz w:val="18"/>
            <w:color w:val="0563C1"/>
            <w:u w:val="single"/>
          </w:rPr>
          <w:t xml:space="preserve">Sridhar Mocherla</w:t>
        </w:r>
      </w:hyperlink>
      <w:r>
        <w:rPr>
          <w:rFonts w:ascii="Arial" w:hAnsi="Arial" w:cs="Arial" w:eastAsia="Arial"/>
          <w:b w:val="0"/>
          <w:i w:val="0"/>
          <w:color w:val="6B7280"/>
          <w:sz w:val="16"/>
        </w:rPr>
        <w:t xml:space="preserve">  — published 2026-09-21, retrieved 2026-10-08</w:t>
      </w:r>
    </w:p>
    <w:p>
      <w:pPr>
        <w:spacing w:after="40"/>
      </w:pPr>
      <w:r>
        <w:rPr>
          <w:rFonts w:ascii="Arial" w:hAnsi="Arial" w:cs="Arial" w:eastAsia="Arial"/>
          <w:b w:val="0"/>
          <w:i w:val="0"/>
          <w:color w:val="6B7280"/>
          <w:sz w:val="16"/>
        </w:rPr>
        <w:t xml:space="preserve">12. </w:t>
      </w:r>
      <w:hyperlink r:id="rId12">
        <w:r>
          <w:rPr>
            <w:rFonts w:ascii="Arial" w:hAnsi="Arial" w:cs="Arial" w:eastAsia="Arial"/>
            <w:sz w:val="18"/>
            <w:color w:val="0563C1"/>
            <w:u w:val="single"/>
          </w:rPr>
          <w:t xml:space="preserve">Chenming Cui</w:t>
        </w:r>
      </w:hyperlink>
      <w:r>
        <w:rPr>
          <w:rFonts w:ascii="Arial" w:hAnsi="Arial" w:cs="Arial" w:eastAsia="Arial"/>
          <w:b w:val="0"/>
          <w:i w:val="0"/>
          <w:color w:val="6B7280"/>
          <w:sz w:val="16"/>
        </w:rPr>
        <w:t xml:space="preserve">  — published 2026-09-15, retrieved 2026-10-08</w:t>
      </w:r>
    </w:p>
    <w:p>
      <w:pPr>
        <w:spacing w:after="40"/>
      </w:pPr>
      <w:r>
        <w:rPr>
          <w:rFonts w:ascii="Arial" w:hAnsi="Arial" w:cs="Arial" w:eastAsia="Arial"/>
          <w:b w:val="0"/>
          <w:i w:val="0"/>
          <w:color w:val="6B7280"/>
          <w:sz w:val="16"/>
        </w:rPr>
        <w:t xml:space="preserve">13. </w:t>
      </w:r>
      <w:hyperlink r:id="rId13">
        <w:r>
          <w:rPr>
            <w:rFonts w:ascii="Arial" w:hAnsi="Arial" w:cs="Arial" w:eastAsia="Arial"/>
            <w:sz w:val="18"/>
            <w:color w:val="0563C1"/>
            <w:u w:val="single"/>
          </w:rPr>
          <w:t xml:space="preserve">Sai Chiligireddy</w:t>
        </w:r>
      </w:hyperlink>
      <w:r>
        <w:rPr>
          <w:rFonts w:ascii="Arial" w:hAnsi="Arial" w:cs="Arial" w:eastAsia="Arial"/>
          <w:b w:val="0"/>
          <w:i w:val="0"/>
          <w:color w:val="6B7280"/>
          <w:sz w:val="16"/>
        </w:rPr>
        <w:t xml:space="preserve">  — published 2026-09-25, retrieved 2026-10-08</w:t>
      </w:r>
    </w:p>
    <w:p>
      <w:pPr>
        <w:spacing w:after="40"/>
      </w:pPr>
      <w:r>
        <w:rPr>
          <w:rFonts w:ascii="Arial" w:hAnsi="Arial" w:cs="Arial" w:eastAsia="Arial"/>
          <w:b w:val="0"/>
          <w:i w:val="0"/>
          <w:color w:val="6B7280"/>
          <w:sz w:val="16"/>
        </w:rPr>
        <w:t xml:space="preserve">14. </w:t>
      </w:r>
      <w:hyperlink r:id="rId21">
        <w:r>
          <w:rPr>
            <w:rFonts w:ascii="Arial" w:hAnsi="Arial" w:cs="Arial" w:eastAsia="Arial"/>
            <w:sz w:val="18"/>
            <w:color w:val="0563C1"/>
            <w:u w:val="single"/>
          </w:rPr>
          <w:t xml:space="preserve">How we built an AI oncall engineer at Brex</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15. </w:t>
      </w:r>
      <w:hyperlink r:id="rId22">
        <w:r>
          <w:rPr>
            <w:rFonts w:ascii="Arial" w:hAnsi="Arial" w:cs="Arial" w:eastAsia="Arial"/>
            <w:sz w:val="18"/>
            <w:color w:val="0563C1"/>
            <w:u w:val="single"/>
          </w:rPr>
          <w:t xml:space="preserve">Brex Company Overview, Contact Details &amp; Competitors | LeadIQ</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16. </w:t>
      </w:r>
      <w:hyperlink r:id="rId23">
        <w:r>
          <w:rPr>
            <w:rFonts w:ascii="Arial" w:hAnsi="Arial" w:cs="Arial" w:eastAsia="Arial"/>
            <w:sz w:val="18"/>
            <w:color w:val="0563C1"/>
            <w:u w:val="single"/>
          </w:rPr>
          <w:t xml:space="preserve">Customers | Itaú - Devin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17. </w:t>
      </w:r>
      <w:hyperlink r:id="rId24">
        <w:r>
          <w:rPr>
            <w:rFonts w:ascii="Arial" w:hAnsi="Arial" w:cs="Arial" w:eastAsia="Arial"/>
            <w:sz w:val="18"/>
            <w:color w:val="0563C1"/>
            <w:u w:val="single"/>
          </w:rPr>
          <w:t xml:space="preserve">Customers | Ramp | Devin</w:t>
        </w:r>
      </w:hyperlink>
      <w:r>
        <w:rPr>
          <w:rFonts w:ascii="Arial" w:hAnsi="Arial" w:cs="Arial" w:eastAsia="Arial"/>
          <w:b w:val="0"/>
          <w:i w:val="0"/>
          <w:color w:val="6B7280"/>
          <w:sz w:val="16"/>
        </w:rPr>
        <w:t xml:space="preserve">  — published 2025-03-25, retrieved 2026-10-08</w:t>
      </w:r>
    </w:p>
    <w:p>
      <w:pPr>
        <w:spacing w:after="40"/>
      </w:pPr>
      <w:r>
        <w:rPr>
          <w:rFonts w:ascii="Arial" w:hAnsi="Arial" w:cs="Arial" w:eastAsia="Arial"/>
          <w:b w:val="0"/>
          <w:i w:val="0"/>
          <w:color w:val="6B7280"/>
          <w:sz w:val="16"/>
        </w:rPr>
        <w:t xml:space="preserve">18. </w:t>
      </w:r>
      <w:hyperlink r:id="rId25">
        <w:r>
          <w:rPr>
            <w:rFonts w:ascii="Arial" w:hAnsi="Arial" w:cs="Arial" w:eastAsia="Arial"/>
            <w:sz w:val="18"/>
            <w:color w:val="0563C1"/>
            <w:u w:val="single"/>
          </w:rPr>
          <w:t xml:space="preserve">Meet Devin, your team's autonomous software engineer</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19. </w:t>
      </w:r>
      <w:hyperlink r:id="rId26">
        <w:r>
          <w:rPr>
            <w:rFonts w:ascii="Arial" w:hAnsi="Arial" w:cs="Arial" w:eastAsia="Arial"/>
            <w:sz w:val="18"/>
            <w:color w:val="0563C1"/>
            <w:u w:val="single"/>
          </w:rPr>
          <w:t xml:space="preserve">Introducing Auto-Triage | Cognition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20. </w:t>
      </w:r>
      <w:hyperlink r:id="rId27">
        <w:r>
          <w:rPr>
            <w:rFonts w:ascii="Arial" w:hAnsi="Arial" w:cs="Arial" w:eastAsia="Arial"/>
            <w:sz w:val="18"/>
            <w:color w:val="0563C1"/>
            <w:u w:val="single"/>
          </w:rPr>
          <w:t xml:space="preserve">How Modal uses Devin to investigate 80% of its incidents before an engineer opens the thread</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21. </w:t>
      </w:r>
      <w:hyperlink r:id="rId28">
        <w:r>
          <w:rPr>
            <w:rFonts w:ascii="Arial" w:hAnsi="Arial" w:cs="Arial" w:eastAsia="Arial"/>
            <w:sz w:val="18"/>
            <w:color w:val="0563C1"/>
            <w:u w:val="single"/>
          </w:rPr>
          <w:t xml:space="preserve">About | Cognition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22. </w:t>
      </w:r>
      <w:hyperlink r:id="rId29">
        <w:r>
          <w:rPr>
            <w:rFonts w:ascii="Arial" w:hAnsi="Arial" w:cs="Arial" w:eastAsia="Arial"/>
            <w:sz w:val="18"/>
            <w:color w:val="0563C1"/>
            <w:u w:val="single"/>
          </w:rPr>
          <w:t xml:space="preserve">Customers | AngelList | Devin</w:t>
        </w:r>
      </w:hyperlink>
      <w:r>
        <w:rPr>
          <w:rFonts w:ascii="Arial" w:hAnsi="Arial" w:cs="Arial" w:eastAsia="Arial"/>
          <w:b w:val="0"/>
          <w:i w:val="0"/>
          <w:color w:val="6B7280"/>
          <w:sz w:val="16"/>
        </w:rPr>
        <w:t xml:space="preserve">  — published 2026-07-02, retrieved 2026-10-07</w:t>
      </w:r>
    </w:p>
    <w:p>
      <w:pPr>
        <w:spacing w:after="40"/>
      </w:pPr>
      <w:r>
        <w:rPr>
          <w:rFonts w:ascii="Arial" w:hAnsi="Arial" w:cs="Arial" w:eastAsia="Arial"/>
          <w:b w:val="0"/>
          <w:i w:val="0"/>
          <w:color w:val="6B7280"/>
          <w:sz w:val="16"/>
        </w:rPr>
        <w:t xml:space="preserve">23. </w:t>
      </w:r>
      <w:hyperlink r:id="rId30">
        <w:r>
          <w:rPr>
            <w:rFonts w:ascii="Arial" w:hAnsi="Arial" w:cs="Arial" w:eastAsia="Arial"/>
            <w:sz w:val="18"/>
            <w:color w:val="0563C1"/>
            <w:u w:val="single"/>
          </w:rPr>
          <w:t xml:space="preserve">Devin's 2025 Performance Review: Learnings From 18 Months of Agents At Work | Cognition</w:t>
        </w:r>
      </w:hyperlink>
      <w:r>
        <w:rPr>
          <w:rFonts w:ascii="Arial" w:hAnsi="Arial" w:cs="Arial" w:eastAsia="Arial"/>
          <w:b w:val="0"/>
          <w:i w:val="0"/>
          <w:color w:val="6B7280"/>
          <w:sz w:val="16"/>
        </w:rPr>
        <w:t xml:space="preserve">  — published 2025-11-14, retrieved 2026-10-07</w:t>
      </w:r>
    </w:p>
    <w:p>
      <w:pPr>
        <w:spacing w:after="40"/>
      </w:pPr>
      <w:r>
        <w:rPr>
          <w:rFonts w:ascii="Arial" w:hAnsi="Arial" w:cs="Arial" w:eastAsia="Arial"/>
          <w:b w:val="0"/>
          <w:i w:val="0"/>
          <w:color w:val="6B7280"/>
          <w:sz w:val="16"/>
        </w:rPr>
        <w:t xml:space="preserve">24. </w:t>
      </w:r>
      <w:hyperlink r:id="rId31">
        <w:r>
          <w:rPr>
            <w:rFonts w:ascii="Arial" w:hAnsi="Arial" w:cs="Arial" w:eastAsia="Arial"/>
            <w:sz w:val="18"/>
            <w:color w:val="0563C1"/>
            <w:u w:val="single"/>
          </w:rPr>
          <w:t xml:space="preserve">Customers | Nubank | Devin</w:t>
        </w:r>
      </w:hyperlink>
      <w:r>
        <w:rPr>
          <w:rFonts w:ascii="Arial" w:hAnsi="Arial" w:cs="Arial" w:eastAsia="Arial"/>
          <w:b w:val="0"/>
          <w:i w:val="0"/>
          <w:color w:val="6B7280"/>
          <w:sz w:val="16"/>
        </w:rPr>
        <w:t xml:space="preserve">  — published 2026-06-20, retrieved 2026-10-07</w:t>
      </w:r>
    </w:p>
    <w:p>
      <w:pPr>
        <w:spacing w:after="40"/>
      </w:pPr>
      <w:r>
        <w:rPr>
          <w:rFonts w:ascii="Arial" w:hAnsi="Arial" w:cs="Arial" w:eastAsia="Arial"/>
          <w:b w:val="0"/>
          <w:i w:val="0"/>
          <w:color w:val="6B7280"/>
          <w:sz w:val="16"/>
        </w:rPr>
        <w:t xml:space="preserve">25. </w:t>
      </w:r>
      <w:hyperlink r:id="rId32">
        <w:r>
          <w:rPr>
            <w:rFonts w:ascii="Arial" w:hAnsi="Arial" w:cs="Arial" w:eastAsia="Arial"/>
            <w:sz w:val="18"/>
            <w:color w:val="0563C1"/>
            <w:u w:val="single"/>
          </w:rPr>
          <w:t xml:space="preserve">Brex - 2026 Company Profile, Funding &amp; Competitors - Tracxn</w:t>
        </w:r>
      </w:hyperlink>
      <w:r>
        <w:rPr>
          <w:rFonts w:ascii="Arial" w:hAnsi="Arial" w:cs="Arial" w:eastAsia="Arial"/>
          <w:b w:val="0"/>
          <w:i w:val="0"/>
          <w:color w:val="6B7280"/>
          <w:sz w:val="16"/>
        </w:rPr>
        <w:t xml:space="preserve">  — retrieved 2026-10-08</w:t>
      </w:r>
    </w:p>
    <w:p>
      <w:pPr>
        <w:spacing w:before="160"/>
      </w:pPr>
      <w:r>
        <w:rPr>
          <w:rFonts w:ascii="Arial" w:hAnsi="Arial" w:cs="Arial" w:eastAsia="Arial"/>
          <w:b w:val="0"/>
          <w:i/>
          <w:color w:val="6B7280"/>
          <w:sz w:val="16"/>
        </w:rPr>
        <w:t>Validator: 0 unsupported item(s) dropped, 5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jamesreggio" TargetMode="External"/><Relationship Id="rId10" Type="http://schemas.openxmlformats.org/officeDocument/2006/relationships/hyperlink" Target="https://linkedin.com/in/phil-burrows" TargetMode="External"/><Relationship Id="rId11" Type="http://schemas.openxmlformats.org/officeDocument/2006/relationships/hyperlink" Target="https://linkedin.com/in/sridharmocherla" TargetMode="External"/><Relationship Id="rId12" Type="http://schemas.openxmlformats.org/officeDocument/2006/relationships/hyperlink" Target="https://linkedin.com/in/chenming-cui-633186180" TargetMode="External"/><Relationship Id="rId13" Type="http://schemas.openxmlformats.org/officeDocument/2006/relationships/hyperlink" Target="https://linkedin.com/in/saichiligireddy" TargetMode="External"/><Relationship Id="rId14" Type="http://schemas.openxmlformats.org/officeDocument/2006/relationships/hyperlink" Target="https://www.brex.com/journal/agent-automations-for-big-migrations" TargetMode="External"/><Relationship Id="rId15" Type="http://schemas.openxmlformats.org/officeDocument/2006/relationships/hyperlink" Target="https://www.linkedin.com/posts/brexhq_agent-automations-for-big-migrations-how-activity-7485717833776074768-tnCq" TargetMode="External"/><Relationship Id="rId16" Type="http://schemas.openxmlformats.org/officeDocument/2006/relationships/hyperlink" Target="https://www.brex.com/careers/8861245002?gh_jid=8861245002" TargetMode="External"/><Relationship Id="rId17" Type="http://schemas.openxmlformats.org/officeDocument/2006/relationships/hyperlink" Target="https://www.brex.com/journal/building-autonomous-agents-for-technical-tasks" TargetMode="External"/><Relationship Id="rId18" Type="http://schemas.openxmlformats.org/officeDocument/2006/relationships/hyperlink" Target="https://www.reveliolabs.com/companies/brex/employees" TargetMode="External"/><Relationship Id="rId19" Type="http://schemas.openxmlformats.org/officeDocument/2006/relationships/hyperlink" Target="https://sacra.com/c/brex/" TargetMode="External"/><Relationship Id="rId20" Type="http://schemas.openxmlformats.org/officeDocument/2006/relationships/hyperlink" Target="https://litmus.lapaas.com/learn/brex-business-model" TargetMode="External"/><Relationship Id="rId21" Type="http://schemas.openxmlformats.org/officeDocument/2006/relationships/hyperlink" Target="https://www.brex.com/journal/how-we-built-an-ai-oncall-engineer" TargetMode="External"/><Relationship Id="rId22" Type="http://schemas.openxmlformats.org/officeDocument/2006/relationships/hyperlink" Target="https://leadiq.com/c/brex/5ab059ec550000c300d33812" TargetMode="External"/><Relationship Id="rId23" Type="http://schemas.openxmlformats.org/officeDocument/2006/relationships/hyperlink" Target="https://devin.ai/customers/itau" TargetMode="External"/><Relationship Id="rId24" Type="http://schemas.openxmlformats.org/officeDocument/2006/relationships/hyperlink" Target="https://devin.ai/customers/ramp/" TargetMode="External"/><Relationship Id="rId25" Type="http://schemas.openxmlformats.org/officeDocument/2006/relationships/hyperlink" Target="https://devin.ai" TargetMode="External"/><Relationship Id="rId26" Type="http://schemas.openxmlformats.org/officeDocument/2006/relationships/hyperlink" Target="https://cognition.com/blog/auto-triage" TargetMode="External"/><Relationship Id="rId27" Type="http://schemas.openxmlformats.org/officeDocument/2006/relationships/hyperlink" Target="https://devin.ai/customers/modal" TargetMode="External"/><Relationship Id="rId28" Type="http://schemas.openxmlformats.org/officeDocument/2006/relationships/hyperlink" Target="https://cognition.com/about" TargetMode="External"/><Relationship Id="rId29" Type="http://schemas.openxmlformats.org/officeDocument/2006/relationships/hyperlink" Target="https://devin.ai/customers/angellist/" TargetMode="External"/><Relationship Id="rId30" Type="http://schemas.openxmlformats.org/officeDocument/2006/relationships/hyperlink" Target="https://cognition.com/blog/devin-annual-performance-review-2025" TargetMode="External"/><Relationship Id="rId31" Type="http://schemas.openxmlformats.org/officeDocument/2006/relationships/hyperlink" Target="https://devin.ai/customers/nubank/" TargetMode="External"/><Relationship Id="rId32" Type="http://schemas.openxmlformats.org/officeDocument/2006/relationships/hyperlink" Target="https://tracxn.com/d/companies/brex/__-oiJJpMhnesRrjUodVwvvRzhj-Eqv7xqlocB18hjkk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