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cs="Arial" w:eastAsia="Arial"/>
          <w:b/>
          <w:i w:val="0"/>
          <w:color w:val="1F2937"/>
          <w:sz w:val="32"/>
        </w:rPr>
        <w:t>Brex — account brief</w:t>
      </w:r>
    </w:p>
    <w:p>
      <w:pPr>
        <w:spacing w:before="20" w:after="160"/>
      </w:pPr>
      <w:r>
        <w:rPr>
          <w:rFonts w:ascii="Arial" w:hAnsi="Arial" w:cs="Arial" w:eastAsia="Arial"/>
          <w:b w:val="0"/>
          <w:i w:val="0"/>
          <w:color w:val="6B7280"/>
          <w:sz w:val="18"/>
        </w:rPr>
        <w:t>2026-10-07  ·  brex.com</w:t>
      </w: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FEF3C7" w:val="clear"/>
            <w:tcBorders>
              <w:top w:val="single" w:sz="4" w:color="E5E7EB" w:space="0"/>
              <w:left w:val="single" w:sz="16" w:color="B45309" w:space="0"/>
              <w:bottom w:val="single" w:sz="4" w:color="E5E7EB" w:space="0"/>
              <w:right w:val="single" w:sz="4" w:color="E5E7EB" w:space="0"/>
            </w:tcBorders>
          </w:tcPr>
          <w:p>
            <w:pPr>
              <w:spacing w:before="0" w:after="40" w:line="269" w:lineRule="auto"/>
            </w:pPr>
            <w:r/>
            <w:r>
              <w:rPr>
                <w:rFonts w:ascii="Arial" w:hAnsi="Arial" w:cs="Arial" w:eastAsia="Arial"/>
                <w:b/>
                <w:i w:val="0"/>
                <w:color w:val="B45309"/>
                <w:sz w:val="26"/>
              </w:rPr>
              <w:t>Warm</w:t>
            </w:r>
          </w:p>
          <w:p>
            <w:pPr>
              <w:spacing w:before="0" w:after="40" w:line="269" w:lineRule="auto"/>
            </w:pPr>
            <w:r>
              <w:rPr>
                <w:rFonts w:ascii="Arial" w:hAnsi="Arial" w:cs="Arial" w:eastAsia="Arial"/>
                <w:b w:val="0"/>
                <w:i w:val="0"/>
                <w:color w:val="1F2937"/>
                <w:sz w:val="20"/>
              </w:rPr>
              <w:t>Brex is partway through a Micronaut 4 migration across 500+ Kotlin microservices and says the remainder still needs de-risking. Its own write-up names test-suite gaps the agents exposed. That maps to Code migration &amp; modernization, with public fintech proof from Nubank and Itaú. But Brex runs this exact workload on self-hosted Cursor agents, widens Claude Code and Cursor access internally, and has built its own platform for delegating engineering work to agents. So this is a displace-or-expand play. It's Warm rather than Act now because a direct competitor is in production.</w:t>
            </w:r>
            <w:r>
              <w:rPr>
                <w:rFonts w:ascii="Arial" w:hAnsi="Arial" w:cs="Arial" w:eastAsia="Arial"/>
                <w:b w:val="0"/>
                <w:i w:val="0"/>
                <w:color w:val="6B7280"/>
                <w:sz w:val="16"/>
              </w:rPr>
              <w:t xml:space="preserve"> [1][2][3][4]</w:t>
            </w:r>
          </w:p>
          <w:p>
            <w:pPr>
              <w:spacing w:before="0" w:after="20" w:line="269" w:lineRule="auto"/>
            </w:pPr>
            <w:r>
              <w:rPr>
                <w:rFonts w:ascii="Arial" w:hAnsi="Arial" w:cs="Arial" w:eastAsia="Arial"/>
                <w:b w:val="0"/>
                <w:i/>
                <w:color w:val="6B7280"/>
                <w:sz w:val="16"/>
              </w:rPr>
              <w:t xml:space="preserve">Watch for: </w:t>
            </w:r>
            <w:r>
              <w:rPr>
                <w:rFonts w:ascii="Arial" w:hAnsi="Arial" w:cs="Arial" w:eastAsia="Arial"/>
                <w:b w:val="0"/>
                <w:i w:val="0"/>
                <w:color w:val="6B7280"/>
                <w:sz w:val="16"/>
              </w:rPr>
              <w:t>How much of the Micronaut 4 migration is left, and whether the GraphQL federation upgrade is next. Signs the platform team wants to stop maintaining its self-hosted agent harness and in-house delegation platform. Capital One standardizing engineering tooling or procurement after the acquisition. Cursor renewal timing. A signed Claude Code or Cursor enterprise deal, which would move this to Not now.</w:t>
            </w:r>
          </w:p>
        </w:tc>
      </w:tr>
    </w:tbl>
    <w:p>
      <w:pPr>
        <w:spacing w:before="200" w:after="80"/>
      </w:pPr>
      <w:r>
        <w:rPr>
          <w:rFonts w:ascii="Arial" w:hAnsi="Arial" w:cs="Arial" w:eastAsia="Arial"/>
          <w:b/>
          <w:i w:val="0"/>
          <w:color w:val="1F2937"/>
          <w:sz w:val="24"/>
        </w:rPr>
        <w:t>Snapshot</w:t>
      </w:r>
    </w:p>
    <w:tbl>
      <w:tblPr>
        <w:tblW w:type="dxa" w:w="10080"/>
        <w:tblLayout w:type="fixed"/>
        <w:tblLook w:firstColumn="1" w:firstRow="0" w:lastColumn="0" w:lastRow="0" w:noHBand="0" w:noVBand="1" w:val="04A0"/>
      </w:tblPr>
      <w:tblGrid>
        <w:gridCol w:w="1200"/>
        <w:gridCol w:w="3840"/>
        <w:gridCol w:w="1200"/>
        <w:gridCol w:w="3840"/>
      </w:tblGrid>
      <w:tr>
        <w:tc>
          <w:tcPr>
            <w:tcW w:w="120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i w:val="0"/>
                <w:color w:val="6B7280"/>
                <w:sz w:val="16"/>
              </w:rPr>
              <w:t>HQ</w:t>
            </w:r>
          </w:p>
        </w:tc>
        <w:tc>
          <w:tcPr>
            <w:tcW w:w="384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val="0"/>
                <w:i w:val="0"/>
                <w:color w:val="6B7280"/>
                <w:sz w:val="16"/>
              </w:rPr>
              <w:t xml:space="preserve">Apollo reports </w:t>
            </w:r>
            <w:r>
              <w:rPr>
                <w:rFonts w:ascii="Arial" w:hAnsi="Arial" w:cs="Arial" w:eastAsia="Arial"/>
                <w:b w:val="0"/>
                <w:i w:val="0"/>
                <w:color w:val="1F2937"/>
                <w:sz w:val="20"/>
              </w:rPr>
              <w:t>San Francisco, California, United States</w:t>
            </w:r>
            <w:r>
              <w:rPr>
                <w:rFonts w:ascii="Arial" w:hAnsi="Arial" w:cs="Arial" w:eastAsia="Arial"/>
                <w:b w:val="0"/>
                <w:i w:val="0"/>
                <w:color w:val="6B7280"/>
                <w:sz w:val="16"/>
              </w:rPr>
              <w:t xml:space="preserve"> [5]</w:t>
            </w:r>
          </w:p>
        </w:tc>
        <w:tc>
          <w:tcPr>
            <w:tcW w:w="120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i w:val="0"/>
                <w:color w:val="6B7280"/>
                <w:sz w:val="16"/>
              </w:rPr>
              <w:t>Parent</w:t>
            </w:r>
          </w:p>
        </w:tc>
        <w:tc>
          <w:tcPr>
            <w:tcW w:w="384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val="0"/>
                <w:i w:val="0"/>
                <w:color w:val="6B7280"/>
                <w:sz w:val="16"/>
              </w:rPr>
              <w:t xml:space="preserve">Apollo reports </w:t>
            </w:r>
            <w:r>
              <w:rPr>
                <w:rFonts w:ascii="Arial" w:hAnsi="Arial" w:cs="Arial" w:eastAsia="Arial"/>
                <w:b w:val="0"/>
                <w:i w:val="0"/>
                <w:color w:val="1F2937"/>
                <w:sz w:val="20"/>
              </w:rPr>
              <w:t>Capital One. This adds parent-level procurement and security approvers.</w:t>
            </w:r>
            <w:r>
              <w:rPr>
                <w:rFonts w:ascii="Arial" w:hAnsi="Arial" w:cs="Arial" w:eastAsia="Arial"/>
                <w:b w:val="0"/>
                <w:i w:val="0"/>
                <w:color w:val="6B7280"/>
                <w:sz w:val="16"/>
              </w:rPr>
              <w:t xml:space="preserve"> [5]</w:t>
            </w:r>
          </w:p>
        </w:tc>
      </w:tr>
      <w:tr>
        <w:tc>
          <w:tcPr>
            <w:tcW w:w="120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i w:val="0"/>
                <w:color w:val="6B7280"/>
                <w:sz w:val="16"/>
              </w:rPr>
              <w:t>Headcount</w:t>
            </w:r>
          </w:p>
        </w:tc>
        <w:tc>
          <w:tcPr>
            <w:tcW w:w="384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val="0"/>
                <w:i w:val="0"/>
                <w:color w:val="6B7280"/>
                <w:sz w:val="16"/>
              </w:rPr>
              <w:t xml:space="preserve">Apollo reports </w:t>
            </w:r>
            <w:r>
              <w:rPr>
                <w:rFonts w:ascii="Arial" w:hAnsi="Arial" w:cs="Arial" w:eastAsia="Arial"/>
                <w:b w:val="0"/>
                <w:i w:val="0"/>
                <w:color w:val="1F2937"/>
                <w:sz w:val="20"/>
              </w:rPr>
              <w:t>~1,800 employees</w:t>
            </w:r>
            <w:r>
              <w:rPr>
                <w:rFonts w:ascii="Arial" w:hAnsi="Arial" w:cs="Arial" w:eastAsia="Arial"/>
                <w:b w:val="0"/>
                <w:i w:val="0"/>
                <w:color w:val="6B7280"/>
                <w:sz w:val="16"/>
              </w:rPr>
              <w:t xml:space="preserve"> [5][6][7]</w:t>
            </w:r>
          </w:p>
        </w:tc>
        <w:tc>
          <w:tcPr>
            <w:tcW w:w="120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i w:val="0"/>
                <w:color w:val="6B7280"/>
                <w:sz w:val="16"/>
              </w:rPr>
              <w:t>Revenue</w:t>
            </w:r>
          </w:p>
        </w:tc>
        <w:tc>
          <w:tcPr>
            <w:tcW w:w="384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val="0"/>
                <w:i w:val="0"/>
                <w:color w:val="6B7280"/>
                <w:sz w:val="16"/>
              </w:rPr>
              <w:t xml:space="preserve">Apollo reports </w:t>
            </w:r>
            <w:r>
              <w:rPr>
                <w:rFonts w:ascii="Arial" w:hAnsi="Arial" w:cs="Arial" w:eastAsia="Arial"/>
                <w:b w:val="0"/>
                <w:i w:val="0"/>
                <w:color w:val="1F2937"/>
                <w:sz w:val="20"/>
              </w:rPr>
              <w:t>annual revenue of $700M</w:t>
            </w:r>
            <w:r>
              <w:rPr>
                <w:rFonts w:ascii="Arial" w:hAnsi="Arial" w:cs="Arial" w:eastAsia="Arial"/>
                <w:b w:val="0"/>
                <w:i w:val="0"/>
                <w:color w:val="6B7280"/>
                <w:sz w:val="16"/>
              </w:rPr>
              <w:t xml:space="preserve"> [5][8]</w:t>
            </w:r>
          </w:p>
        </w:tc>
      </w:tr>
      <w:tr>
        <w:tc>
          <w:tcPr>
            <w:tcW w:w="120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i w:val="0"/>
                <w:color w:val="6B7280"/>
                <w:sz w:val="16"/>
              </w:rPr>
              <w:t>Eng size</w:t>
            </w:r>
          </w:p>
        </w:tc>
        <w:tc>
          <w:tcPr>
            <w:tcW w:w="384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val="0"/>
                <w:i w:val="0"/>
                <w:color w:val="6B7280"/>
                <w:sz w:val="16"/>
              </w:rPr>
              <w:t xml:space="preserve">Apollo reports </w:t>
            </w:r>
            <w:r>
              <w:rPr>
                <w:rFonts w:ascii="Arial" w:hAnsi="Arial" w:cs="Arial" w:eastAsia="Arial"/>
                <w:b w:val="0"/>
                <w:i w:val="0"/>
                <w:color w:val="1F2937"/>
                <w:sz w:val="20"/>
              </w:rPr>
              <w:t>356 in engineering</w:t>
            </w:r>
            <w:r>
              <w:rPr>
                <w:rFonts w:ascii="Arial" w:hAnsi="Arial" w:cs="Arial" w:eastAsia="Arial"/>
                <w:b w:val="0"/>
                <w:i w:val="0"/>
                <w:color w:val="6B7280"/>
                <w:sz w:val="16"/>
              </w:rPr>
              <w:t xml:space="preserve"> [5]</w:t>
            </w:r>
          </w:p>
        </w:tc>
        <w:tc>
          <w:tcPr>
            <w:tcW w:w="120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i w:val="0"/>
                <w:color w:val="6B7280"/>
                <w:sz w:val="16"/>
              </w:rPr>
              <w:t>Funding</w:t>
            </w:r>
          </w:p>
        </w:tc>
        <w:tc>
          <w:tcPr>
            <w:tcW w:w="384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val="0"/>
                <w:i w:val="0"/>
                <w:color w:val="6B7280"/>
                <w:sz w:val="16"/>
              </w:rPr>
              <w:t xml:space="preserve">Apollo reports </w:t>
            </w:r>
            <w:r>
              <w:rPr>
                <w:rFonts w:ascii="Arial" w:hAnsi="Arial" w:cs="Arial" w:eastAsia="Arial"/>
                <w:b w:val="0"/>
                <w:i w:val="0"/>
                <w:color w:val="1F2937"/>
                <w:sz w:val="20"/>
              </w:rPr>
              <w:t>$6.5B total funding; latest event is a Merger / Acquisition by Capital One ($4.5B, 2026-04-01)</w:t>
            </w:r>
            <w:r>
              <w:rPr>
                <w:rFonts w:ascii="Arial" w:hAnsi="Arial" w:cs="Arial" w:eastAsia="Arial"/>
                <w:b w:val="0"/>
                <w:i w:val="0"/>
                <w:color w:val="6B7280"/>
                <w:sz w:val="16"/>
              </w:rPr>
              <w:t xml:space="preserve"> [5]</w:t>
            </w:r>
          </w:p>
        </w:tc>
      </w:tr>
    </w:tbl>
    <w:tbl>
      <w:tblPr>
        <w:tblW w:type="dxa" w:w="10080"/>
        <w:tblLayout w:type="fixed"/>
        <w:tblLook w:firstColumn="1" w:firstRow="0" w:lastColumn="0" w:lastRow="0" w:noHBand="0" w:noVBand="1" w:val="04A0"/>
      </w:tblPr>
      <w:tblGrid>
        <w:gridCol w:w="1200"/>
        <w:gridCol w:w="8880"/>
      </w:tblGrid>
      <w:tr>
        <w:tc>
          <w:tcPr>
            <w:tcW w:w="120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i w:val="0"/>
                <w:color w:val="6B7280"/>
                <w:sz w:val="16"/>
              </w:rPr>
              <w:t>Stack</w:t>
            </w:r>
          </w:p>
        </w:tc>
        <w:tc>
          <w:tcPr>
            <w:tcW w:w="888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val="0"/>
                <w:i w:val="0"/>
                <w:color w:val="1F2937"/>
                <w:sz w:val="20"/>
              </w:rPr>
              <w:t>Kotlin on Micronaut across 500+ microservices in a Bazel monorepo; GraphQL</w:t>
            </w:r>
            <w:r>
              <w:rPr>
                <w:rFonts w:ascii="Arial" w:hAnsi="Arial" w:cs="Arial" w:eastAsia="Arial"/>
                <w:b w:val="0"/>
                <w:i w:val="0"/>
                <w:color w:val="6B7280"/>
                <w:sz w:val="16"/>
              </w:rPr>
              <w:t xml:space="preserve"> [1]</w:t>
            </w:r>
          </w:p>
        </w:tc>
      </w:tr>
    </w:tbl>
    <w:p>
      <w:pPr>
        <w:spacing w:before="40" w:after="20"/>
      </w:pPr>
      <w:r>
        <w:rPr>
          <w:rFonts w:ascii="Arial" w:hAnsi="Arial" w:cs="Arial" w:eastAsia="Arial"/>
          <w:b w:val="0"/>
          <w:i w:val="0"/>
          <w:color w:val="6B7280"/>
          <w:sz w:val="16"/>
        </w:rPr>
        <w:t>Headcount — Other sources: Tracxn 5,158; TipRanks 5,389.</w:t>
      </w:r>
    </w:p>
    <w:p>
      <w:pPr>
        <w:spacing w:before="40" w:after="20"/>
      </w:pPr>
      <w:r>
        <w:rPr>
          <w:rFonts w:ascii="Arial" w:hAnsi="Arial" w:cs="Arial" w:eastAsia="Arial"/>
          <w:b w:val="0"/>
          <w:i w:val="0"/>
          <w:color w:val="6B7280"/>
          <w:sz w:val="16"/>
        </w:rPr>
        <w:t>Revenue — Other sources: RocketReach $279 million; Compworth $281.1M.</w:t>
      </w:r>
    </w:p>
    <w:p>
      <w:pPr>
        <w:spacing w:before="40" w:after="20"/>
      </w:pPr>
      <w:r>
        <w:rPr>
          <w:rFonts w:ascii="Arial" w:hAnsi="Arial" w:cs="Arial" w:eastAsia="Arial"/>
          <w:b w:val="0"/>
          <w:i w:val="0"/>
          <w:color w:val="6B7280"/>
          <w:sz w:val="16"/>
        </w:rPr>
        <w:t>Funding — Other sources: Litmus $5.15B; PitchBook $4.52B.</w:t>
      </w:r>
    </w:p>
    <w:p>
      <w:pPr>
        <w:spacing w:before="200" w:after="80"/>
      </w:pPr>
      <w:r>
        <w:rPr>
          <w:rFonts w:ascii="Arial" w:hAnsi="Arial" w:cs="Arial" w:eastAsia="Arial"/>
          <w:b/>
          <w:i w:val="0"/>
          <w:color w:val="1F2937"/>
          <w:sz w:val="24"/>
        </w:rPr>
        <w:t>Who to work</w:t>
      </w:r>
    </w:p>
    <w:tbl>
      <w:tblPr>
        <w:tblW w:type="dxa" w:w="10080"/>
        <w:tblLayout w:type="fixed"/>
        <w:tblLook w:firstColumn="1" w:firstRow="0" w:lastColumn="0" w:lastRow="0" w:noHBand="0" w:noVBand="1" w:val="04A0"/>
      </w:tblPr>
      <w:tblGrid>
        <w:gridCol w:w="4960"/>
        <w:gridCol w:w="160"/>
        <w:gridCol w:w="4960"/>
      </w:tblGrid>
      <w:tr>
        <w:tc>
          <w:tcPr>
            <w:tcW w:w="4960" w:type="dxa"/>
            <w:tcMar>
              <w:top w:w="60" w:type="dxa"/>
              <w:left w:w="100" w:type="dxa"/>
              <w:bottom w:w="60" w:type="dxa"/>
              <w:right w:w="100" w:type="dxa"/>
            </w:tcMar>
            <w:shd w:fill="F8FAFC" w:val="clear"/>
            <w:tcBorders>
              <w:top w:val="single" w:sz="4" w:color="E5E7EB" w:space="0"/>
              <w:left w:val="single" w:sz="16" w:color="1E40AF" w:space="0"/>
              <w:bottom w:val="single" w:sz="4" w:color="E5E7EB" w:space="0"/>
              <w:right w:val="single" w:sz="4" w:color="E5E7EB" w:space="0"/>
            </w:tcBorders>
          </w:tcPr>
          <w:p>
            <w:pPr>
              <w:spacing w:before="0" w:after="20" w:line="269" w:lineRule="auto"/>
            </w:pPr>
            <w:r>
              <w:rPr>
                <w:rFonts w:ascii="Arial" w:hAnsi="Arial" w:cs="Arial" w:eastAsia="Arial"/>
                <w:b/>
                <w:i w:val="0"/>
                <w:color w:val="1F2937"/>
                <w:sz w:val="22"/>
              </w:rPr>
              <w:t>James Reggio</w:t>
            </w:r>
            <w:r>
              <w:rPr>
                <w:rFonts w:ascii="Arial" w:hAnsi="Arial" w:cs="Arial" w:eastAsia="Arial"/>
                <w:b w:val="0"/>
                <w:i w:val="0"/>
                <w:color w:val="6B7280"/>
                <w:sz w:val="18"/>
              </w:rPr>
              <w:t xml:space="preserve">  Chief Technology Officer</w:t>
            </w:r>
          </w:p>
          <w:p>
            <w:pPr>
              <w:spacing w:before="0" w:after="20" w:line="269" w:lineRule="auto"/>
            </w:pPr>
            <w:r>
              <w:rPr>
                <w:rFonts w:ascii="Arial" w:hAnsi="Arial" w:cs="Arial" w:eastAsia="Arial"/>
                <w:b/>
                <w:i w:val="0"/>
                <w:color w:val="1E40AF"/>
                <w:sz w:val="16"/>
              </w:rPr>
              <w:t>Economic buyer</w:t>
            </w:r>
          </w:p>
          <w:p>
            <w:pPr>
              <w:spacing w:before="0" w:after="20" w:line="269" w:lineRule="auto"/>
            </w:pPr>
            <w:r>
              <w:rPr>
                <w:rFonts w:ascii="Arial" w:hAnsi="Arial" w:cs="Arial" w:eastAsia="Arial"/>
                <w:b w:val="0"/>
                <w:i w:val="0"/>
                <w:color w:val="1F2937"/>
                <w:sz w:val="18"/>
              </w:rPr>
              <w:t>CTO since Sep 2024; previously built the AI Products incubator. Exec sponsor for any agent platform decision.</w:t>
            </w:r>
            <w:r>
              <w:rPr>
                <w:rFonts w:ascii="Arial" w:hAnsi="Arial" w:cs="Arial" w:eastAsia="Arial"/>
                <w:b w:val="0"/>
                <w:i w:val="0"/>
                <w:color w:val="6B7280"/>
                <w:sz w:val="16"/>
              </w:rPr>
              <w:t xml:space="preserve"> [9]</w:t>
            </w:r>
            <w:r>
              <w:rPr>
                <w:rFonts w:ascii="Arial" w:hAnsi="Arial" w:cs="Arial" w:eastAsia="Arial"/>
                <w:b w:val="0"/>
                <w:i w:val="0"/>
                <w:color w:val="1F2937"/>
                <w:sz w:val="16"/>
              </w:rPr>
              <w:t xml:space="preserve">  </w:t>
            </w:r>
            <w:hyperlink r:id="rId9">
              <w:r>
                <w:rPr>
                  <w:rFonts w:ascii="Arial" w:hAnsi="Arial" w:cs="Arial" w:eastAsia="Arial"/>
                  <w:sz w:val="18"/>
                  <w:color w:val="0563C1"/>
                  <w:u w:val="single"/>
                </w:rPr>
                <w:t xml:space="preserve">LinkedIn</w:t>
              </w:r>
            </w:hyperlink>
          </w:p>
          <w:p>
            <w:pPr>
              <w:spacing w:before="0" w:after="10" w:line="269" w:lineRule="auto"/>
            </w:pPr>
            <w:r>
              <w:rPr>
                <w:rFonts w:ascii="Arial" w:hAnsi="Arial" w:cs="Arial" w:eastAsia="Arial"/>
                <w:b w:val="0"/>
                <w:i w:val="0"/>
                <w:color w:val="6B7280"/>
                <w:sz w:val="16"/>
              </w:rPr>
              <w:t>Says he does not use LinkedIn messaging or accept invitations. Use email.</w:t>
            </w:r>
          </w:p>
        </w:tc>
        <w:tc>
          <w:tcPr>
            <w:tcW w:w="160" w:type="dxa"/>
            <w:tcMar>
              <w:top w:w="0" w:type="dxa"/>
              <w:left w:w="0" w:type="dxa"/>
              <w:bottom w:w="0" w:type="dxa"/>
              <w:right w:w="0" w:type="dxa"/>
            </w:tcMar>
            <w:shd w:fill="FFFFFF" w:val="clear"/>
            <w:tcBorders>
              <w:top w:val="nil"/>
              <w:left w:val="nil"/>
              <w:bottom w:val="nil"/>
              <w:right w:val="nil"/>
            </w:tcBorders>
          </w:tcPr>
          <w:p>
            <w:r/>
          </w:p>
        </w:tc>
        <w:tc>
          <w:tcPr>
            <w:tcW w:w="4960" w:type="dxa"/>
            <w:tcMar>
              <w:top w:w="60" w:type="dxa"/>
              <w:left w:w="100" w:type="dxa"/>
              <w:bottom w:w="60" w:type="dxa"/>
              <w:right w:w="100" w:type="dxa"/>
            </w:tcMar>
            <w:shd w:fill="F8FAFC" w:val="clear"/>
            <w:tcBorders>
              <w:top w:val="single" w:sz="4" w:color="E5E7EB" w:space="0"/>
              <w:left w:val="single" w:sz="16" w:color="0F766E" w:space="0"/>
              <w:bottom w:val="single" w:sz="4" w:color="E5E7EB" w:space="0"/>
              <w:right w:val="single" w:sz="4" w:color="E5E7EB" w:space="0"/>
            </w:tcBorders>
          </w:tcPr>
          <w:p>
            <w:pPr>
              <w:spacing w:before="0" w:after="20" w:line="269" w:lineRule="auto"/>
            </w:pPr>
            <w:r>
              <w:rPr>
                <w:rFonts w:ascii="Arial" w:hAnsi="Arial" w:cs="Arial" w:eastAsia="Arial"/>
                <w:b/>
                <w:i w:val="0"/>
                <w:color w:val="1F2937"/>
                <w:sz w:val="22"/>
              </w:rPr>
              <w:t>Phil Burrows</w:t>
            </w:r>
            <w:r>
              <w:rPr>
                <w:rFonts w:ascii="Arial" w:hAnsi="Arial" w:cs="Arial" w:eastAsia="Arial"/>
                <w:b w:val="0"/>
                <w:i w:val="0"/>
                <w:color w:val="6B7280"/>
                <w:sz w:val="18"/>
              </w:rPr>
              <w:t xml:space="preserve">  Head of Platform &amp; Infra Engineering</w:t>
            </w:r>
          </w:p>
          <w:p>
            <w:pPr>
              <w:spacing w:before="0" w:after="20" w:line="269" w:lineRule="auto"/>
            </w:pPr>
            <w:r>
              <w:rPr>
                <w:rFonts w:ascii="Arial" w:hAnsi="Arial" w:cs="Arial" w:eastAsia="Arial"/>
                <w:b/>
                <w:i w:val="0"/>
                <w:color w:val="0F766E"/>
                <w:sz w:val="16"/>
              </w:rPr>
              <w:t>Champion</w:t>
            </w:r>
          </w:p>
          <w:p>
            <w:pPr>
              <w:spacing w:before="0" w:after="20" w:line="269" w:lineRule="auto"/>
            </w:pPr>
            <w:r>
              <w:rPr>
                <w:rFonts w:ascii="Arial" w:hAnsi="Arial" w:cs="Arial" w:eastAsia="Arial"/>
                <w:b w:val="0"/>
                <w:i w:val="0"/>
                <w:color w:val="1F2937"/>
                <w:sz w:val="18"/>
              </w:rPr>
              <w:t>Heads platform and infra, where the migration harness and self-hosted agent nodes have to be run and maintained.</w:t>
            </w:r>
            <w:r>
              <w:rPr>
                <w:rFonts w:ascii="Arial" w:hAnsi="Arial" w:cs="Arial" w:eastAsia="Arial"/>
                <w:b w:val="0"/>
                <w:i w:val="0"/>
                <w:color w:val="6B7280"/>
                <w:sz w:val="16"/>
              </w:rPr>
              <w:t xml:space="preserve"> [10]</w:t>
            </w:r>
            <w:r>
              <w:rPr>
                <w:rFonts w:ascii="Arial" w:hAnsi="Arial" w:cs="Arial" w:eastAsia="Arial"/>
                <w:b w:val="0"/>
                <w:i w:val="0"/>
                <w:color w:val="1F2937"/>
                <w:sz w:val="16"/>
              </w:rPr>
              <w:t xml:space="preserve">  </w:t>
            </w:r>
            <w:hyperlink r:id="rId10">
              <w:r>
                <w:rPr>
                  <w:rFonts w:ascii="Arial" w:hAnsi="Arial" w:cs="Arial" w:eastAsia="Arial"/>
                  <w:sz w:val="18"/>
                  <w:color w:val="0563C1"/>
                  <w:u w:val="single"/>
                </w:rPr>
                <w:t xml:space="preserve">LinkedIn</w:t>
              </w:r>
            </w:hyperlink>
          </w:p>
        </w:tc>
      </w:tr>
      <w:tr>
        <w:tc>
          <w:tcPr>
            <w:tcW w:w="4960" w:type="dxa"/>
            <w:tcMar>
              <w:top w:w="60" w:type="dxa"/>
              <w:left w:w="100" w:type="dxa"/>
              <w:bottom w:w="60" w:type="dxa"/>
              <w:right w:w="100" w:type="dxa"/>
            </w:tcMar>
            <w:shd w:fill="F8FAFC" w:val="clear"/>
            <w:tcBorders>
              <w:top w:val="single" w:sz="4" w:color="E5E7EB" w:space="0"/>
              <w:left w:val="single" w:sz="16" w:color="6D28D9" w:space="0"/>
              <w:bottom w:val="single" w:sz="4" w:color="E5E7EB" w:space="0"/>
              <w:right w:val="single" w:sz="4" w:color="E5E7EB" w:space="0"/>
            </w:tcBorders>
          </w:tcPr>
          <w:p>
            <w:pPr>
              <w:spacing w:before="0" w:after="20" w:line="269" w:lineRule="auto"/>
            </w:pPr>
            <w:r>
              <w:rPr>
                <w:rFonts w:ascii="Arial" w:hAnsi="Arial" w:cs="Arial" w:eastAsia="Arial"/>
                <w:b/>
                <w:i w:val="0"/>
                <w:color w:val="1F2937"/>
                <w:sz w:val="22"/>
              </w:rPr>
              <w:t>Sridhar Mocherla</w:t>
            </w:r>
            <w:r>
              <w:rPr>
                <w:rFonts w:ascii="Arial" w:hAnsi="Arial" w:cs="Arial" w:eastAsia="Arial"/>
                <w:b w:val="0"/>
                <w:i w:val="0"/>
                <w:color w:val="6B7280"/>
                <w:sz w:val="18"/>
              </w:rPr>
              <w:t xml:space="preserve">  Staff Software Engineer</w:t>
            </w:r>
          </w:p>
          <w:p>
            <w:pPr>
              <w:spacing w:before="0" w:after="20" w:line="269" w:lineRule="auto"/>
            </w:pPr>
            <w:r>
              <w:rPr>
                <w:rFonts w:ascii="Arial" w:hAnsi="Arial" w:cs="Arial" w:eastAsia="Arial"/>
                <w:b/>
                <w:i w:val="0"/>
                <w:color w:val="6D28D9"/>
                <w:sz w:val="16"/>
              </w:rPr>
              <w:t>Technical evaluator</w:t>
            </w:r>
          </w:p>
          <w:p>
            <w:pPr>
              <w:spacing w:before="0" w:after="20" w:line="269" w:lineRule="auto"/>
            </w:pPr>
            <w:r>
              <w:rPr>
                <w:rFonts w:ascii="Arial" w:hAnsi="Arial" w:cs="Arial" w:eastAsia="Arial"/>
                <w:b w:val="0"/>
                <w:i w:val="0"/>
                <w:color w:val="1F2937"/>
                <w:sz w:val="18"/>
              </w:rPr>
              <w:t>Infrastructure tech lead whose stack (GraphQL Federation, Bazel, Micronaut) matches the migration's.</w:t>
            </w:r>
            <w:r>
              <w:rPr>
                <w:rFonts w:ascii="Arial" w:hAnsi="Arial" w:cs="Arial" w:eastAsia="Arial"/>
                <w:b w:val="0"/>
                <w:i w:val="0"/>
                <w:color w:val="6B7280"/>
                <w:sz w:val="16"/>
              </w:rPr>
              <w:t xml:space="preserve"> [11]</w:t>
            </w:r>
            <w:r>
              <w:rPr>
                <w:rFonts w:ascii="Arial" w:hAnsi="Arial" w:cs="Arial" w:eastAsia="Arial"/>
                <w:b w:val="0"/>
                <w:i w:val="0"/>
                <w:color w:val="1F2937"/>
                <w:sz w:val="16"/>
              </w:rPr>
              <w:t xml:space="preserve">  </w:t>
            </w:r>
            <w:hyperlink r:id="rId11">
              <w:r>
                <w:rPr>
                  <w:rFonts w:ascii="Arial" w:hAnsi="Arial" w:cs="Arial" w:eastAsia="Arial"/>
                  <w:sz w:val="18"/>
                  <w:color w:val="0563C1"/>
                  <w:u w:val="single"/>
                </w:rPr>
                <w:t xml:space="preserve">LinkedIn</w:t>
              </w:r>
            </w:hyperlink>
          </w:p>
          <w:p>
            <w:pPr>
              <w:spacing w:before="0" w:after="10" w:line="269" w:lineRule="auto"/>
            </w:pPr>
            <w:r>
              <w:rPr>
                <w:rFonts w:ascii="Arial" w:hAnsi="Arial" w:cs="Arial" w:eastAsia="Arial"/>
                <w:b w:val="0"/>
                <w:i w:val="0"/>
                <w:color w:val="6B7280"/>
                <w:sz w:val="16"/>
              </w:rPr>
              <w:t>Built automated mitigations for flaky tests in CI</w:t>
            </w:r>
          </w:p>
        </w:tc>
        <w:tc>
          <w:tcPr>
            <w:tcW w:w="160" w:type="dxa"/>
            <w:tcMar>
              <w:top w:w="0" w:type="dxa"/>
              <w:left w:w="0" w:type="dxa"/>
              <w:bottom w:w="0" w:type="dxa"/>
              <w:right w:w="0" w:type="dxa"/>
            </w:tcMar>
            <w:shd w:fill="FFFFFF" w:val="clear"/>
            <w:tcBorders>
              <w:top w:val="nil"/>
              <w:left w:val="nil"/>
              <w:bottom w:val="nil"/>
              <w:right w:val="nil"/>
            </w:tcBorders>
          </w:tcPr>
          <w:p>
            <w:r/>
          </w:p>
        </w:tc>
        <w:tc>
          <w:tcPr>
            <w:tcW w:w="4960" w:type="dxa"/>
            <w:tcMar>
              <w:top w:w="60" w:type="dxa"/>
              <w:left w:w="100" w:type="dxa"/>
              <w:bottom w:w="60" w:type="dxa"/>
              <w:right w:w="100" w:type="dxa"/>
            </w:tcMar>
            <w:shd w:fill="F8FAFC" w:val="clear"/>
            <w:tcBorders>
              <w:top w:val="single" w:sz="4" w:color="E5E7EB" w:space="0"/>
              <w:left w:val="single" w:sz="16" w:color="0F766E" w:space="0"/>
              <w:bottom w:val="single" w:sz="4" w:color="E5E7EB" w:space="0"/>
              <w:right w:val="single" w:sz="4" w:color="E5E7EB" w:space="0"/>
            </w:tcBorders>
          </w:tcPr>
          <w:p>
            <w:pPr>
              <w:spacing w:before="0" w:after="20" w:line="269" w:lineRule="auto"/>
            </w:pPr>
            <w:r>
              <w:rPr>
                <w:rFonts w:ascii="Arial" w:hAnsi="Arial" w:cs="Arial" w:eastAsia="Arial"/>
                <w:b/>
                <w:i w:val="0"/>
                <w:color w:val="1F2937"/>
                <w:sz w:val="22"/>
              </w:rPr>
              <w:t>Sai Chiligireddy</w:t>
            </w:r>
            <w:r>
              <w:rPr>
                <w:rFonts w:ascii="Arial" w:hAnsi="Arial" w:cs="Arial" w:eastAsia="Arial"/>
                <w:b w:val="0"/>
                <w:i w:val="0"/>
                <w:color w:val="6B7280"/>
                <w:sz w:val="18"/>
              </w:rPr>
              <w:t xml:space="preserve">  Staff AI Engineer &amp; Tech Lead Manager - AI Ecosystem</w:t>
            </w:r>
          </w:p>
          <w:p>
            <w:pPr>
              <w:spacing w:before="0" w:after="20" w:line="269" w:lineRule="auto"/>
            </w:pPr>
            <w:r>
              <w:rPr>
                <w:rFonts w:ascii="Arial" w:hAnsi="Arial" w:cs="Arial" w:eastAsia="Arial"/>
                <w:b/>
                <w:i w:val="0"/>
                <w:color w:val="0F766E"/>
                <w:sz w:val="16"/>
              </w:rPr>
              <w:t>Champion</w:t>
            </w:r>
            <w:r>
              <w:rPr>
                <w:rFonts w:ascii="Arial" w:hAnsi="Arial" w:cs="Arial" w:eastAsia="Arial"/>
                <w:b/>
                <w:i w:val="0"/>
                <w:color w:val="047857"/>
                <w:sz w:val="16"/>
              </w:rPr>
              <w:t xml:space="preserve">   Likely champion</w:t>
            </w:r>
            <w:r>
              <w:rPr>
                <w:rFonts w:ascii="Arial" w:hAnsi="Arial" w:cs="Arial" w:eastAsia="Arial"/>
                <w:b/>
                <w:i w:val="0"/>
                <w:color w:val="B91C1C"/>
                <w:sz w:val="16"/>
              </w:rPr>
              <w:t xml:space="preserve">   Incumbent owner</w:t>
            </w:r>
          </w:p>
          <w:p>
            <w:pPr>
              <w:spacing w:before="0" w:after="20" w:line="269" w:lineRule="auto"/>
            </w:pPr>
            <w:r>
              <w:rPr>
                <w:rFonts w:ascii="Arial" w:hAnsi="Arial" w:cs="Arial" w:eastAsia="Arial"/>
                <w:b w:val="0"/>
                <w:i w:val="0"/>
                <w:color w:val="1F2937"/>
                <w:sz w:val="18"/>
              </w:rPr>
              <w:t>Leads Brex's MCP platform across Claude, ChatGPT and Cursor; came from a public Devin customer and is new in role. Incumbent owner of that ecosystem — not a 'have you tried agents?' pitch.</w:t>
            </w:r>
            <w:r>
              <w:rPr>
                <w:rFonts w:ascii="Arial" w:hAnsi="Arial" w:cs="Arial" w:eastAsia="Arial"/>
                <w:b w:val="0"/>
                <w:i w:val="0"/>
                <w:color w:val="6B7280"/>
                <w:sz w:val="16"/>
              </w:rPr>
              <w:t xml:space="preserve"> [12]</w:t>
            </w:r>
            <w:r>
              <w:rPr>
                <w:rFonts w:ascii="Arial" w:hAnsi="Arial" w:cs="Arial" w:eastAsia="Arial"/>
                <w:b w:val="0"/>
                <w:i w:val="0"/>
                <w:color w:val="1F2937"/>
                <w:sz w:val="16"/>
              </w:rPr>
              <w:t xml:space="preserve">  </w:t>
            </w:r>
            <w:hyperlink r:id="rId12">
              <w:r>
                <w:rPr>
                  <w:rFonts w:ascii="Arial" w:hAnsi="Arial" w:cs="Arial" w:eastAsia="Arial"/>
                  <w:sz w:val="18"/>
                  <w:color w:val="0563C1"/>
                  <w:u w:val="single"/>
                </w:rPr>
                <w:t xml:space="preserve">LinkedIn</w:t>
              </w:r>
            </w:hyperlink>
          </w:p>
        </w:tc>
      </w:tr>
    </w:tbl>
    <w:p>
      <w:pPr>
        <w:pageBreakBefore/>
        <w:spacing w:before="80" w:after="80"/>
      </w:pPr>
      <w:r>
        <w:rPr>
          <w:rFonts w:ascii="Arial" w:hAnsi="Arial" w:cs="Arial" w:eastAsia="Arial"/>
          <w:b/>
          <w:i w:val="0"/>
          <w:color w:val="1F2937"/>
          <w:sz w:val="24"/>
        </w:rPr>
        <w:t>Intent signals</w:t>
      </w: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F8FAFC" w:val="clear"/>
            <w:tcBorders>
              <w:top w:val="single" w:sz="4" w:color="E5E7EB" w:space="0"/>
              <w:left w:val="single" w:sz="4" w:color="E5E7EB" w:space="0"/>
              <w:bottom w:val="single" w:sz="4" w:color="E5E7EB" w:space="0"/>
              <w:right w:val="single" w:sz="4" w:color="E5E7EB" w:space="0"/>
            </w:tcBorders>
          </w:tcPr>
          <w:p>
            <w:pPr>
              <w:spacing w:before="0" w:after="20" w:line="269" w:lineRule="auto"/>
            </w:pPr>
            <w:r/>
            <w:r>
              <w:rPr>
                <w:rFonts w:ascii="Arial" w:hAnsi="Arial" w:cs="Arial" w:eastAsia="Arial"/>
                <w:b/>
                <w:i w:val="0"/>
                <w:color w:val="1F2937"/>
                <w:sz w:val="22"/>
              </w:rPr>
              <w:t>Micronaut 4 migration across 500+ Kotlin microservices is partway done; Brex says the remainder still needs de-risking</w:t>
            </w:r>
          </w:p>
          <w:p>
            <w:pPr>
              <w:spacing w:before="0" w:after="40" w:line="269" w:lineRule="auto"/>
            </w:pPr>
            <w:r>
              <w:rPr>
                <w:rFonts w:ascii="Arial" w:hAnsi="Arial" w:cs="Arial" w:eastAsia="Arial"/>
                <w:b/>
                <w:i w:val="0"/>
                <w:color w:val="1D4ED8"/>
                <w:sz w:val="16"/>
              </w:rPr>
              <w:t>strong</w:t>
            </w:r>
            <w:r>
              <w:rPr>
                <w:rFonts w:ascii="Arial" w:hAnsi="Arial" w:cs="Arial" w:eastAsia="Arial"/>
                <w:b w:val="0"/>
                <w:i w:val="0"/>
                <w:color w:val="6B7280"/>
                <w:sz w:val="18"/>
              </w:rPr>
              <w:t xml:space="preserve">  ·  Code migration &amp; modernization</w:t>
            </w:r>
            <w:r>
              <w:rPr>
                <w:rFonts w:ascii="Arial" w:hAnsi="Arial" w:cs="Arial" w:eastAsia="Arial"/>
                <w:b w:val="0"/>
                <w:i w:val="0"/>
                <w:color w:val="6B7280"/>
                <w:sz w:val="18"/>
              </w:rPr>
              <w:t xml:space="preserve">  ·  Who cares: Phil Burrows, Sridhar Mocherla</w:t>
            </w:r>
          </w:p>
          <w:p>
            <w:pPr>
              <w:spacing w:before="0" w:after="20" w:line="269" w:lineRule="auto"/>
            </w:pPr>
            <w:r>
              <w:rPr>
                <w:rFonts w:ascii="Arial" w:hAnsi="Arial" w:cs="Arial" w:eastAsia="Arial"/>
                <w:b w:val="0"/>
                <w:i/>
                <w:color w:val="6B7280"/>
                <w:sz w:val="18"/>
              </w:rPr>
              <w:t>"Our core Kotlin framework at Brex is Micronaut and we use it across over 500 microservices."</w:t>
            </w:r>
            <w:r>
              <w:rPr>
                <w:rFonts w:ascii="Arial" w:hAnsi="Arial" w:cs="Arial" w:eastAsia="Arial"/>
                <w:b w:val="0"/>
                <w:i w:val="0"/>
                <w:color w:val="6B7280"/>
                <w:sz w:val="16"/>
              </w:rPr>
              <w:t xml:space="preserve"> [1] · date unknown</w:t>
            </w:r>
          </w:p>
          <w:p>
            <w:pPr>
              <w:spacing w:before="0" w:after="20" w:line="269" w:lineRule="auto"/>
            </w:pPr>
            <w:r>
              <w:rPr>
                <w:rFonts w:ascii="Arial" w:hAnsi="Arial" w:cs="Arial" w:eastAsia="Arial"/>
                <w:b w:val="0"/>
                <w:i/>
                <w:color w:val="6B7280"/>
                <w:sz w:val="18"/>
              </w:rPr>
              <w:t>"To de-risk the remainder of this migration, we are looking beyond repository-level automation"</w:t>
            </w:r>
            <w:r>
              <w:rPr>
                <w:rFonts w:ascii="Arial" w:hAnsi="Arial" w:cs="Arial" w:eastAsia="Arial"/>
                <w:b w:val="0"/>
                <w:i w:val="0"/>
                <w:color w:val="6B7280"/>
                <w:sz w:val="16"/>
              </w:rPr>
              <w:t xml:space="preserve"> [1] · date unknown</w:t>
            </w:r>
          </w:p>
          <w:p>
            <w:pPr>
              <w:spacing w:before="0" w:after="20" w:line="269" w:lineRule="auto"/>
            </w:pPr>
            <w:r>
              <w:rPr>
                <w:rFonts w:ascii="Arial" w:hAnsi="Arial" w:cs="Arial" w:eastAsia="Arial"/>
                <w:b w:val="0"/>
                <w:i/>
                <w:color w:val="6B7280"/>
                <w:sz w:val="18"/>
              </w:rPr>
              <w:t>"we unblocked critical downstream engineering initiatives, such as our GraphQL federation upgrade"</w:t>
            </w:r>
            <w:r>
              <w:rPr>
                <w:rFonts w:ascii="Arial" w:hAnsi="Arial" w:cs="Arial" w:eastAsia="Arial"/>
                <w:b w:val="0"/>
                <w:i w:val="0"/>
                <w:color w:val="6B7280"/>
                <w:sz w:val="16"/>
              </w:rPr>
              <w:t xml:space="preserve"> [1] · date unknown</w:t>
            </w:r>
          </w:p>
          <w:p>
            <w:pPr>
              <w:spacing w:before="0" w:after="20" w:line="269" w:lineRule="auto"/>
            </w:pPr>
            <w:r>
              <w:rPr>
                <w:rFonts w:ascii="Arial" w:hAnsi="Arial" w:cs="Arial" w:eastAsia="Arial"/>
                <w:b w:val="0"/>
                <w:i/>
                <w:color w:val="6B7280"/>
                <w:sz w:val="18"/>
              </w:rPr>
              <w:t>"Sofhia de Souza Gonçalves built a self-correcting agent pipeline in Cursor instead, and accelerated that old, manual work model by 32x."</w:t>
            </w:r>
            <w:r>
              <w:rPr>
                <w:rFonts w:ascii="Arial" w:hAnsi="Arial" w:cs="Arial" w:eastAsia="Arial"/>
                <w:b w:val="0"/>
                <w:i w:val="0"/>
                <w:color w:val="6B7280"/>
                <w:sz w:val="16"/>
              </w:rPr>
              <w:t xml:space="preserve"> [2] · 2026-07-22</w:t>
            </w:r>
          </w:p>
          <w:p>
            <w:pPr>
              <w:spacing w:before="0" w:after="20" w:line="269" w:lineRule="auto"/>
            </w:pPr>
            <w:r>
              <w:rPr>
                <w:rFonts w:ascii="Arial" w:hAnsi="Arial" w:cs="Arial" w:eastAsia="Arial"/>
                <w:b w:val="0"/>
                <w:i/>
                <w:color w:val="6B7280"/>
                <w:sz w:val="18"/>
              </w:rPr>
              <w:t>"Led the Micronaut 4 Upgrade Project to unblock developer adoption of new language versions and features"</w:t>
            </w:r>
            <w:r>
              <w:rPr>
                <w:rFonts w:ascii="Arial" w:hAnsi="Arial" w:cs="Arial" w:eastAsia="Arial"/>
                <w:b w:val="0"/>
                <w:i w:val="0"/>
                <w:color w:val="6B7280"/>
                <w:sz w:val="16"/>
              </w:rPr>
              <w:t xml:space="preserve"> [13] · 2026-09-15</w:t>
            </w:r>
          </w:p>
        </w:tc>
      </w:tr>
    </w:tbl>
    <w:p>
      <w:pPr>
        <w:spacing w:after="120"/>
      </w:pP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F8FAFC" w:val="clear"/>
            <w:tcBorders>
              <w:top w:val="single" w:sz="4" w:color="E5E7EB" w:space="0"/>
              <w:left w:val="single" w:sz="4" w:color="E5E7EB" w:space="0"/>
              <w:bottom w:val="single" w:sz="4" w:color="E5E7EB" w:space="0"/>
              <w:right w:val="single" w:sz="4" w:color="E5E7EB" w:space="0"/>
            </w:tcBorders>
          </w:tcPr>
          <w:p>
            <w:pPr>
              <w:spacing w:before="0" w:after="20" w:line="269" w:lineRule="auto"/>
            </w:pPr>
            <w:r/>
            <w:r>
              <w:rPr>
                <w:rFonts w:ascii="Arial" w:hAnsi="Arial" w:cs="Arial" w:eastAsia="Arial"/>
                <w:b/>
                <w:i w:val="0"/>
                <w:color w:val="1F2937"/>
                <w:sz w:val="22"/>
              </w:rPr>
              <w:t>Agent-driven migration exposed test-suite gaps: some PRs passed existing tests and still caused runtime bugs</w:t>
            </w:r>
          </w:p>
          <w:p>
            <w:pPr>
              <w:spacing w:before="0" w:after="40" w:line="269" w:lineRule="auto"/>
            </w:pPr>
            <w:r>
              <w:rPr>
                <w:rFonts w:ascii="Arial" w:hAnsi="Arial" w:cs="Arial" w:eastAsia="Arial"/>
                <w:b/>
                <w:i w:val="0"/>
                <w:color w:val="64748B"/>
                <w:sz w:val="16"/>
              </w:rPr>
              <w:t>medium</w:t>
            </w:r>
            <w:r>
              <w:rPr>
                <w:rFonts w:ascii="Arial" w:hAnsi="Arial" w:cs="Arial" w:eastAsia="Arial"/>
                <w:b w:val="0"/>
                <w:i w:val="0"/>
                <w:color w:val="6B7280"/>
                <w:sz w:val="18"/>
              </w:rPr>
              <w:t xml:space="preserve">  ·  Test generation &amp; QA</w:t>
            </w:r>
            <w:r>
              <w:rPr>
                <w:rFonts w:ascii="Arial" w:hAnsi="Arial" w:cs="Arial" w:eastAsia="Arial"/>
                <w:b w:val="0"/>
                <w:i w:val="0"/>
                <w:color w:val="6B7280"/>
                <w:sz w:val="18"/>
              </w:rPr>
              <w:t xml:space="preserve">  ·  Who cares: Phil Burrows, Sridhar Mocherla</w:t>
            </w:r>
          </w:p>
          <w:p>
            <w:pPr>
              <w:spacing w:before="0" w:after="20" w:line="269" w:lineRule="auto"/>
            </w:pPr>
            <w:r>
              <w:rPr>
                <w:rFonts w:ascii="Arial" w:hAnsi="Arial" w:cs="Arial" w:eastAsia="Arial"/>
                <w:b w:val="0"/>
                <w:i/>
                <w:color w:val="6B7280"/>
                <w:sz w:val="18"/>
              </w:rPr>
              <w:t>"a few automated PRs passed all existing unit and integration tests cleanly, only to cause subtle runtime bugs once they hit production traffic"</w:t>
            </w:r>
            <w:r>
              <w:rPr>
                <w:rFonts w:ascii="Arial" w:hAnsi="Arial" w:cs="Arial" w:eastAsia="Arial"/>
                <w:b w:val="0"/>
                <w:i w:val="0"/>
                <w:color w:val="6B7280"/>
                <w:sz w:val="16"/>
              </w:rPr>
              <w:t xml:space="preserve"> [1] · date unknown</w:t>
            </w:r>
          </w:p>
          <w:p>
            <w:pPr>
              <w:spacing w:before="0" w:after="20" w:line="269" w:lineRule="auto"/>
            </w:pPr>
            <w:r>
              <w:rPr>
                <w:rFonts w:ascii="Arial" w:hAnsi="Arial" w:cs="Arial" w:eastAsia="Arial"/>
                <w:b w:val="0"/>
                <w:i/>
                <w:color w:val="6B7280"/>
                <w:sz w:val="18"/>
              </w:rPr>
              <w:t>"because certain services had gaps in their test suites or lacked robust monitoring, anomalies slipped through."</w:t>
            </w:r>
            <w:r>
              <w:rPr>
                <w:rFonts w:ascii="Arial" w:hAnsi="Arial" w:cs="Arial" w:eastAsia="Arial"/>
                <w:b w:val="0"/>
                <w:i w:val="0"/>
                <w:color w:val="6B7280"/>
                <w:sz w:val="16"/>
              </w:rPr>
              <w:t xml:space="preserve"> [1] · date unknown</w:t>
            </w:r>
          </w:p>
          <w:p>
            <w:pPr>
              <w:spacing w:before="0" w:after="20" w:line="269" w:lineRule="auto"/>
            </w:pPr>
            <w:r>
              <w:rPr>
                <w:rFonts w:ascii="Arial" w:hAnsi="Arial" w:cs="Arial" w:eastAsia="Arial"/>
                <w:b w:val="0"/>
                <w:i/>
                <w:color w:val="6B7280"/>
                <w:sz w:val="18"/>
              </w:rPr>
              <w:t>"Sofhia de Souza Gonçalves built a self-correcting agent pipeline in Cursor instead, and accelerated that old, manual work model by 32x."</w:t>
            </w:r>
            <w:r>
              <w:rPr>
                <w:rFonts w:ascii="Arial" w:hAnsi="Arial" w:cs="Arial" w:eastAsia="Arial"/>
                <w:b w:val="0"/>
                <w:i w:val="0"/>
                <w:color w:val="6B7280"/>
                <w:sz w:val="16"/>
              </w:rPr>
              <w:t xml:space="preserve"> [2] · 2026-07-22</w:t>
            </w:r>
          </w:p>
        </w:tc>
      </w:tr>
    </w:tbl>
    <w:p>
      <w:pPr>
        <w:spacing w:after="120"/>
      </w:pPr>
    </w:p>
    <w:p>
      <w:pPr>
        <w:spacing w:before="200" w:after="80"/>
      </w:pPr>
      <w:r>
        <w:rPr>
          <w:rFonts w:ascii="Arial" w:hAnsi="Arial" w:cs="Arial" w:eastAsia="Arial"/>
          <w:b/>
          <w:i w:val="0"/>
          <w:color w:val="1F2937"/>
          <w:sz w:val="24"/>
        </w:rPr>
        <w:t>Competitive context</w:t>
      </w:r>
    </w:p>
    <w:p>
      <w:pPr>
        <w:spacing w:after="120"/>
      </w:pPr>
      <w:r>
        <w:rPr>
          <w:rFonts w:ascii="Arial" w:hAnsi="Arial" w:cs="Arial" w:eastAsia="Arial"/>
          <w:b w:val="0"/>
          <w:i w:val="0"/>
          <w:color w:val="1F2937"/>
          <w:sz w:val="20"/>
        </w:rPr>
        <w:t>Cursor is in production. Self-hosted Cursor agents run the Micronaut 4 migration, and IT is widening access to Claude Code and Cursor. Angle: displace or expand. Cover the remainder of the migration and the test gaps, and take over the harness they had to build (dedicated nodes, headless auth, laptop-independent runs).</w:t>
      </w:r>
      <w:r>
        <w:rPr>
          <w:rFonts w:ascii="Arial" w:hAnsi="Arial" w:cs="Arial" w:eastAsia="Arial"/>
          <w:b w:val="0"/>
          <w:i w:val="0"/>
          <w:color w:val="6B7280"/>
          <w:sz w:val="18"/>
        </w:rPr>
        <w:t xml:space="preserve">  (competitor in production)</w:t>
      </w:r>
      <w:r>
        <w:rPr>
          <w:rFonts w:ascii="Arial" w:hAnsi="Arial" w:cs="Arial" w:eastAsia="Arial"/>
          <w:b w:val="0"/>
          <w:i w:val="0"/>
          <w:color w:val="6B7280"/>
          <w:sz w:val="16"/>
        </w:rPr>
        <w:t xml:space="preserve"> [1][3][5]</w:t>
      </w:r>
    </w:p>
    <w:p>
      <w:pPr>
        <w:spacing w:after="120"/>
      </w:pPr>
      <w:r>
        <w:rPr>
          <w:rFonts w:ascii="Arial" w:hAnsi="Arial" w:cs="Arial" w:eastAsia="Arial"/>
          <w:b w:val="0"/>
          <w:i w:val="0"/>
          <w:color w:val="1F2937"/>
          <w:sz w:val="20"/>
        </w:rPr>
        <w:t>Brex built an in-house platform for delegating engineering work to agents, used for gRPC migrations across 400+ services. It also built an oncall investigation agent on the Claude SDK. Expect a build-vs-buy objection; lead with the upkeep of these in-house harnesses.</w:t>
      </w:r>
      <w:r>
        <w:rPr>
          <w:rFonts w:ascii="Arial" w:hAnsi="Arial" w:cs="Arial" w:eastAsia="Arial"/>
          <w:b w:val="0"/>
          <w:i w:val="0"/>
          <w:color w:val="6B7280"/>
          <w:sz w:val="18"/>
        </w:rPr>
        <w:t xml:space="preserve">  (other)</w:t>
      </w:r>
      <w:r>
        <w:rPr>
          <w:rFonts w:ascii="Arial" w:hAnsi="Arial" w:cs="Arial" w:eastAsia="Arial"/>
          <w:b w:val="0"/>
          <w:i w:val="0"/>
          <w:color w:val="6B7280"/>
          <w:sz w:val="16"/>
        </w:rPr>
        <w:t xml:space="preserve"> [4][14]</w:t>
      </w:r>
    </w:p>
    <w:p>
      <w:pPr>
        <w:spacing w:after="120"/>
      </w:pPr>
      <w:r>
        <w:rPr>
          <w:rFonts w:ascii="Arial" w:hAnsi="Arial" w:cs="Arial" w:eastAsia="Arial"/>
          <w:b w:val="0"/>
          <w:i w:val="0"/>
          <w:color w:val="1F2937"/>
          <w:sz w:val="20"/>
        </w:rPr>
        <w:t>Brex is a Capital One subsidiary, so expect parent-level procurement and third-party risk review</w:t>
      </w:r>
      <w:r>
        <w:rPr>
          <w:rFonts w:ascii="Arial" w:hAnsi="Arial" w:cs="Arial" w:eastAsia="Arial"/>
          <w:b w:val="0"/>
          <w:i w:val="0"/>
          <w:color w:val="6B7280"/>
          <w:sz w:val="18"/>
        </w:rPr>
        <w:t xml:space="preserve">  (other)</w:t>
      </w:r>
      <w:r>
        <w:rPr>
          <w:rFonts w:ascii="Arial" w:hAnsi="Arial" w:cs="Arial" w:eastAsia="Arial"/>
          <w:b w:val="0"/>
          <w:i w:val="0"/>
          <w:color w:val="6B7280"/>
          <w:sz w:val="16"/>
        </w:rPr>
        <w:t xml:space="preserve"> [15]</w:t>
      </w:r>
    </w:p>
    <w:p>
      <w:pPr>
        <w:pageBreakBefore/>
        <w:spacing w:before="80" w:after="80"/>
      </w:pPr>
      <w:r>
        <w:rPr>
          <w:rFonts w:ascii="Arial" w:hAnsi="Arial" w:cs="Arial" w:eastAsia="Arial"/>
          <w:b/>
          <w:i w:val="0"/>
          <w:color w:val="1F2937"/>
          <w:sz w:val="24"/>
        </w:rPr>
        <w:t>Drafted messages</w:t>
      </w:r>
    </w:p>
    <w:p>
      <w:r>
        <w:rPr>
          <w:rFonts w:ascii="Arial" w:hAnsi="Arial" w:cs="Arial" w:eastAsia="Arial"/>
          <w:b w:val="0"/>
          <w:i/>
          <w:color w:val="6B7280"/>
          <w:sz w:val="18"/>
        </w:rPr>
        <w:t>Drafts for rep review. Never auto-sent.</w:t>
      </w: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F8FAFC" w:val="clear"/>
            <w:tcBorders>
              <w:top w:val="single" w:sz="4" w:color="E5E7EB" w:space="0"/>
              <w:left w:val="single" w:sz="16" w:color="1E40AF" w:space="0"/>
              <w:bottom w:val="single" w:sz="4" w:color="E5E7EB" w:space="0"/>
              <w:right w:val="single" w:sz="4" w:color="E5E7EB" w:space="0"/>
            </w:tcBorders>
          </w:tcPr>
          <w:p>
            <w:pPr>
              <w:spacing w:before="0" w:after="40" w:line="269" w:lineRule="auto"/>
            </w:pPr>
            <w:r/>
            <w:r>
              <w:rPr>
                <w:rFonts w:ascii="Arial" w:hAnsi="Arial" w:cs="Arial" w:eastAsia="Arial"/>
                <w:b/>
                <w:i w:val="0"/>
                <w:color w:val="1F2937"/>
                <w:sz w:val="26"/>
              </w:rPr>
              <w:t>James Reggio</w:t>
            </w:r>
            <w:r>
              <w:rPr>
                <w:rFonts w:ascii="Arial" w:hAnsi="Arial" w:cs="Arial" w:eastAsia="Arial"/>
                <w:b/>
                <w:i w:val="0"/>
                <w:color w:val="1E40AF"/>
                <w:sz w:val="16"/>
              </w:rPr>
              <w:t xml:space="preserve">   Economic buyer</w:t>
            </w:r>
          </w:p>
          <w:p>
            <w:pPr>
              <w:spacing w:before="0" w:after="20" w:line="269" w:lineRule="auto"/>
            </w:pPr>
            <w:r>
              <w:rPr>
                <w:rFonts w:ascii="Arial" w:hAnsi="Arial" w:cs="Arial" w:eastAsia="Arial"/>
                <w:b/>
                <w:i w:val="0"/>
                <w:color w:val="6B7280"/>
                <w:sz w:val="18"/>
              </w:rPr>
              <w:t xml:space="preserve">Email — </w:t>
            </w:r>
            <w:r>
              <w:rPr>
                <w:rFonts w:ascii="Arial" w:hAnsi="Arial" w:cs="Arial" w:eastAsia="Arial"/>
                <w:b/>
                <w:i w:val="0"/>
                <w:color w:val="1F2937"/>
                <w:sz w:val="22"/>
              </w:rPr>
              <w:t>The rest of Micronaut 4</w:t>
            </w:r>
          </w:p>
          <w:p>
            <w:pPr>
              <w:spacing w:before="0" w:after="40" w:line="269" w:lineRule="auto"/>
            </w:pPr>
            <w:r>
              <w:rPr>
                <w:rFonts w:ascii="Arial" w:hAnsi="Arial" w:cs="Arial" w:eastAsia="Arial"/>
                <w:b w:val="0"/>
                <w:i w:val="0"/>
                <w:color w:val="1F2937"/>
                <w:sz w:val="22"/>
              </w:rPr>
              <w:t>James,</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Brex is partway through a Micronaut 4 migration across over 500 microservices, and the write-up says the remainder still needs de-risking. That work also unblocked the GraphQL federation upgrade.</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Teams at Nubank used Devin on migration work and reported an 8x engineering time efficiency gain. Ramp uses Devin to work through technical debt. I would start from the services still to migrate, not a rewrite of what already shipped.</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Worth 20 minutes on what's left of the remainder?</w:t>
            </w:r>
          </w:p>
          <w:p>
            <w:pPr>
              <w:spacing w:before="0" w:after="20" w:line="269" w:lineRule="auto"/>
            </w:pPr>
            <w:r>
              <w:rPr>
                <w:rFonts w:ascii="Arial" w:hAnsi="Arial" w:cs="Arial" w:eastAsia="Arial"/>
                <w:b/>
                <w:i w:val="0"/>
                <w:color w:val="6B7280"/>
                <w:sz w:val="18"/>
              </w:rPr>
              <w:t>LinkedIn connection note</w:t>
            </w:r>
          </w:p>
          <w:p>
            <w:pPr>
              <w:spacing w:before="0" w:after="40" w:line="269" w:lineRule="auto"/>
            </w:pPr>
            <w:r>
              <w:rPr>
                <w:rFonts w:ascii="Arial" w:hAnsi="Arial" w:cs="Arial" w:eastAsia="Arial"/>
                <w:b w:val="0"/>
                <w:i w:val="0"/>
                <w:color w:val="1F2937"/>
                <w:sz w:val="20"/>
              </w:rPr>
              <w:t>James, I work on Devin. Teams at Nubank used it on migration work like your Micronaut 4 remainder. Email is better given your LinkedIn note; connecting here only if useful.</w:t>
            </w:r>
          </w:p>
          <w:p>
            <w:pPr>
              <w:spacing w:before="0" w:after="20" w:line="269" w:lineRule="auto"/>
            </w:pPr>
            <w:r>
              <w:rPr>
                <w:rFonts w:ascii="Arial" w:hAnsi="Arial" w:cs="Arial" w:eastAsia="Arial"/>
                <w:b/>
                <w:i w:val="0"/>
                <w:color w:val="6B7280"/>
                <w:sz w:val="18"/>
              </w:rPr>
              <w:t>LinkedIn follow-up</w:t>
            </w:r>
          </w:p>
          <w:p>
            <w:pPr>
              <w:spacing w:before="0" w:after="40" w:line="269" w:lineRule="auto"/>
            </w:pPr>
            <w:r>
              <w:rPr>
                <w:rFonts w:ascii="Arial" w:hAnsi="Arial" w:cs="Arial" w:eastAsia="Arial"/>
                <w:b w:val="0"/>
                <w:i w:val="0"/>
                <w:color w:val="1F2937"/>
                <w:sz w:val="20"/>
              </w:rPr>
              <w:t>James, one more on the remainder. The Micronaut 4 write-up said that work unblocked the GraphQL federation upgrade. If that wave is next, teams at Nubank used Devin on migration work and reported an 8x engineering time efficiency gain, and Ramp uses Devin to work through technical debt. I would start from the services still to migrate, not from a platform rewrite. Happy to send a short write-up first if a call is the wrong shape.</w:t>
            </w:r>
          </w:p>
          <w:tbl>
            <w:tblPr>
              <w:tblW w:type="dxa" w:w="9800"/>
              <w:tblLayout w:type="fixed"/>
              <w:tblLook w:firstColumn="1" w:firstRow="0" w:lastColumn="0" w:lastRow="0" w:noHBand="0" w:noVBand="1" w:val="04A0"/>
            </w:tblPr>
            <w:tblGrid>
              <w:gridCol w:w="9800"/>
            </w:tblGrid>
            <w:tr>
              <w:tc>
                <w:tcPr>
                  <w:tcW w:w="9800" w:type="dxa"/>
                  <w:tcMar>
                    <w:top w:w="60" w:type="dxa"/>
                    <w:left w:w="100" w:type="dxa"/>
                    <w:bottom w:w="60" w:type="dxa"/>
                    <w:right w:w="100" w:type="dxa"/>
                  </w:tcMar>
                  <w:shd w:fill="F3F4F6" w:val="clear"/>
                  <w:tcBorders>
                    <w:top w:val="single" w:sz="4" w:color="E5E7EB" w:space="0"/>
                    <w:left w:val="single" w:sz="4" w:color="E5E7EB" w:space="0"/>
                    <w:bottom w:val="single" w:sz="4" w:color="E5E7EB" w:space="0"/>
                    <w:right w:val="single" w:sz="4" w:color="E5E7EB" w:space="0"/>
                  </w:tcBorders>
                </w:tcPr>
                <w:p>
                  <w:pPr>
                    <w:spacing w:before="0" w:after="20" w:line="269" w:lineRule="auto"/>
                  </w:pPr>
                  <w:r>
                    <w:rPr>
                      <w:rFonts w:ascii="Arial" w:hAnsi="Arial" w:cs="Arial" w:eastAsia="Arial"/>
                      <w:b/>
                      <w:i w:val="0"/>
                      <w:color w:val="6B7280"/>
                      <w:sz w:val="16"/>
                    </w:rPr>
                    <w:t>Send notes  ·  rep only, never sent</w:t>
                  </w:r>
                </w:p>
                <w:p>
                  <w:pPr>
                    <w:spacing w:before="0" w:after="8" w:line="269" w:lineRule="auto"/>
                  </w:pPr>
                  <w:r>
                    <w:rPr>
                      <w:rFonts w:ascii="Arial" w:hAnsi="Arial" w:cs="Arial" w:eastAsia="Arial"/>
                      <w:b w:val="0"/>
                      <w:i w:val="0"/>
                      <w:color w:val="6B7280"/>
                      <w:sz w:val="16"/>
                    </w:rPr>
                    <w:t>- Angle: remainder of Micronaut 4 plus Nubank/Ramp peer proof. He is the economic buyer; no product tour.</w:t>
                  </w:r>
                </w:p>
                <w:p>
                  <w:pPr>
                    <w:spacing w:before="0" w:after="8" w:line="269" w:lineRule="auto"/>
                  </w:pPr>
                  <w:r>
                    <w:rPr>
                      <w:rFonts w:ascii="Arial" w:hAnsi="Arial" w:cs="Arial" w:eastAsia="Arial"/>
                      <w:b w:val="0"/>
                      <w:i w:val="0"/>
                      <w:color w:val="6B7280"/>
                      <w:sz w:val="16"/>
                    </w:rPr>
                    <w:t>- Channel: email only. He said he does not use LinkedIn messaging or accept invitations. Do not send the LinkedIn note or follow-up.</w:t>
                  </w:r>
                </w:p>
                <w:p>
                  <w:pPr>
                    <w:spacing w:before="0" w:after="8" w:line="269" w:lineRule="auto"/>
                  </w:pPr>
                  <w:r>
                    <w:rPr>
                      <w:rFonts w:ascii="Arial" w:hAnsi="Arial" w:cs="Arial" w:eastAsia="Arial"/>
                      <w:b w:val="0"/>
                      <w:i w:val="0"/>
                      <w:color w:val="6B7280"/>
                      <w:sz w:val="16"/>
                    </w:rPr>
                    <w:t>- Do not pitch "have you tried agents?" Cursor is already in production.</w:t>
                  </w:r>
                </w:p>
                <w:p>
                  <w:pPr>
                    <w:spacing w:before="0" w:after="8" w:line="269" w:lineRule="auto"/>
                  </w:pPr>
                  <w:r>
                    <w:rPr>
                      <w:rFonts w:ascii="Arial" w:hAnsi="Arial" w:cs="Arial" w:eastAsia="Arial"/>
                      <w:b w:val="0"/>
                      <w:i w:val="0"/>
                      <w:color w:val="6B7280"/>
                      <w:sz w:val="16"/>
                    </w:rPr>
                    <w:t>- Do not lead with dedicated nodes, headless auth, or three-attempt thresholds.</w:t>
                  </w:r>
                </w:p>
              </w:tc>
            </w:tr>
          </w:tbl>
          <w:p/>
          <w:p>
            <w:pPr>
              <w:spacing w:before="0" w:after="20" w:line="269" w:lineRule="auto"/>
            </w:pPr>
            <w:r>
              <w:rPr>
                <w:rFonts w:ascii="Arial" w:hAnsi="Arial" w:cs="Arial" w:eastAsia="Arial"/>
                <w:b/>
                <w:i w:val="0"/>
                <w:color w:val="6B7280"/>
                <w:sz w:val="16"/>
              </w:rPr>
              <w:t>Claims to check</w:t>
            </w:r>
          </w:p>
          <w:p>
            <w:pPr>
              <w:spacing w:before="0" w:after="8" w:line="269" w:lineRule="auto"/>
            </w:pPr>
            <w:r>
              <w:rPr>
                <w:rFonts w:ascii="Arial" w:hAnsi="Arial" w:cs="Arial" w:eastAsia="Arial"/>
                <w:b w:val="0"/>
                <w:i w:val="0"/>
                <w:color w:val="6B7280"/>
                <w:sz w:val="16"/>
              </w:rPr>
              <w:t>Brex wrote up its Micronaut 4 migration</w:t>
            </w:r>
            <w:r>
              <w:rPr>
                <w:rFonts w:ascii="Arial" w:hAnsi="Arial" w:cs="Arial" w:eastAsia="Arial"/>
                <w:b w:val="0"/>
                <w:i w:val="0"/>
                <w:color w:val="6B7280"/>
                <w:sz w:val="16"/>
              </w:rPr>
              <w:t xml:space="preserve"> [1]</w:t>
            </w:r>
          </w:p>
          <w:p>
            <w:pPr>
              <w:spacing w:before="0" w:after="16" w:line="269" w:lineRule="auto"/>
            </w:pPr>
            <w:r>
              <w:rPr>
                <w:rFonts w:ascii="Arial" w:hAnsi="Arial" w:cs="Arial" w:eastAsia="Arial"/>
                <w:b w:val="0"/>
                <w:i/>
                <w:color w:val="6B7280"/>
                <w:sz w:val="16"/>
              </w:rPr>
              <w:t>"fully automate the Micronaut 4 upgrade across Brex’s microservices ecosystem"</w:t>
            </w:r>
          </w:p>
          <w:p>
            <w:pPr>
              <w:spacing w:before="0" w:after="8" w:line="269" w:lineRule="auto"/>
            </w:pPr>
            <w:r>
              <w:rPr>
                <w:rFonts w:ascii="Arial" w:hAnsi="Arial" w:cs="Arial" w:eastAsia="Arial"/>
                <w:b w:val="0"/>
                <w:i w:val="0"/>
                <w:color w:val="6B7280"/>
                <w:sz w:val="16"/>
              </w:rPr>
              <w:t>They use it across over 500 microservices</w:t>
            </w:r>
            <w:r>
              <w:rPr>
                <w:rFonts w:ascii="Arial" w:hAnsi="Arial" w:cs="Arial" w:eastAsia="Arial"/>
                <w:b w:val="0"/>
                <w:i w:val="0"/>
                <w:color w:val="6B7280"/>
                <w:sz w:val="16"/>
              </w:rPr>
              <w:t xml:space="preserve"> [1]</w:t>
            </w:r>
          </w:p>
          <w:p>
            <w:pPr>
              <w:spacing w:before="0" w:after="16" w:line="269" w:lineRule="auto"/>
            </w:pPr>
            <w:r>
              <w:rPr>
                <w:rFonts w:ascii="Arial" w:hAnsi="Arial" w:cs="Arial" w:eastAsia="Arial"/>
                <w:b w:val="0"/>
                <w:i/>
                <w:color w:val="6B7280"/>
                <w:sz w:val="16"/>
              </w:rPr>
              <w:t>"Our core Kotlin framework at Brex is Micronaut and we use it across over 500 microservices."</w:t>
            </w:r>
          </w:p>
          <w:p>
            <w:pPr>
              <w:spacing w:before="0" w:after="8" w:line="269" w:lineRule="auto"/>
            </w:pPr>
            <w:r>
              <w:rPr>
                <w:rFonts w:ascii="Arial" w:hAnsi="Arial" w:cs="Arial" w:eastAsia="Arial"/>
                <w:b w:val="0"/>
                <w:i w:val="0"/>
                <w:color w:val="6B7280"/>
                <w:sz w:val="16"/>
              </w:rPr>
              <w:t>The remainder still needs de-risking</w:t>
            </w:r>
            <w:r>
              <w:rPr>
                <w:rFonts w:ascii="Arial" w:hAnsi="Arial" w:cs="Arial" w:eastAsia="Arial"/>
                <w:b w:val="0"/>
                <w:i w:val="0"/>
                <w:color w:val="6B7280"/>
                <w:sz w:val="16"/>
              </w:rPr>
              <w:t xml:space="preserve"> [1]</w:t>
            </w:r>
          </w:p>
          <w:p>
            <w:pPr>
              <w:spacing w:before="0" w:after="16" w:line="269" w:lineRule="auto"/>
            </w:pPr>
            <w:r>
              <w:rPr>
                <w:rFonts w:ascii="Arial" w:hAnsi="Arial" w:cs="Arial" w:eastAsia="Arial"/>
                <w:b w:val="0"/>
                <w:i/>
                <w:color w:val="6B7280"/>
                <w:sz w:val="16"/>
              </w:rPr>
              <w:t>"To de-risk the remainder of this migration, we are looking beyond repository-level automation"</w:t>
            </w:r>
          </w:p>
          <w:p>
            <w:pPr>
              <w:spacing w:before="0" w:after="8" w:line="269" w:lineRule="auto"/>
            </w:pPr>
            <w:r>
              <w:rPr>
                <w:rFonts w:ascii="Arial" w:hAnsi="Arial" w:cs="Arial" w:eastAsia="Arial"/>
                <w:b w:val="0"/>
                <w:i w:val="0"/>
                <w:color w:val="6B7280"/>
                <w:sz w:val="16"/>
              </w:rPr>
              <w:t>That work unblocked the GraphQL federation upgrade</w:t>
            </w:r>
            <w:r>
              <w:rPr>
                <w:rFonts w:ascii="Arial" w:hAnsi="Arial" w:cs="Arial" w:eastAsia="Arial"/>
                <w:b w:val="0"/>
                <w:i w:val="0"/>
                <w:color w:val="6B7280"/>
                <w:sz w:val="16"/>
              </w:rPr>
              <w:t xml:space="preserve"> [1]</w:t>
            </w:r>
          </w:p>
          <w:p>
            <w:pPr>
              <w:spacing w:before="0" w:after="16" w:line="269" w:lineRule="auto"/>
            </w:pPr>
            <w:r>
              <w:rPr>
                <w:rFonts w:ascii="Arial" w:hAnsi="Arial" w:cs="Arial" w:eastAsia="Arial"/>
                <w:b w:val="0"/>
                <w:i/>
                <w:color w:val="6B7280"/>
                <w:sz w:val="16"/>
              </w:rPr>
              <w:t>"we unblocked critical downstream engineering initiatives, such as our GraphQL federation upgrade"</w:t>
            </w:r>
          </w:p>
          <w:p>
            <w:pPr>
              <w:spacing w:before="0" w:after="20" w:line="269" w:lineRule="auto"/>
            </w:pPr>
            <w:r>
              <w:rPr>
                <w:rFonts w:ascii="Arial" w:hAnsi="Arial" w:cs="Arial" w:eastAsia="Arial"/>
                <w:b w:val="0"/>
                <w:i w:val="0"/>
                <w:color w:val="6B7280"/>
                <w:sz w:val="16"/>
              </w:rPr>
              <w:t xml:space="preserve">Built from: </w:t>
            </w:r>
            <w:r>
              <w:rPr>
                <w:rFonts w:ascii="Arial" w:hAnsi="Arial" w:cs="Arial" w:eastAsia="Arial"/>
                <w:b w:val="0"/>
                <w:i w:val="0"/>
                <w:color w:val="6B7280"/>
                <w:sz w:val="16"/>
              </w:rPr>
              <w:t xml:space="preserve"> [1][16][17]</w:t>
            </w:r>
          </w:p>
        </w:tc>
      </w:tr>
    </w:tbl>
    <w:p>
      <w:pPr>
        <w:spacing w:after="200"/>
      </w:pP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F8FAFC" w:val="clear"/>
            <w:tcBorders>
              <w:top w:val="single" w:sz="4" w:color="E5E7EB" w:space="0"/>
              <w:left w:val="single" w:sz="16" w:color="0F766E" w:space="0"/>
              <w:bottom w:val="single" w:sz="4" w:color="E5E7EB" w:space="0"/>
              <w:right w:val="single" w:sz="4" w:color="E5E7EB" w:space="0"/>
            </w:tcBorders>
          </w:tcPr>
          <w:p>
            <w:pPr>
              <w:spacing w:before="0" w:after="40" w:line="269" w:lineRule="auto"/>
            </w:pPr>
            <w:r/>
            <w:r>
              <w:rPr>
                <w:rFonts w:ascii="Arial" w:hAnsi="Arial" w:cs="Arial" w:eastAsia="Arial"/>
                <w:b/>
                <w:i w:val="0"/>
                <w:color w:val="1F2937"/>
                <w:sz w:val="26"/>
              </w:rPr>
              <w:t>Phil Burrows</w:t>
            </w:r>
            <w:r>
              <w:rPr>
                <w:rFonts w:ascii="Arial" w:hAnsi="Arial" w:cs="Arial" w:eastAsia="Arial"/>
                <w:b/>
                <w:i w:val="0"/>
                <w:color w:val="0F766E"/>
                <w:sz w:val="16"/>
              </w:rPr>
              <w:t xml:space="preserve">   Champion</w:t>
            </w:r>
          </w:p>
          <w:p>
            <w:pPr>
              <w:spacing w:before="0" w:after="20" w:line="269" w:lineRule="auto"/>
            </w:pPr>
            <w:r>
              <w:rPr>
                <w:rFonts w:ascii="Arial" w:hAnsi="Arial" w:cs="Arial" w:eastAsia="Arial"/>
                <w:b/>
                <w:i w:val="0"/>
                <w:color w:val="6B7280"/>
                <w:sz w:val="18"/>
              </w:rPr>
              <w:t xml:space="preserve">Email — </w:t>
            </w:r>
            <w:r>
              <w:rPr>
                <w:rFonts w:ascii="Arial" w:hAnsi="Arial" w:cs="Arial" w:eastAsia="Arial"/>
                <w:b/>
                <w:i w:val="0"/>
                <w:color w:val="1F2937"/>
                <w:sz w:val="22"/>
              </w:rPr>
              <w:t>Covering the migration remainder</w:t>
            </w:r>
          </w:p>
          <w:p>
            <w:pPr>
              <w:spacing w:before="0" w:after="40" w:line="269" w:lineRule="auto"/>
            </w:pPr>
            <w:r>
              <w:rPr>
                <w:rFonts w:ascii="Arial" w:hAnsi="Arial" w:cs="Arial" w:eastAsia="Arial"/>
                <w:b w:val="0"/>
                <w:i w:val="0"/>
                <w:color w:val="1F2937"/>
                <w:sz w:val="22"/>
              </w:rPr>
              <w:t>Phil,</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The Micronaut 4 post called out a real platform cost: when agents ran from laptops, sleep or a dropped Wi-Fi connection broke the loop, so the team moved them onto self-hosted Cursor agents. That layer still has to be run and maintained for the remainder.</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A useful next step is the work the post already flagged: services whose test suites let agent PRs through, and the rest of the Micronaut 4 cutover. Itaú ran a 6x faster .NET to Java migration of 59 services with Devin.</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Open to 20 minutes on covering what's left?</w:t>
            </w:r>
          </w:p>
          <w:p>
            <w:pPr>
              <w:spacing w:before="0" w:after="20" w:line="269" w:lineRule="auto"/>
            </w:pPr>
            <w:r>
              <w:rPr>
                <w:rFonts w:ascii="Arial" w:hAnsi="Arial" w:cs="Arial" w:eastAsia="Arial"/>
                <w:b/>
                <w:i w:val="0"/>
                <w:color w:val="6B7280"/>
                <w:sz w:val="18"/>
              </w:rPr>
              <w:t>LinkedIn connection note</w:t>
            </w:r>
          </w:p>
          <w:p>
            <w:pPr>
              <w:spacing w:before="0" w:after="40" w:line="269" w:lineRule="auto"/>
            </w:pPr>
            <w:r>
              <w:rPr>
                <w:rFonts w:ascii="Arial" w:hAnsi="Arial" w:cs="Arial" w:eastAsia="Arial"/>
                <w:b w:val="0"/>
                <w:i w:val="0"/>
                <w:color w:val="1F2937"/>
                <w:sz w:val="20"/>
              </w:rPr>
              <w:t>Phil, read the Micronaut 4 post on moving agents off laptops. I work on Devin; we can take remaining services and test gaps without asking platform to rebuild the harness. Glad to connect.</w:t>
            </w:r>
          </w:p>
          <w:p>
            <w:pPr>
              <w:spacing w:before="0" w:after="20" w:line="269" w:lineRule="auto"/>
            </w:pPr>
            <w:r>
              <w:rPr>
                <w:rFonts w:ascii="Arial" w:hAnsi="Arial" w:cs="Arial" w:eastAsia="Arial"/>
                <w:b/>
                <w:i w:val="0"/>
                <w:color w:val="6B7280"/>
                <w:sz w:val="18"/>
              </w:rPr>
              <w:t>LinkedIn follow-up</w:t>
            </w:r>
          </w:p>
          <w:p>
            <w:pPr>
              <w:spacing w:before="0" w:after="40" w:line="269" w:lineRule="auto"/>
            </w:pPr>
            <w:r>
              <w:rPr>
                <w:rFonts w:ascii="Arial" w:hAnsi="Arial" w:cs="Arial" w:eastAsia="Arial"/>
                <w:b w:val="0"/>
                <w:i w:val="0"/>
                <w:color w:val="1F2937"/>
                <w:sz w:val="20"/>
              </w:rPr>
              <w:t>Phil, one more from the migration post: a few automated PRs passed all existing unit and integration tests and still caused subtle runtime bugs, because some services had gaps in their test suites. That remainder, plus harness upkeep, is the useful next wave alongside the pipeline you just published. Itaú used Devin to take test coverage from ~50% to ~90+%. If useful, I can share how they sequenced it next to an existing agent setup.</w:t>
            </w:r>
          </w:p>
          <w:tbl>
            <w:tblPr>
              <w:tblW w:type="dxa" w:w="9800"/>
              <w:tblLayout w:type="fixed"/>
              <w:tblLook w:firstColumn="1" w:firstRow="0" w:lastColumn="0" w:lastRow="0" w:noHBand="0" w:noVBand="1" w:val="04A0"/>
            </w:tblPr>
            <w:tblGrid>
              <w:gridCol w:w="9800"/>
            </w:tblGrid>
            <w:tr>
              <w:tc>
                <w:tcPr>
                  <w:tcW w:w="9800" w:type="dxa"/>
                  <w:tcMar>
                    <w:top w:w="60" w:type="dxa"/>
                    <w:left w:w="100" w:type="dxa"/>
                    <w:bottom w:w="60" w:type="dxa"/>
                    <w:right w:w="100" w:type="dxa"/>
                  </w:tcMar>
                  <w:shd w:fill="F3F4F6" w:val="clear"/>
                  <w:tcBorders>
                    <w:top w:val="single" w:sz="4" w:color="E5E7EB" w:space="0"/>
                    <w:left w:val="single" w:sz="4" w:color="E5E7EB" w:space="0"/>
                    <w:bottom w:val="single" w:sz="4" w:color="E5E7EB" w:space="0"/>
                    <w:right w:val="single" w:sz="4" w:color="E5E7EB" w:space="0"/>
                  </w:tcBorders>
                </w:tcPr>
                <w:p>
                  <w:pPr>
                    <w:spacing w:before="0" w:after="20" w:line="269" w:lineRule="auto"/>
                  </w:pPr>
                  <w:r>
                    <w:rPr>
                      <w:rFonts w:ascii="Arial" w:hAnsi="Arial" w:cs="Arial" w:eastAsia="Arial"/>
                      <w:b/>
                      <w:i w:val="0"/>
                      <w:color w:val="6B7280"/>
                      <w:sz w:val="16"/>
                    </w:rPr>
                    <w:t>Send notes  ·  rep only, never sent</w:t>
                  </w:r>
                </w:p>
                <w:p>
                  <w:pPr>
                    <w:spacing w:before="0" w:after="8" w:line="269" w:lineRule="auto"/>
                  </w:pPr>
                  <w:r>
                    <w:rPr>
                      <w:rFonts w:ascii="Arial" w:hAnsi="Arial" w:cs="Arial" w:eastAsia="Arial"/>
                      <w:b w:val="0"/>
                      <w:i w:val="0"/>
                      <w:color w:val="6B7280"/>
                      <w:sz w:val="16"/>
                    </w:rPr>
                    <w:t>- Angle: platform cost of keeping the self-hosted Cursor harness running for the remainder. He is not a Devin-usage champion.</w:t>
                  </w:r>
                </w:p>
                <w:p>
                  <w:pPr>
                    <w:spacing w:before="0" w:after="8" w:line="269" w:lineRule="auto"/>
                  </w:pPr>
                  <w:r>
                    <w:rPr>
                      <w:rFonts w:ascii="Arial" w:hAnsi="Arial" w:cs="Arial" w:eastAsia="Arial"/>
                      <w:b w:val="0"/>
                      <w:i w:val="0"/>
                      <w:color w:val="6B7280"/>
                      <w:sz w:val="16"/>
                    </w:rPr>
                    <w:t>- Displace: join the next wave (remainder, test gaps, harness upkeep). Do not tell him to throw away the pipeline they just published.</w:t>
                  </w:r>
                </w:p>
                <w:p>
                  <w:pPr>
                    <w:spacing w:before="0" w:after="8" w:line="269" w:lineRule="auto"/>
                  </w:pPr>
                  <w:r>
                    <w:rPr>
                      <w:rFonts w:ascii="Arial" w:hAnsi="Arial" w:cs="Arial" w:eastAsia="Arial"/>
                      <w:b w:val="0"/>
                      <w:i w:val="0"/>
                      <w:color w:val="6B7280"/>
                      <w:sz w:val="16"/>
                    </w:rPr>
                    <w:t>- LinkedIn is sendable.</w:t>
                  </w:r>
                </w:p>
              </w:tc>
            </w:tr>
          </w:tbl>
          <w:p/>
          <w:p>
            <w:pPr>
              <w:spacing w:before="0" w:after="20" w:line="269" w:lineRule="auto"/>
            </w:pPr>
            <w:r>
              <w:rPr>
                <w:rFonts w:ascii="Arial" w:hAnsi="Arial" w:cs="Arial" w:eastAsia="Arial"/>
                <w:b/>
                <w:i w:val="0"/>
                <w:color w:val="6B7280"/>
                <w:sz w:val="16"/>
              </w:rPr>
              <w:t>Claims to check</w:t>
            </w:r>
          </w:p>
          <w:p>
            <w:pPr>
              <w:spacing w:before="0" w:after="8" w:line="269" w:lineRule="auto"/>
            </w:pPr>
            <w:r>
              <w:rPr>
                <w:rFonts w:ascii="Arial" w:hAnsi="Arial" w:cs="Arial" w:eastAsia="Arial"/>
                <w:b w:val="0"/>
                <w:i w:val="0"/>
                <w:color w:val="6B7280"/>
                <w:sz w:val="16"/>
              </w:rPr>
              <w:t>If a laptop went to sleep or dropped its Wi-Fi connection, the agentic loop broke</w:t>
            </w:r>
            <w:r>
              <w:rPr>
                <w:rFonts w:ascii="Arial" w:hAnsi="Arial" w:cs="Arial" w:eastAsia="Arial"/>
                <w:b w:val="0"/>
                <w:i w:val="0"/>
                <w:color w:val="6B7280"/>
                <w:sz w:val="16"/>
              </w:rPr>
              <w:t xml:space="preserve"> [1]</w:t>
            </w:r>
          </w:p>
          <w:p>
            <w:pPr>
              <w:spacing w:before="0" w:after="16" w:line="269" w:lineRule="auto"/>
            </w:pPr>
            <w:r>
              <w:rPr>
                <w:rFonts w:ascii="Arial" w:hAnsi="Arial" w:cs="Arial" w:eastAsia="Arial"/>
                <w:b w:val="0"/>
                <w:i/>
                <w:color w:val="6B7280"/>
                <w:sz w:val="16"/>
              </w:rPr>
              <w:t>"If a laptop went to sleep, dropped its Wi-Fi connection, or was closed for a meeting, the agentic loop broke entirely."</w:t>
            </w:r>
          </w:p>
          <w:p>
            <w:pPr>
              <w:spacing w:before="0" w:after="8" w:line="269" w:lineRule="auto"/>
            </w:pPr>
            <w:r>
              <w:rPr>
                <w:rFonts w:ascii="Arial" w:hAnsi="Arial" w:cs="Arial" w:eastAsia="Arial"/>
                <w:b w:val="0"/>
                <w:i w:val="0"/>
                <w:color w:val="6B7280"/>
                <w:sz w:val="16"/>
              </w:rPr>
              <w:t>The team moved execution onto self-hosted Cursor agents</w:t>
            </w:r>
            <w:r>
              <w:rPr>
                <w:rFonts w:ascii="Arial" w:hAnsi="Arial" w:cs="Arial" w:eastAsia="Arial"/>
                <w:b w:val="0"/>
                <w:i w:val="0"/>
                <w:color w:val="6B7280"/>
                <w:sz w:val="16"/>
              </w:rPr>
              <w:t xml:space="preserve"> [1]</w:t>
            </w:r>
          </w:p>
          <w:p>
            <w:pPr>
              <w:spacing w:before="0" w:after="16" w:line="269" w:lineRule="auto"/>
            </w:pPr>
            <w:r>
              <w:rPr>
                <w:rFonts w:ascii="Arial" w:hAnsi="Arial" w:cs="Arial" w:eastAsia="Arial"/>
                <w:b w:val="0"/>
                <w:i/>
                <w:color w:val="6B7280"/>
                <w:sz w:val="16"/>
              </w:rPr>
              <w:t>"To eliminate the local machine bottleneck, we transitioned execution to custom, cloud-based, and self-hosted Cursor agents."</w:t>
            </w:r>
          </w:p>
          <w:p>
            <w:pPr>
              <w:spacing w:before="0" w:after="8" w:line="269" w:lineRule="auto"/>
            </w:pPr>
            <w:r>
              <w:rPr>
                <w:rFonts w:ascii="Arial" w:hAnsi="Arial" w:cs="Arial" w:eastAsia="Arial"/>
                <w:b w:val="0"/>
                <w:i w:val="0"/>
                <w:color w:val="6B7280"/>
                <w:sz w:val="16"/>
              </w:rPr>
              <w:t>A few automated PRs passed all existing unit and integration tests and still caused subtle runtime bugs</w:t>
            </w:r>
            <w:r>
              <w:rPr>
                <w:rFonts w:ascii="Arial" w:hAnsi="Arial" w:cs="Arial" w:eastAsia="Arial"/>
                <w:b w:val="0"/>
                <w:i w:val="0"/>
                <w:color w:val="6B7280"/>
                <w:sz w:val="16"/>
              </w:rPr>
              <w:t xml:space="preserve"> [1]</w:t>
            </w:r>
          </w:p>
          <w:p>
            <w:pPr>
              <w:spacing w:before="0" w:after="16" w:line="269" w:lineRule="auto"/>
            </w:pPr>
            <w:r>
              <w:rPr>
                <w:rFonts w:ascii="Arial" w:hAnsi="Arial" w:cs="Arial" w:eastAsia="Arial"/>
                <w:b w:val="0"/>
                <w:i/>
                <w:color w:val="6B7280"/>
                <w:sz w:val="16"/>
              </w:rPr>
              <w:t>"a few automated PRs passed all existing unit and integration tests cleanly, only to cause subtle runtime bugs once they hit production traffic"</w:t>
            </w:r>
          </w:p>
          <w:p>
            <w:pPr>
              <w:spacing w:before="0" w:after="8" w:line="269" w:lineRule="auto"/>
            </w:pPr>
            <w:r>
              <w:rPr>
                <w:rFonts w:ascii="Arial" w:hAnsi="Arial" w:cs="Arial" w:eastAsia="Arial"/>
                <w:b w:val="0"/>
                <w:i w:val="0"/>
                <w:color w:val="6B7280"/>
                <w:sz w:val="16"/>
              </w:rPr>
              <w:t>Some services had gaps in their test suites</w:t>
            </w:r>
            <w:r>
              <w:rPr>
                <w:rFonts w:ascii="Arial" w:hAnsi="Arial" w:cs="Arial" w:eastAsia="Arial"/>
                <w:b w:val="0"/>
                <w:i w:val="0"/>
                <w:color w:val="6B7280"/>
                <w:sz w:val="16"/>
              </w:rPr>
              <w:t xml:space="preserve"> [1]</w:t>
            </w:r>
          </w:p>
          <w:p>
            <w:pPr>
              <w:spacing w:before="0" w:after="16" w:line="269" w:lineRule="auto"/>
            </w:pPr>
            <w:r>
              <w:rPr>
                <w:rFonts w:ascii="Arial" w:hAnsi="Arial" w:cs="Arial" w:eastAsia="Arial"/>
                <w:b w:val="0"/>
                <w:i/>
                <w:color w:val="6B7280"/>
                <w:sz w:val="16"/>
              </w:rPr>
              <w:t>"because certain services had gaps in their test suites or lacked robust monitoring, anomalies slipped through."</w:t>
            </w:r>
          </w:p>
          <w:p>
            <w:pPr>
              <w:spacing w:before="0" w:after="20" w:line="269" w:lineRule="auto"/>
            </w:pPr>
            <w:r>
              <w:rPr>
                <w:rFonts w:ascii="Arial" w:hAnsi="Arial" w:cs="Arial" w:eastAsia="Arial"/>
                <w:b w:val="0"/>
                <w:i w:val="0"/>
                <w:color w:val="6B7280"/>
                <w:sz w:val="16"/>
              </w:rPr>
              <w:t xml:space="preserve">Built from: </w:t>
            </w:r>
            <w:r>
              <w:rPr>
                <w:rFonts w:ascii="Arial" w:hAnsi="Arial" w:cs="Arial" w:eastAsia="Arial"/>
                <w:b w:val="0"/>
                <w:i w:val="0"/>
                <w:color w:val="6B7280"/>
                <w:sz w:val="16"/>
              </w:rPr>
              <w:t xml:space="preserve"> [1][18]</w:t>
            </w:r>
          </w:p>
        </w:tc>
      </w:tr>
    </w:tbl>
    <w:p>
      <w:pPr>
        <w:spacing w:after="200"/>
      </w:pP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F8FAFC" w:val="clear"/>
            <w:tcBorders>
              <w:top w:val="single" w:sz="4" w:color="E5E7EB" w:space="0"/>
              <w:left w:val="single" w:sz="16" w:color="6D28D9" w:space="0"/>
              <w:bottom w:val="single" w:sz="4" w:color="E5E7EB" w:space="0"/>
              <w:right w:val="single" w:sz="4" w:color="E5E7EB" w:space="0"/>
            </w:tcBorders>
          </w:tcPr>
          <w:p>
            <w:pPr>
              <w:spacing w:before="0" w:after="40" w:line="269" w:lineRule="auto"/>
            </w:pPr>
            <w:r/>
            <w:r>
              <w:rPr>
                <w:rFonts w:ascii="Arial" w:hAnsi="Arial" w:cs="Arial" w:eastAsia="Arial"/>
                <w:b/>
                <w:i w:val="0"/>
                <w:color w:val="1F2937"/>
                <w:sz w:val="26"/>
              </w:rPr>
              <w:t>Sridhar Mocherla</w:t>
            </w:r>
            <w:r>
              <w:rPr>
                <w:rFonts w:ascii="Arial" w:hAnsi="Arial" w:cs="Arial" w:eastAsia="Arial"/>
                <w:b/>
                <w:i w:val="0"/>
                <w:color w:val="6D28D9"/>
                <w:sz w:val="16"/>
              </w:rPr>
              <w:t xml:space="preserve">   Technical evaluator</w:t>
            </w:r>
          </w:p>
          <w:p>
            <w:pPr>
              <w:spacing w:before="0" w:after="20" w:line="269" w:lineRule="auto"/>
            </w:pPr>
            <w:r>
              <w:rPr>
                <w:rFonts w:ascii="Arial" w:hAnsi="Arial" w:cs="Arial" w:eastAsia="Arial"/>
                <w:b/>
                <w:i w:val="0"/>
                <w:color w:val="6B7280"/>
                <w:sz w:val="18"/>
              </w:rPr>
              <w:t xml:space="preserve">Email — </w:t>
            </w:r>
            <w:r>
              <w:rPr>
                <w:rFonts w:ascii="Arial" w:hAnsi="Arial" w:cs="Arial" w:eastAsia="Arial"/>
                <w:b/>
                <w:i w:val="0"/>
                <w:color w:val="1F2937"/>
                <w:sz w:val="22"/>
              </w:rPr>
              <w:t>One service on Bazel</w:t>
            </w:r>
          </w:p>
          <w:p>
            <w:pPr>
              <w:spacing w:before="0" w:after="40" w:line="269" w:lineRule="auto"/>
            </w:pPr>
            <w:r>
              <w:rPr>
                <w:rFonts w:ascii="Arial" w:hAnsi="Arial" w:cs="Arial" w:eastAsia="Arial"/>
                <w:b w:val="0"/>
                <w:i w:val="0"/>
                <w:color w:val="1F2937"/>
                <w:sz w:val="22"/>
              </w:rPr>
              <w:t>Sridhar,</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Your profile lists GraphQL Federation, Bazel and Micronaut. The Micronaut 4 post said OpenRewrite was evaluated but its Bazel support was limited, so the team built agents to do the upgrade inside the monorepo.</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Devin would run that remaining work the same way: inside the Bazel graph, targeting Micronaut 4, opening PRs per service for review. A fair first test is one service you already know is next.</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Nubank reported an 8x engineering time efficiency gain on migration work with Devin.</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Worth walking through one service together?</w:t>
            </w:r>
          </w:p>
          <w:p>
            <w:pPr>
              <w:spacing w:before="0" w:after="20" w:line="269" w:lineRule="auto"/>
            </w:pPr>
            <w:r>
              <w:rPr>
                <w:rFonts w:ascii="Arial" w:hAnsi="Arial" w:cs="Arial" w:eastAsia="Arial"/>
                <w:b/>
                <w:i w:val="0"/>
                <w:color w:val="6B7280"/>
                <w:sz w:val="18"/>
              </w:rPr>
              <w:t>LinkedIn connection note</w:t>
            </w:r>
          </w:p>
          <w:p>
            <w:pPr>
              <w:spacing w:before="0" w:after="40" w:line="269" w:lineRule="auto"/>
            </w:pPr>
            <w:r>
              <w:rPr>
                <w:rFonts w:ascii="Arial" w:hAnsi="Arial" w:cs="Arial" w:eastAsia="Arial"/>
                <w:b w:val="0"/>
                <w:i w:val="0"/>
                <w:color w:val="1F2937"/>
                <w:sz w:val="20"/>
              </w:rPr>
              <w:t>Sridhar, saw GraphQL Federation, Bazel and Micronaut on your profile and read the Micronaut 4 post. I work on Devin; a side-by-side on one remaining service is a fair test. Happy to connect.</w:t>
            </w:r>
          </w:p>
          <w:p>
            <w:pPr>
              <w:spacing w:before="0" w:after="20" w:line="269" w:lineRule="auto"/>
            </w:pPr>
            <w:r>
              <w:rPr>
                <w:rFonts w:ascii="Arial" w:hAnsi="Arial" w:cs="Arial" w:eastAsia="Arial"/>
                <w:b/>
                <w:i w:val="0"/>
                <w:color w:val="6B7280"/>
                <w:sz w:val="18"/>
              </w:rPr>
              <w:t>LinkedIn follow-up</w:t>
            </w:r>
          </w:p>
          <w:p>
            <w:pPr>
              <w:spacing w:before="0" w:after="40" w:line="269" w:lineRule="auto"/>
            </w:pPr>
            <w:r>
              <w:rPr>
                <w:rFonts w:ascii="Arial" w:hAnsi="Arial" w:cs="Arial" w:eastAsia="Arial"/>
                <w:b w:val="0"/>
                <w:i w:val="0"/>
                <w:color w:val="1F2937"/>
                <w:sz w:val="20"/>
              </w:rPr>
              <w:t>Sridhar, one more on the Bazel constraint. The Micronaut 4 post said OpenRewrite was evaluated but its Bazel support was limited, which is why the team built a self-hosted agent pipeline. Devin works inside the repo and the tools you already use, so a side-by-side on a handful of remaining services is a fair test: same Bazel graph, same Micronaut 4 target, engineers review the PRs. If it's useful I can set that up on one service you already know is next.</w:t>
            </w:r>
          </w:p>
          <w:tbl>
            <w:tblPr>
              <w:tblW w:type="dxa" w:w="9800"/>
              <w:tblLayout w:type="fixed"/>
              <w:tblLook w:firstColumn="1" w:firstRow="0" w:lastColumn="0" w:lastRow="0" w:noHBand="0" w:noVBand="1" w:val="04A0"/>
            </w:tblPr>
            <w:tblGrid>
              <w:gridCol w:w="9800"/>
            </w:tblGrid>
            <w:tr>
              <w:tc>
                <w:tcPr>
                  <w:tcW w:w="9800" w:type="dxa"/>
                  <w:tcMar>
                    <w:top w:w="60" w:type="dxa"/>
                    <w:left w:w="100" w:type="dxa"/>
                    <w:bottom w:w="60" w:type="dxa"/>
                    <w:right w:w="100" w:type="dxa"/>
                  </w:tcMar>
                  <w:shd w:fill="F3F4F6" w:val="clear"/>
                  <w:tcBorders>
                    <w:top w:val="single" w:sz="4" w:color="E5E7EB" w:space="0"/>
                    <w:left w:val="single" w:sz="4" w:color="E5E7EB" w:space="0"/>
                    <w:bottom w:val="single" w:sz="4" w:color="E5E7EB" w:space="0"/>
                    <w:right w:val="single" w:sz="4" w:color="E5E7EB" w:space="0"/>
                  </w:tcBorders>
                </w:tcPr>
                <w:p>
                  <w:pPr>
                    <w:spacing w:before="0" w:after="20" w:line="269" w:lineRule="auto"/>
                  </w:pPr>
                  <w:r>
                    <w:rPr>
                      <w:rFonts w:ascii="Arial" w:hAnsi="Arial" w:cs="Arial" w:eastAsia="Arial"/>
                      <w:b/>
                      <w:i w:val="0"/>
                      <w:color w:val="6B7280"/>
                      <w:sz w:val="16"/>
                    </w:rPr>
                    <w:t>Send notes  ·  rep only, never sent</w:t>
                  </w:r>
                </w:p>
                <w:p>
                  <w:pPr>
                    <w:spacing w:before="0" w:after="8" w:line="269" w:lineRule="auto"/>
                  </w:pPr>
                  <w:r>
                    <w:rPr>
                      <w:rFonts w:ascii="Arial" w:hAnsi="Arial" w:cs="Arial" w:eastAsia="Arial"/>
                      <w:b w:val="0"/>
                      <w:i w:val="0"/>
                      <w:color w:val="6B7280"/>
                      <w:sz w:val="16"/>
                    </w:rPr>
                    <w:t>- Angle: how Devin would run on Bazel / Micronaut / GraphQL Federation, one service at a time. Evaluator, not a name-swap of the CTO email.</w:t>
                  </w:r>
                </w:p>
                <w:p>
                  <w:pPr>
                    <w:spacing w:before="0" w:after="8" w:line="269" w:lineRule="auto"/>
                  </w:pPr>
                  <w:r>
                    <w:rPr>
                      <w:rFonts w:ascii="Arial" w:hAnsi="Arial" w:cs="Arial" w:eastAsia="Arial"/>
                      <w:b w:val="0"/>
                      <w:i w:val="0"/>
                      <w:color w:val="6B7280"/>
                      <w:sz w:val="16"/>
                    </w:rPr>
                    <w:t>- Do not quote Aggregate Time to Find or other LinkedIn prior-job trivia. The hook is the current stack.</w:t>
                  </w:r>
                </w:p>
                <w:p>
                  <w:pPr>
                    <w:spacing w:before="0" w:after="8" w:line="269" w:lineRule="auto"/>
                  </w:pPr>
                  <w:r>
                    <w:rPr>
                      <w:rFonts w:ascii="Arial" w:hAnsi="Arial" w:cs="Arial" w:eastAsia="Arial"/>
                      <w:b w:val="0"/>
                      <w:i w:val="0"/>
                      <w:color w:val="6B7280"/>
                      <w:sz w:val="16"/>
                    </w:rPr>
                    <w:t>- LinkedIn follow-up is sendable; it is a side-by-side on remaining services, not a product tour.</w:t>
                  </w:r>
                </w:p>
              </w:tc>
            </w:tr>
          </w:tbl>
          <w:p/>
          <w:p>
            <w:pPr>
              <w:spacing w:before="0" w:after="20" w:line="269" w:lineRule="auto"/>
            </w:pPr>
            <w:r>
              <w:rPr>
                <w:rFonts w:ascii="Arial" w:hAnsi="Arial" w:cs="Arial" w:eastAsia="Arial"/>
                <w:b/>
                <w:i w:val="0"/>
                <w:color w:val="6B7280"/>
                <w:sz w:val="16"/>
              </w:rPr>
              <w:t>Claims to check</w:t>
            </w:r>
          </w:p>
          <w:p>
            <w:pPr>
              <w:spacing w:before="0" w:after="8" w:line="269" w:lineRule="auto"/>
            </w:pPr>
            <w:r>
              <w:rPr>
                <w:rFonts w:ascii="Arial" w:hAnsi="Arial" w:cs="Arial" w:eastAsia="Arial"/>
                <w:b w:val="0"/>
                <w:i w:val="0"/>
                <w:color w:val="6B7280"/>
                <w:sz w:val="16"/>
              </w:rPr>
              <w:t>Sridhar's profile lists GraphQL Federation, Bazel and Micronaut</w:t>
            </w:r>
            <w:r>
              <w:rPr>
                <w:rFonts w:ascii="Arial" w:hAnsi="Arial" w:cs="Arial" w:eastAsia="Arial"/>
                <w:b w:val="0"/>
                <w:i w:val="0"/>
                <w:color w:val="6B7280"/>
                <w:sz w:val="16"/>
              </w:rPr>
              <w:t xml:space="preserve"> [11]</w:t>
            </w:r>
          </w:p>
          <w:p>
            <w:pPr>
              <w:spacing w:before="0" w:after="16" w:line="269" w:lineRule="auto"/>
            </w:pPr>
            <w:r>
              <w:rPr>
                <w:rFonts w:ascii="Arial" w:hAnsi="Arial" w:cs="Arial" w:eastAsia="Arial"/>
                <w:b w:val="0"/>
                <w:i/>
                <w:color w:val="6B7280"/>
                <w:sz w:val="16"/>
              </w:rPr>
              <w:t>"GraphQL Federation, Bazel, Polyglot development(Protobuf, Go, Typescript, Python, Kotlin/JVM, Elixir), Micronaut"</w:t>
            </w:r>
          </w:p>
          <w:p>
            <w:pPr>
              <w:spacing w:before="0" w:after="8" w:line="269" w:lineRule="auto"/>
            </w:pPr>
            <w:r>
              <w:rPr>
                <w:rFonts w:ascii="Arial" w:hAnsi="Arial" w:cs="Arial" w:eastAsia="Arial"/>
                <w:b w:val="0"/>
                <w:i w:val="0"/>
                <w:color w:val="6B7280"/>
                <w:sz w:val="16"/>
              </w:rPr>
              <w:t>OpenRewrite was evaluated, but its Bazel support was limited</w:t>
            </w:r>
            <w:r>
              <w:rPr>
                <w:rFonts w:ascii="Arial" w:hAnsi="Arial" w:cs="Arial" w:eastAsia="Arial"/>
                <w:b w:val="0"/>
                <w:i w:val="0"/>
                <w:color w:val="6B7280"/>
                <w:sz w:val="16"/>
              </w:rPr>
              <w:t xml:space="preserve"> [1]</w:t>
            </w:r>
          </w:p>
          <w:p>
            <w:pPr>
              <w:spacing w:before="0" w:after="16" w:line="269" w:lineRule="auto"/>
            </w:pPr>
            <w:r>
              <w:rPr>
                <w:rFonts w:ascii="Arial" w:hAnsi="Arial" w:cs="Arial" w:eastAsia="Arial"/>
                <w:b w:val="0"/>
                <w:i/>
                <w:color w:val="6B7280"/>
                <w:sz w:val="16"/>
              </w:rPr>
              <w:t>"We evaluated OpenRewrite OSS...but its Bazel support was limited"</w:t>
            </w:r>
          </w:p>
          <w:p>
            <w:pPr>
              <w:spacing w:before="0" w:after="20" w:line="269" w:lineRule="auto"/>
            </w:pPr>
            <w:r>
              <w:rPr>
                <w:rFonts w:ascii="Arial" w:hAnsi="Arial" w:cs="Arial" w:eastAsia="Arial"/>
                <w:b w:val="0"/>
                <w:i w:val="0"/>
                <w:color w:val="6B7280"/>
                <w:sz w:val="16"/>
              </w:rPr>
              <w:t xml:space="preserve">Built from: </w:t>
            </w:r>
            <w:r>
              <w:rPr>
                <w:rFonts w:ascii="Arial" w:hAnsi="Arial" w:cs="Arial" w:eastAsia="Arial"/>
                <w:b w:val="0"/>
                <w:i w:val="0"/>
                <w:color w:val="6B7280"/>
                <w:sz w:val="16"/>
              </w:rPr>
              <w:t xml:space="preserve"> [1][11][16]</w:t>
            </w:r>
          </w:p>
        </w:tc>
      </w:tr>
    </w:tbl>
    <w:p>
      <w:pPr>
        <w:spacing w:after="200"/>
      </w:pPr>
    </w:p>
    <w:p>
      <w:pPr>
        <w:spacing w:before="200" w:after="80"/>
      </w:pPr>
      <w:r>
        <w:rPr>
          <w:rFonts w:ascii="Arial" w:hAnsi="Arial" w:cs="Arial" w:eastAsia="Arial"/>
          <w:b/>
          <w:i w:val="0"/>
          <w:color w:val="1F2937"/>
          <w:sz w:val="24"/>
        </w:rPr>
        <w:t>ABM themes</w:t>
      </w:r>
    </w:p>
    <w:p>
      <w:pPr>
        <w:spacing w:after="120"/>
      </w:pPr>
      <w:r>
        <w:rPr>
          <w:rFonts w:ascii="Arial" w:hAnsi="Arial" w:cs="Arial" w:eastAsia="Arial"/>
          <w:b w:val="0"/>
          <w:i w:val="0"/>
          <w:color w:val="1F2937"/>
          <w:sz w:val="20"/>
        </w:rPr>
        <w:t>Finish the migration without maintaining the harness. Brex had to build dedicated nodes, headless auth and laptop-independent execution to run agents at scale; Devin provides that layer.</w:t>
      </w:r>
      <w:r>
        <w:rPr>
          <w:rFonts w:ascii="Arial" w:hAnsi="Arial" w:cs="Arial" w:eastAsia="Arial"/>
          <w:b w:val="0"/>
          <w:i w:val="0"/>
          <w:color w:val="6B7280"/>
          <w:sz w:val="16"/>
        </w:rPr>
        <w:t xml:space="preserve"> [1][19]</w:t>
      </w:r>
    </w:p>
    <w:p>
      <w:pPr>
        <w:spacing w:after="120"/>
      </w:pPr>
      <w:r>
        <w:rPr>
          <w:rFonts w:ascii="Arial" w:hAnsi="Arial" w:cs="Arial" w:eastAsia="Arial"/>
          <w:b w:val="0"/>
          <w:i w:val="0"/>
          <w:color w:val="1F2937"/>
          <w:sz w:val="20"/>
        </w:rPr>
        <w:t>Validation gates before the next upgrade wave. Brex says weak test suites let agent PRs through, so lead with test generation backed by Itaú's coverage proof.</w:t>
      </w:r>
      <w:r>
        <w:rPr>
          <w:rFonts w:ascii="Arial" w:hAnsi="Arial" w:cs="Arial" w:eastAsia="Arial"/>
          <w:b w:val="0"/>
          <w:i w:val="0"/>
          <w:color w:val="6B7280"/>
          <w:sz w:val="16"/>
        </w:rPr>
        <w:t xml:space="preserve"> [1][18]</w:t>
      </w:r>
    </w:p>
    <w:p>
      <w:pPr>
        <w:spacing w:after="120"/>
      </w:pPr>
      <w:r>
        <w:rPr>
          <w:rFonts w:ascii="Arial" w:hAnsi="Arial" w:cs="Arial" w:eastAsia="Arial"/>
          <w:b w:val="0"/>
          <w:i w:val="0"/>
          <w:color w:val="1F2937"/>
          <w:sz w:val="20"/>
        </w:rPr>
        <w:t>Fintech peers on Devin: Nubank and Itaú for migrations, and Ramp, a named Brex competitor, for tech debt.</w:t>
      </w:r>
      <w:r>
        <w:rPr>
          <w:rFonts w:ascii="Arial" w:hAnsi="Arial" w:cs="Arial" w:eastAsia="Arial"/>
          <w:b w:val="0"/>
          <w:i w:val="0"/>
          <w:color w:val="6B7280"/>
          <w:sz w:val="16"/>
        </w:rPr>
        <w:t xml:space="preserve"> [8][16][17]</w:t>
      </w:r>
    </w:p>
    <w:p>
      <w:pPr>
        <w:spacing w:before="200" w:after="80"/>
      </w:pPr>
      <w:r>
        <w:rPr>
          <w:rFonts w:ascii="Arial" w:hAnsi="Arial" w:cs="Arial" w:eastAsia="Arial"/>
          <w:b/>
          <w:i w:val="0"/>
          <w:color w:val="1F2937"/>
          <w:sz w:val="24"/>
        </w:rPr>
        <w:t>Sources</w:t>
      </w:r>
    </w:p>
    <w:p>
      <w:pPr>
        <w:spacing w:after="40"/>
      </w:pPr>
      <w:r>
        <w:rPr>
          <w:rFonts w:ascii="Arial" w:hAnsi="Arial" w:cs="Arial" w:eastAsia="Arial"/>
          <w:b w:val="0"/>
          <w:i w:val="0"/>
          <w:color w:val="6B7280"/>
          <w:sz w:val="16"/>
        </w:rPr>
        <w:t xml:space="preserve">1. </w:t>
      </w:r>
      <w:hyperlink r:id="rId13">
        <w:r>
          <w:rPr>
            <w:rFonts w:ascii="Arial" w:hAnsi="Arial" w:cs="Arial" w:eastAsia="Arial"/>
            <w:sz w:val="18"/>
            <w:color w:val="0563C1"/>
            <w:u w:val="single"/>
          </w:rPr>
          <w:t xml:space="preserve">Agent automations for big migrations: How we accelerated ...</w:t>
        </w:r>
      </w:hyperlink>
      <w:r>
        <w:rPr>
          <w:rFonts w:ascii="Arial" w:hAnsi="Arial" w:cs="Arial" w:eastAsia="Arial"/>
          <w:b w:val="0"/>
          <w:i w:val="0"/>
          <w:color w:val="6B7280"/>
          <w:sz w:val="16"/>
        </w:rPr>
        <w:t xml:space="preserve">  — retrieved 2026-10-08</w:t>
      </w:r>
    </w:p>
    <w:p>
      <w:pPr>
        <w:spacing w:after="40"/>
      </w:pPr>
      <w:r>
        <w:rPr>
          <w:rFonts w:ascii="Arial" w:hAnsi="Arial" w:cs="Arial" w:eastAsia="Arial"/>
          <w:b w:val="0"/>
          <w:i w:val="0"/>
          <w:color w:val="6B7280"/>
          <w:sz w:val="16"/>
        </w:rPr>
        <w:t xml:space="preserve">2. </w:t>
      </w:r>
      <w:hyperlink r:id="rId14">
        <w:r>
          <w:rPr>
            <w:rFonts w:ascii="Arial" w:hAnsi="Arial" w:cs="Arial" w:eastAsia="Arial"/>
            <w:sz w:val="18"/>
            <w:color w:val="0563C1"/>
            <w:u w:val="single"/>
          </w:rPr>
          <w:t xml:space="preserve">Nobody wants to be the engineer manually doing a big, painful, and slow framework upgrade for a quarter. Sofhia de Souza Gonçalves built a self-correcting agent pipeline in Cursor instead, and accelerated … | Brex</w:t>
        </w:r>
      </w:hyperlink>
      <w:r>
        <w:rPr>
          <w:rFonts w:ascii="Arial" w:hAnsi="Arial" w:cs="Arial" w:eastAsia="Arial"/>
          <w:b w:val="0"/>
          <w:i w:val="0"/>
          <w:color w:val="6B7280"/>
          <w:sz w:val="16"/>
        </w:rPr>
        <w:t xml:space="preserve">  — published 2026-07-22, retrieved 2026-10-08</w:t>
      </w:r>
    </w:p>
    <w:p>
      <w:pPr>
        <w:spacing w:after="40"/>
      </w:pPr>
      <w:r>
        <w:rPr>
          <w:rFonts w:ascii="Arial" w:hAnsi="Arial" w:cs="Arial" w:eastAsia="Arial"/>
          <w:b w:val="0"/>
          <w:i w:val="0"/>
          <w:color w:val="6B7280"/>
          <w:sz w:val="16"/>
        </w:rPr>
        <w:t xml:space="preserve">3. </w:t>
      </w:r>
      <w:hyperlink r:id="rId15">
        <w:r>
          <w:rPr>
            <w:rFonts w:ascii="Arial" w:hAnsi="Arial" w:cs="Arial" w:eastAsia="Arial"/>
            <w:sz w:val="18"/>
            <w:color w:val="0563C1"/>
            <w:u w:val="single"/>
          </w:rPr>
          <w:t xml:space="preserve">Daniel Jimenez</w:t>
        </w:r>
      </w:hyperlink>
      <w:r>
        <w:rPr>
          <w:rFonts w:ascii="Arial" w:hAnsi="Arial" w:cs="Arial" w:eastAsia="Arial"/>
          <w:b w:val="0"/>
          <w:i w:val="0"/>
          <w:color w:val="6B7280"/>
          <w:sz w:val="16"/>
        </w:rPr>
        <w:t xml:space="preserve">  — published 2026-09-25, retrieved 2026-10-08</w:t>
      </w:r>
    </w:p>
    <w:p>
      <w:pPr>
        <w:spacing w:after="40"/>
      </w:pPr>
      <w:r>
        <w:rPr>
          <w:rFonts w:ascii="Arial" w:hAnsi="Arial" w:cs="Arial" w:eastAsia="Arial"/>
          <w:b w:val="0"/>
          <w:i w:val="0"/>
          <w:color w:val="6B7280"/>
          <w:sz w:val="16"/>
        </w:rPr>
        <w:t xml:space="preserve">4. </w:t>
      </w:r>
      <w:hyperlink r:id="rId16">
        <w:r>
          <w:rPr>
            <w:rFonts w:ascii="Arial" w:hAnsi="Arial" w:cs="Arial" w:eastAsia="Arial"/>
            <w:sz w:val="18"/>
            <w:color w:val="0563C1"/>
            <w:u w:val="single"/>
          </w:rPr>
          <w:t xml:space="preserve">Building autonomous agents for technical tasks: 5 lessons learned</w:t>
        </w:r>
      </w:hyperlink>
      <w:r>
        <w:rPr>
          <w:rFonts w:ascii="Arial" w:hAnsi="Arial" w:cs="Arial" w:eastAsia="Arial"/>
          <w:b w:val="0"/>
          <w:i w:val="0"/>
          <w:color w:val="6B7280"/>
          <w:sz w:val="16"/>
        </w:rPr>
        <w:t xml:space="preserve">  — retrieved 2026-10-08</w:t>
      </w:r>
    </w:p>
    <w:p>
      <w:pPr>
        <w:spacing w:after="40"/>
      </w:pPr>
      <w:r>
        <w:rPr>
          <w:rFonts w:ascii="Arial" w:hAnsi="Arial" w:cs="Arial" w:eastAsia="Arial"/>
          <w:b w:val="0"/>
          <w:i w:val="0"/>
          <w:color w:val="6B7280"/>
          <w:sz w:val="16"/>
        </w:rPr>
        <w:t xml:space="preserve">5. </w:t>
      </w:r>
      <w:r>
        <w:rPr>
          <w:rFonts w:ascii="Arial" w:hAnsi="Arial" w:cs="Arial" w:eastAsia="Arial"/>
          <w:b w:val="0"/>
          <w:i w:val="0"/>
          <w:color w:val="6B7280"/>
          <w:sz w:val="16"/>
        </w:rPr>
        <w:t>Apollo organization record: Brex</w:t>
      </w:r>
      <w:r>
        <w:rPr>
          <w:rFonts w:ascii="Arial" w:hAnsi="Arial" w:cs="Arial" w:eastAsia="Arial"/>
          <w:b w:val="0"/>
          <w:i w:val="0"/>
          <w:color w:val="6B7280"/>
          <w:sz w:val="16"/>
        </w:rPr>
        <w:t xml:space="preserve">  — retrieved 2026-10-08</w:t>
      </w:r>
    </w:p>
    <w:p>
      <w:pPr>
        <w:spacing w:after="40"/>
      </w:pPr>
      <w:r>
        <w:rPr>
          <w:rFonts w:ascii="Arial" w:hAnsi="Arial" w:cs="Arial" w:eastAsia="Arial"/>
          <w:b w:val="0"/>
          <w:i w:val="0"/>
          <w:color w:val="6B7280"/>
          <w:sz w:val="16"/>
        </w:rPr>
        <w:t xml:space="preserve">6. </w:t>
      </w:r>
      <w:hyperlink r:id="rId17">
        <w:r>
          <w:rPr>
            <w:rFonts w:ascii="Arial" w:hAnsi="Arial" w:cs="Arial" w:eastAsia="Arial"/>
            <w:sz w:val="18"/>
            <w:color w:val="0563C1"/>
            <w:u w:val="single"/>
          </w:rPr>
          <w:t xml:space="preserve">Brex Number of Employees 2026 - Revelio Labs</w:t>
        </w:r>
      </w:hyperlink>
      <w:r>
        <w:rPr>
          <w:rFonts w:ascii="Arial" w:hAnsi="Arial" w:cs="Arial" w:eastAsia="Arial"/>
          <w:b w:val="0"/>
          <w:i w:val="0"/>
          <w:color w:val="6B7280"/>
          <w:sz w:val="16"/>
        </w:rPr>
        <w:t xml:space="preserve">  — published 2026-08-31, retrieved 2026-10-08</w:t>
      </w:r>
    </w:p>
    <w:p>
      <w:pPr>
        <w:spacing w:after="40"/>
      </w:pPr>
      <w:r>
        <w:rPr>
          <w:rFonts w:ascii="Arial" w:hAnsi="Arial" w:cs="Arial" w:eastAsia="Arial"/>
          <w:b w:val="0"/>
          <w:i w:val="0"/>
          <w:color w:val="6B7280"/>
          <w:sz w:val="16"/>
        </w:rPr>
        <w:t xml:space="preserve">7. </w:t>
      </w:r>
      <w:hyperlink r:id="rId18">
        <w:r>
          <w:rPr>
            <w:rFonts w:ascii="Arial" w:hAnsi="Arial" w:cs="Arial" w:eastAsia="Arial"/>
            <w:sz w:val="18"/>
            <w:color w:val="0563C1"/>
            <w:u w:val="single"/>
          </w:rPr>
          <w:t xml:space="preserve">Brex 2026 Company Profile: Valuation, Investors, Acquisition | PitchBook</w:t>
        </w:r>
      </w:hyperlink>
      <w:r>
        <w:rPr>
          <w:rFonts w:ascii="Arial" w:hAnsi="Arial" w:cs="Arial" w:eastAsia="Arial"/>
          <w:b w:val="0"/>
          <w:i w:val="0"/>
          <w:color w:val="6B7280"/>
          <w:sz w:val="16"/>
        </w:rPr>
        <w:t xml:space="preserve">  — retrieved 2026-10-08</w:t>
      </w:r>
    </w:p>
    <w:p>
      <w:pPr>
        <w:spacing w:after="40"/>
      </w:pPr>
      <w:r>
        <w:rPr>
          <w:rFonts w:ascii="Arial" w:hAnsi="Arial" w:cs="Arial" w:eastAsia="Arial"/>
          <w:b w:val="0"/>
          <w:i w:val="0"/>
          <w:color w:val="6B7280"/>
          <w:sz w:val="16"/>
        </w:rPr>
        <w:t xml:space="preserve">8. </w:t>
      </w:r>
      <w:hyperlink r:id="rId19">
        <w:r>
          <w:rPr>
            <w:rFonts w:ascii="Arial" w:hAnsi="Arial" w:cs="Arial" w:eastAsia="Arial"/>
            <w:sz w:val="18"/>
            <w:color w:val="0563C1"/>
            <w:u w:val="single"/>
          </w:rPr>
          <w:t xml:space="preserve">Brex Business Model: How Brex Makes Money | Litmus</w:t>
        </w:r>
      </w:hyperlink>
      <w:r>
        <w:rPr>
          <w:rFonts w:ascii="Arial" w:hAnsi="Arial" w:cs="Arial" w:eastAsia="Arial"/>
          <w:b w:val="0"/>
          <w:i w:val="0"/>
          <w:color w:val="6B7280"/>
          <w:sz w:val="16"/>
        </w:rPr>
        <w:t xml:space="preserve">  — published 2025-01-01, retrieved 2026-10-08</w:t>
      </w:r>
    </w:p>
    <w:p>
      <w:pPr>
        <w:spacing w:after="40"/>
      </w:pPr>
      <w:r>
        <w:rPr>
          <w:rFonts w:ascii="Arial" w:hAnsi="Arial" w:cs="Arial" w:eastAsia="Arial"/>
          <w:b w:val="0"/>
          <w:i w:val="0"/>
          <w:color w:val="6B7280"/>
          <w:sz w:val="16"/>
        </w:rPr>
        <w:t xml:space="preserve">9. </w:t>
      </w:r>
      <w:hyperlink r:id="rId9">
        <w:r>
          <w:rPr>
            <w:rFonts w:ascii="Arial" w:hAnsi="Arial" w:cs="Arial" w:eastAsia="Arial"/>
            <w:sz w:val="18"/>
            <w:color w:val="0563C1"/>
            <w:u w:val="single"/>
          </w:rPr>
          <w:t xml:space="preserve">James Reggio</w:t>
        </w:r>
      </w:hyperlink>
      <w:r>
        <w:rPr>
          <w:rFonts w:ascii="Arial" w:hAnsi="Arial" w:cs="Arial" w:eastAsia="Arial"/>
          <w:b w:val="0"/>
          <w:i w:val="0"/>
          <w:color w:val="6B7280"/>
          <w:sz w:val="16"/>
        </w:rPr>
        <w:t xml:space="preserve">  — published 2026-09-21, retrieved 2026-10-08</w:t>
      </w:r>
    </w:p>
    <w:p>
      <w:pPr>
        <w:spacing w:after="40"/>
      </w:pPr>
      <w:r>
        <w:rPr>
          <w:rFonts w:ascii="Arial" w:hAnsi="Arial" w:cs="Arial" w:eastAsia="Arial"/>
          <w:b w:val="0"/>
          <w:i w:val="0"/>
          <w:color w:val="6B7280"/>
          <w:sz w:val="16"/>
        </w:rPr>
        <w:t xml:space="preserve">10. </w:t>
      </w:r>
      <w:hyperlink r:id="rId10">
        <w:r>
          <w:rPr>
            <w:rFonts w:ascii="Arial" w:hAnsi="Arial" w:cs="Arial" w:eastAsia="Arial"/>
            <w:sz w:val="18"/>
            <w:color w:val="0563C1"/>
            <w:u w:val="single"/>
          </w:rPr>
          <w:t xml:space="preserve">Phil Burrows</w:t>
        </w:r>
      </w:hyperlink>
      <w:r>
        <w:rPr>
          <w:rFonts w:ascii="Arial" w:hAnsi="Arial" w:cs="Arial" w:eastAsia="Arial"/>
          <w:b w:val="0"/>
          <w:i w:val="0"/>
          <w:color w:val="6B7280"/>
          <w:sz w:val="16"/>
        </w:rPr>
        <w:t xml:space="preserve">  — published 2026-09-21, retrieved 2026-10-08</w:t>
      </w:r>
    </w:p>
    <w:p>
      <w:pPr>
        <w:spacing w:after="40"/>
      </w:pPr>
      <w:r>
        <w:rPr>
          <w:rFonts w:ascii="Arial" w:hAnsi="Arial" w:cs="Arial" w:eastAsia="Arial"/>
          <w:b w:val="0"/>
          <w:i w:val="0"/>
          <w:color w:val="6B7280"/>
          <w:sz w:val="16"/>
        </w:rPr>
        <w:t xml:space="preserve">11. </w:t>
      </w:r>
      <w:hyperlink r:id="rId11">
        <w:r>
          <w:rPr>
            <w:rFonts w:ascii="Arial" w:hAnsi="Arial" w:cs="Arial" w:eastAsia="Arial"/>
            <w:sz w:val="18"/>
            <w:color w:val="0563C1"/>
            <w:u w:val="single"/>
          </w:rPr>
          <w:t xml:space="preserve">Sridhar Mocherla</w:t>
        </w:r>
      </w:hyperlink>
      <w:r>
        <w:rPr>
          <w:rFonts w:ascii="Arial" w:hAnsi="Arial" w:cs="Arial" w:eastAsia="Arial"/>
          <w:b w:val="0"/>
          <w:i w:val="0"/>
          <w:color w:val="6B7280"/>
          <w:sz w:val="16"/>
        </w:rPr>
        <w:t xml:space="preserve">  — published 2026-09-21, retrieved 2026-10-08</w:t>
      </w:r>
    </w:p>
    <w:p>
      <w:pPr>
        <w:spacing w:after="40"/>
      </w:pPr>
      <w:r>
        <w:rPr>
          <w:rFonts w:ascii="Arial" w:hAnsi="Arial" w:cs="Arial" w:eastAsia="Arial"/>
          <w:b w:val="0"/>
          <w:i w:val="0"/>
          <w:color w:val="6B7280"/>
          <w:sz w:val="16"/>
        </w:rPr>
        <w:t xml:space="preserve">12. </w:t>
      </w:r>
      <w:hyperlink r:id="rId12">
        <w:r>
          <w:rPr>
            <w:rFonts w:ascii="Arial" w:hAnsi="Arial" w:cs="Arial" w:eastAsia="Arial"/>
            <w:sz w:val="18"/>
            <w:color w:val="0563C1"/>
            <w:u w:val="single"/>
          </w:rPr>
          <w:t xml:space="preserve">Sai Chiligireddy</w:t>
        </w:r>
      </w:hyperlink>
      <w:r>
        <w:rPr>
          <w:rFonts w:ascii="Arial" w:hAnsi="Arial" w:cs="Arial" w:eastAsia="Arial"/>
          <w:b w:val="0"/>
          <w:i w:val="0"/>
          <w:color w:val="6B7280"/>
          <w:sz w:val="16"/>
        </w:rPr>
        <w:t xml:space="preserve">  — published 2026-09-25, retrieved 2026-10-08</w:t>
      </w:r>
    </w:p>
    <w:p>
      <w:pPr>
        <w:spacing w:after="40"/>
      </w:pPr>
      <w:r>
        <w:rPr>
          <w:rFonts w:ascii="Arial" w:hAnsi="Arial" w:cs="Arial" w:eastAsia="Arial"/>
          <w:b w:val="0"/>
          <w:i w:val="0"/>
          <w:color w:val="6B7280"/>
          <w:sz w:val="16"/>
        </w:rPr>
        <w:t xml:space="preserve">13. </w:t>
      </w:r>
      <w:hyperlink r:id="rId20">
        <w:r>
          <w:rPr>
            <w:rFonts w:ascii="Arial" w:hAnsi="Arial" w:cs="Arial" w:eastAsia="Arial"/>
            <w:sz w:val="18"/>
            <w:color w:val="0563C1"/>
            <w:u w:val="single"/>
          </w:rPr>
          <w:t xml:space="preserve">Chenming Cui</w:t>
        </w:r>
      </w:hyperlink>
      <w:r>
        <w:rPr>
          <w:rFonts w:ascii="Arial" w:hAnsi="Arial" w:cs="Arial" w:eastAsia="Arial"/>
          <w:b w:val="0"/>
          <w:i w:val="0"/>
          <w:color w:val="6B7280"/>
          <w:sz w:val="16"/>
        </w:rPr>
        <w:t xml:space="preserve">  — published 2026-09-15, retrieved 2026-10-08</w:t>
      </w:r>
    </w:p>
    <w:p>
      <w:pPr>
        <w:spacing w:after="40"/>
      </w:pPr>
      <w:r>
        <w:rPr>
          <w:rFonts w:ascii="Arial" w:hAnsi="Arial" w:cs="Arial" w:eastAsia="Arial"/>
          <w:b w:val="0"/>
          <w:i w:val="0"/>
          <w:color w:val="6B7280"/>
          <w:sz w:val="16"/>
        </w:rPr>
        <w:t xml:space="preserve">14. </w:t>
      </w:r>
      <w:hyperlink r:id="rId21">
        <w:r>
          <w:rPr>
            <w:rFonts w:ascii="Arial" w:hAnsi="Arial" w:cs="Arial" w:eastAsia="Arial"/>
            <w:sz w:val="18"/>
            <w:color w:val="0563C1"/>
            <w:u w:val="single"/>
          </w:rPr>
          <w:t xml:space="preserve">How we built an AI oncall engineer at Brex</w:t>
        </w:r>
      </w:hyperlink>
      <w:r>
        <w:rPr>
          <w:rFonts w:ascii="Arial" w:hAnsi="Arial" w:cs="Arial" w:eastAsia="Arial"/>
          <w:b w:val="0"/>
          <w:i w:val="0"/>
          <w:color w:val="6B7280"/>
          <w:sz w:val="16"/>
        </w:rPr>
        <w:t xml:space="preserve">  — retrieved 2026-10-08</w:t>
      </w:r>
    </w:p>
    <w:p>
      <w:pPr>
        <w:spacing w:after="40"/>
      </w:pPr>
      <w:r>
        <w:rPr>
          <w:rFonts w:ascii="Arial" w:hAnsi="Arial" w:cs="Arial" w:eastAsia="Arial"/>
          <w:b w:val="0"/>
          <w:i w:val="0"/>
          <w:color w:val="6B7280"/>
          <w:sz w:val="16"/>
        </w:rPr>
        <w:t xml:space="preserve">15. </w:t>
      </w:r>
      <w:hyperlink r:id="rId22">
        <w:r>
          <w:rPr>
            <w:rFonts w:ascii="Arial" w:hAnsi="Arial" w:cs="Arial" w:eastAsia="Arial"/>
            <w:sz w:val="18"/>
            <w:color w:val="0563C1"/>
            <w:u w:val="single"/>
          </w:rPr>
          <w:t xml:space="preserve">Brex Company Overview, Contact Details &amp; Competitors | LeadIQ</w:t>
        </w:r>
      </w:hyperlink>
      <w:r>
        <w:rPr>
          <w:rFonts w:ascii="Arial" w:hAnsi="Arial" w:cs="Arial" w:eastAsia="Arial"/>
          <w:b w:val="0"/>
          <w:i w:val="0"/>
          <w:color w:val="6B7280"/>
          <w:sz w:val="16"/>
        </w:rPr>
        <w:t xml:space="preserve">  — retrieved 2026-10-08</w:t>
      </w:r>
    </w:p>
    <w:p>
      <w:pPr>
        <w:spacing w:after="40"/>
      </w:pPr>
      <w:r>
        <w:rPr>
          <w:rFonts w:ascii="Arial" w:hAnsi="Arial" w:cs="Arial" w:eastAsia="Arial"/>
          <w:b w:val="0"/>
          <w:i w:val="0"/>
          <w:color w:val="6B7280"/>
          <w:sz w:val="16"/>
        </w:rPr>
        <w:t xml:space="preserve">16. </w:t>
      </w:r>
      <w:hyperlink r:id="rId23">
        <w:r>
          <w:rPr>
            <w:rFonts w:ascii="Arial" w:hAnsi="Arial" w:cs="Arial" w:eastAsia="Arial"/>
            <w:sz w:val="18"/>
            <w:color w:val="0563C1"/>
            <w:u w:val="single"/>
          </w:rPr>
          <w:t xml:space="preserve">Customers | Nubank | Devin</w:t>
        </w:r>
      </w:hyperlink>
      <w:r>
        <w:rPr>
          <w:rFonts w:ascii="Arial" w:hAnsi="Arial" w:cs="Arial" w:eastAsia="Arial"/>
          <w:b w:val="0"/>
          <w:i w:val="0"/>
          <w:color w:val="6B7280"/>
          <w:sz w:val="16"/>
        </w:rPr>
        <w:t xml:space="preserve">  — published 2026-06-20, retrieved 2026-10-07</w:t>
      </w:r>
    </w:p>
    <w:p>
      <w:pPr>
        <w:spacing w:after="40"/>
      </w:pPr>
      <w:r>
        <w:rPr>
          <w:rFonts w:ascii="Arial" w:hAnsi="Arial" w:cs="Arial" w:eastAsia="Arial"/>
          <w:b w:val="0"/>
          <w:i w:val="0"/>
          <w:color w:val="6B7280"/>
          <w:sz w:val="16"/>
        </w:rPr>
        <w:t xml:space="preserve">17. </w:t>
      </w:r>
      <w:hyperlink r:id="rId24">
        <w:r>
          <w:rPr>
            <w:rFonts w:ascii="Arial" w:hAnsi="Arial" w:cs="Arial" w:eastAsia="Arial"/>
            <w:sz w:val="18"/>
            <w:color w:val="0563C1"/>
            <w:u w:val="single"/>
          </w:rPr>
          <w:t xml:space="preserve">Customers | Ramp | Devin</w:t>
        </w:r>
      </w:hyperlink>
      <w:r>
        <w:rPr>
          <w:rFonts w:ascii="Arial" w:hAnsi="Arial" w:cs="Arial" w:eastAsia="Arial"/>
          <w:b w:val="0"/>
          <w:i w:val="0"/>
          <w:color w:val="6B7280"/>
          <w:sz w:val="16"/>
        </w:rPr>
        <w:t xml:space="preserve">  — published 2025-03-25, retrieved 2026-10-08</w:t>
      </w:r>
    </w:p>
    <w:p>
      <w:pPr>
        <w:spacing w:after="40"/>
      </w:pPr>
      <w:r>
        <w:rPr>
          <w:rFonts w:ascii="Arial" w:hAnsi="Arial" w:cs="Arial" w:eastAsia="Arial"/>
          <w:b w:val="0"/>
          <w:i w:val="0"/>
          <w:color w:val="6B7280"/>
          <w:sz w:val="16"/>
        </w:rPr>
        <w:t xml:space="preserve">18. </w:t>
      </w:r>
      <w:hyperlink r:id="rId25">
        <w:r>
          <w:rPr>
            <w:rFonts w:ascii="Arial" w:hAnsi="Arial" w:cs="Arial" w:eastAsia="Arial"/>
            <w:sz w:val="18"/>
            <w:color w:val="0563C1"/>
            <w:u w:val="single"/>
          </w:rPr>
          <w:t xml:space="preserve">Customers | Itaú - Devin</w:t>
        </w:r>
      </w:hyperlink>
      <w:r>
        <w:rPr>
          <w:rFonts w:ascii="Arial" w:hAnsi="Arial" w:cs="Arial" w:eastAsia="Arial"/>
          <w:b w:val="0"/>
          <w:i w:val="0"/>
          <w:color w:val="6B7280"/>
          <w:sz w:val="16"/>
        </w:rPr>
        <w:t xml:space="preserve">  — retrieved 2026-10-07</w:t>
      </w:r>
    </w:p>
    <w:p>
      <w:pPr>
        <w:spacing w:after="40"/>
      </w:pPr>
      <w:r>
        <w:rPr>
          <w:rFonts w:ascii="Arial" w:hAnsi="Arial" w:cs="Arial" w:eastAsia="Arial"/>
          <w:b w:val="0"/>
          <w:i w:val="0"/>
          <w:color w:val="6B7280"/>
          <w:sz w:val="16"/>
        </w:rPr>
        <w:t xml:space="preserve">19. </w:t>
      </w:r>
      <w:hyperlink r:id="rId26">
        <w:r>
          <w:rPr>
            <w:rFonts w:ascii="Arial" w:hAnsi="Arial" w:cs="Arial" w:eastAsia="Arial"/>
            <w:sz w:val="18"/>
            <w:color w:val="0563C1"/>
            <w:u w:val="single"/>
          </w:rPr>
          <w:t xml:space="preserve">Meet Devin, your team's autonomous software engineer</w:t>
        </w:r>
      </w:hyperlink>
      <w:r>
        <w:rPr>
          <w:rFonts w:ascii="Arial" w:hAnsi="Arial" w:cs="Arial" w:eastAsia="Arial"/>
          <w:b w:val="0"/>
          <w:i w:val="0"/>
          <w:color w:val="6B7280"/>
          <w:sz w:val="16"/>
        </w:rPr>
        <w:t xml:space="preserve">  — retrieved 2026-10-07</w:t>
      </w:r>
    </w:p>
    <w:p>
      <w:pPr>
        <w:spacing w:before="160"/>
      </w:pPr>
      <w:r>
        <w:rPr>
          <w:rFonts w:ascii="Arial" w:hAnsi="Arial" w:cs="Arial" w:eastAsia="Arial"/>
          <w:b w:val="0"/>
          <w:i/>
          <w:color w:val="6B7280"/>
          <w:sz w:val="16"/>
        </w:rPr>
        <w:t>Validator: 0 unsupported item(s) dropped, 5 flag(s).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Arial" w:hAnsi="Arial"/>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jamesreggio" TargetMode="External"/><Relationship Id="rId10" Type="http://schemas.openxmlformats.org/officeDocument/2006/relationships/hyperlink" Target="https://linkedin.com/in/phil-burrows" TargetMode="External"/><Relationship Id="rId11" Type="http://schemas.openxmlformats.org/officeDocument/2006/relationships/hyperlink" Target="https://linkedin.com/in/sridharmocherla" TargetMode="External"/><Relationship Id="rId12" Type="http://schemas.openxmlformats.org/officeDocument/2006/relationships/hyperlink" Target="https://linkedin.com/in/saichiligireddy" TargetMode="External"/><Relationship Id="rId13" Type="http://schemas.openxmlformats.org/officeDocument/2006/relationships/hyperlink" Target="https://www.brex.com/journal/agent-automations-for-big-migrations" TargetMode="External"/><Relationship Id="rId14" Type="http://schemas.openxmlformats.org/officeDocument/2006/relationships/hyperlink" Target="https://www.linkedin.com/posts/brexhq_agent-automations-for-big-migrations-how-activity-7485717833776074768-tnCq" TargetMode="External"/><Relationship Id="rId15" Type="http://schemas.openxmlformats.org/officeDocument/2006/relationships/hyperlink" Target="https://linkedin.com/in/dannyj35" TargetMode="External"/><Relationship Id="rId16" Type="http://schemas.openxmlformats.org/officeDocument/2006/relationships/hyperlink" Target="https://www.brex.com/journal/building-autonomous-agents-for-technical-tasks" TargetMode="External"/><Relationship Id="rId17" Type="http://schemas.openxmlformats.org/officeDocument/2006/relationships/hyperlink" Target="https://www.reveliolabs.com/companies/brex/employees" TargetMode="External"/><Relationship Id="rId18" Type="http://schemas.openxmlformats.org/officeDocument/2006/relationships/hyperlink" Target="https://pitchbook.com/profiles/company/226102-87" TargetMode="External"/><Relationship Id="rId19" Type="http://schemas.openxmlformats.org/officeDocument/2006/relationships/hyperlink" Target="https://litmus.lapaas.com/learn/brex-business-model" TargetMode="External"/><Relationship Id="rId20" Type="http://schemas.openxmlformats.org/officeDocument/2006/relationships/hyperlink" Target="https://linkedin.com/in/chenming-cui-633186180" TargetMode="External"/><Relationship Id="rId21" Type="http://schemas.openxmlformats.org/officeDocument/2006/relationships/hyperlink" Target="https://www.brex.com/journal/how-we-built-an-ai-oncall-engineer" TargetMode="External"/><Relationship Id="rId22" Type="http://schemas.openxmlformats.org/officeDocument/2006/relationships/hyperlink" Target="https://leadiq.com/c/brex/5ab059ec550000c300d33812" TargetMode="External"/><Relationship Id="rId23" Type="http://schemas.openxmlformats.org/officeDocument/2006/relationships/hyperlink" Target="https://devin.ai/customers/nubank/" TargetMode="External"/><Relationship Id="rId24" Type="http://schemas.openxmlformats.org/officeDocument/2006/relationships/hyperlink" Target="https://devin.ai/customers/ramp/" TargetMode="External"/><Relationship Id="rId25" Type="http://schemas.openxmlformats.org/officeDocument/2006/relationships/hyperlink" Target="https://devin.ai/customers/itau" TargetMode="External"/><Relationship Id="rId26" Type="http://schemas.openxmlformats.org/officeDocument/2006/relationships/hyperlink" Target="https://devin.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Brex account brief</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