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8C53" w14:textId="77777777" w:rsidR="00BD1BB6" w:rsidRPr="00BD1BB6" w:rsidRDefault="00BD1BB6" w:rsidP="00BD1BB6">
      <w:pPr>
        <w:pStyle w:val="Heading1"/>
        <w:spacing w:line="360" w:lineRule="auto"/>
        <w:jc w:val="center"/>
        <w:rPr>
          <w:rFonts w:ascii="Times New Roman" w:hAnsi="Times New Roman" w:cs="Times New Roman"/>
          <w:color w:val="000000" w:themeColor="text1"/>
          <w:sz w:val="32"/>
          <w:szCs w:val="32"/>
        </w:rPr>
      </w:pPr>
      <w:r w:rsidRPr="00BD1BB6">
        <w:rPr>
          <w:rFonts w:ascii="Times New Roman" w:hAnsi="Times New Roman" w:cs="Times New Roman"/>
          <w:color w:val="000000" w:themeColor="text1"/>
          <w:sz w:val="32"/>
          <w:szCs w:val="32"/>
        </w:rPr>
        <w:t>Architecture Breakdown and Component Analysis</w:t>
      </w:r>
    </w:p>
    <w:p w14:paraId="10DC1DCD" w14:textId="4ED8EF0E" w:rsidR="00FE45FF" w:rsidRDefault="00000000" w:rsidP="00BD1BB6">
      <w:pPr>
        <w:pStyle w:val="Heading1"/>
        <w:spacing w:line="360" w:lineRule="auto"/>
        <w:jc w:val="center"/>
        <w:rPr>
          <w:rFonts w:ascii="Times New Roman" w:hAnsi="Times New Roman" w:cs="Times New Roman"/>
          <w:color w:val="000000" w:themeColor="text1"/>
          <w:sz w:val="40"/>
          <w:szCs w:val="40"/>
        </w:rPr>
      </w:pPr>
      <w:proofErr w:type="spellStart"/>
      <w:r w:rsidRPr="00BD1BB6">
        <w:rPr>
          <w:rFonts w:ascii="Times New Roman" w:hAnsi="Times New Roman" w:cs="Times New Roman"/>
          <w:color w:val="000000" w:themeColor="text1"/>
          <w:sz w:val="40"/>
          <w:szCs w:val="40"/>
        </w:rPr>
        <w:t>MediAssist</w:t>
      </w:r>
      <w:proofErr w:type="spellEnd"/>
      <w:r w:rsidRPr="00BD1BB6">
        <w:rPr>
          <w:rFonts w:ascii="Times New Roman" w:hAnsi="Times New Roman" w:cs="Times New Roman"/>
          <w:color w:val="000000" w:themeColor="text1"/>
          <w:sz w:val="40"/>
          <w:szCs w:val="40"/>
        </w:rPr>
        <w:t xml:space="preserve"> AI</w:t>
      </w:r>
    </w:p>
    <w:p w14:paraId="56EA8892" w14:textId="77777777" w:rsidR="00BD1BB6" w:rsidRPr="00BD1BB6" w:rsidRDefault="00BD1BB6" w:rsidP="00BD1BB6">
      <w:pPr>
        <w:spacing w:line="360" w:lineRule="auto"/>
      </w:pPr>
    </w:p>
    <w:p w14:paraId="7B877CD0" w14:textId="77777777" w:rsidR="00BD1BB6" w:rsidRDefault="00BD1BB6" w:rsidP="00BD1BB6">
      <w:pPr>
        <w:pStyle w:val="Heading2"/>
        <w:spacing w:line="360" w:lineRule="auto"/>
        <w:rPr>
          <w:rFonts w:ascii="Times New Roman" w:hAnsi="Times New Roman" w:cs="Times New Roman"/>
          <w:b w:val="0"/>
          <w:bCs w:val="0"/>
          <w:color w:val="000000" w:themeColor="text1"/>
        </w:rPr>
      </w:pPr>
    </w:p>
    <w:p w14:paraId="4EDB2285" w14:textId="7E8626B2"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 Streamlit Application (Frontend Layer)</w:t>
      </w:r>
    </w:p>
    <w:p w14:paraId="47C819B0"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Acts as the user-facing interface. Users can chat with the AI, upload PDFs, prescriptions, and medical reports. It collects user queries and sends them to the FastAPI backend. It also displays responses, agent traces, and evaluation metrics.</w:t>
      </w:r>
    </w:p>
    <w:p w14:paraId="628E58D1"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2. FastAPI Gateway (API Layer)</w:t>
      </w:r>
    </w:p>
    <w:p w14:paraId="09F228A4"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Serves as the backend gateway. It receives requests from Streamlit, validates input, manages API communication, routes requests to LangGraph, handles authentication, and returns responses.</w:t>
      </w:r>
    </w:p>
    <w:p w14:paraId="2A0DBF78"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3. LangGraph Supervisor (Agent Orchestration Layer)</w:t>
      </w:r>
    </w:p>
    <w:p w14:paraId="6C7738A8"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The central coordinator of the system. It decides which agents should be executed, manages workflow state, controls agent communication, and orchestrates complex multi-step tasks.</w:t>
      </w:r>
    </w:p>
    <w:p w14:paraId="34C56B9C"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4. Ingestion Pipeline</w:t>
      </w:r>
    </w:p>
    <w:p w14:paraId="14BE0CC7"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Processes uploaded enterprise documents before retrieval. The pipeline performs document upload, chunking, embedding generation, metadata creation, and indexing.</w:t>
      </w:r>
    </w:p>
    <w:p w14:paraId="59FCDE3F"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5. Document Upload Module</w:t>
      </w:r>
    </w:p>
    <w:p w14:paraId="54E6FA51"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Accepts PDFs, DOCX files, SOPs, policies, clinical guidelines, and healthcare documents.</w:t>
      </w:r>
    </w:p>
    <w:p w14:paraId="3C1DD0B0"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6. Chunking Module</w:t>
      </w:r>
    </w:p>
    <w:p w14:paraId="5EDBD2EB"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Breaks large documents into smaller semantic chunks so that embeddings and retrieval can be performed efficiently.</w:t>
      </w:r>
    </w:p>
    <w:p w14:paraId="32375930"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lastRenderedPageBreak/>
        <w:t>7. Embedding Generation Module</w:t>
      </w:r>
    </w:p>
    <w:p w14:paraId="10655BC9"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Converts text chunks into vector representations using embedding models. These vectors capture semantic meaning.</w:t>
      </w:r>
    </w:p>
    <w:p w14:paraId="1B7EDD3A"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8. Vector Database (FAISS/ChromaDB)</w:t>
      </w:r>
    </w:p>
    <w:p w14:paraId="6CF9BE2D"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 xml:space="preserve">Stores document embeddings and </w:t>
      </w:r>
      <w:proofErr w:type="gramStart"/>
      <w:r w:rsidRPr="00BD1BB6">
        <w:rPr>
          <w:rFonts w:ascii="Times New Roman" w:hAnsi="Times New Roman" w:cs="Times New Roman"/>
          <w:color w:val="000000" w:themeColor="text1"/>
        </w:rPr>
        <w:t>supports</w:t>
      </w:r>
      <w:proofErr w:type="gramEnd"/>
      <w:r w:rsidRPr="00BD1BB6">
        <w:rPr>
          <w:rFonts w:ascii="Times New Roman" w:hAnsi="Times New Roman" w:cs="Times New Roman"/>
          <w:color w:val="000000" w:themeColor="text1"/>
        </w:rPr>
        <w:t xml:space="preserve"> semantic search, similarity matching, metadata filtering, and enterprise RAG retrieval.</w:t>
      </w:r>
    </w:p>
    <w:p w14:paraId="4401C8D2"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9. PostgreSQL Database</w:t>
      </w:r>
    </w:p>
    <w:p w14:paraId="1381FF87"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Stores structured enterprise healthcare data including patients, appointments, admissions, billing records, lab results, prescriptions, departments, doctors, insurance policies, and hospital branches.</w:t>
      </w:r>
    </w:p>
    <w:p w14:paraId="7D348C58"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10. MCP Server</w:t>
      </w:r>
    </w:p>
    <w:p w14:paraId="63F915E9"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Acts as a secure bridge between AI agents and enterprise databases. AI agents do not access PostgreSQL directly. Instead, they call MCP tools that expose controlled functionality.</w:t>
      </w:r>
    </w:p>
    <w:p w14:paraId="65CA74EB"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11. Planner Agent</w:t>
      </w:r>
    </w:p>
    <w:p w14:paraId="22F43D14"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Analyzes user intent, decomposes complex tasks into subtasks, determines which tools and agents are required, and creates an execution plan.</w:t>
      </w:r>
    </w:p>
    <w:p w14:paraId="0ED7FCB7"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12. Retriever Agent</w:t>
      </w:r>
    </w:p>
    <w:p w14:paraId="0F06A0CC" w14:textId="77777777" w:rsidR="00FE45FF" w:rsidRPr="00BD1BB6" w:rsidRDefault="00000000" w:rsidP="00BD1BB6">
      <w:pPr>
        <w:spacing w:line="360" w:lineRule="auto"/>
        <w:rPr>
          <w:rFonts w:ascii="Times New Roman" w:hAnsi="Times New Roman" w:cs="Times New Roman"/>
          <w:b/>
          <w:bCs/>
          <w:color w:val="000000" w:themeColor="text1"/>
        </w:rPr>
      </w:pPr>
      <w:r w:rsidRPr="00BD1BB6">
        <w:rPr>
          <w:rFonts w:ascii="Times New Roman" w:hAnsi="Times New Roman" w:cs="Times New Roman"/>
          <w:color w:val="000000" w:themeColor="text1"/>
        </w:rPr>
        <w:t>Queries the vector database, retrieves relevant healthcare documents, ranks results, and returns grounded enterprise context.</w:t>
      </w:r>
    </w:p>
    <w:p w14:paraId="0C535AF3"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13. MCP Agent</w:t>
      </w:r>
    </w:p>
    <w:p w14:paraId="74D4CF87"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Invokes MCP tools to retrieve structured healthcare information such as patient history, appointments, billing details, prescriptions, and lab reports.</w:t>
      </w:r>
    </w:p>
    <w:p w14:paraId="232A512D"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14. Vision Agent</w:t>
      </w:r>
    </w:p>
    <w:p w14:paraId="2978EAD0"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Processes images such as prescriptions and medical reports. Performs OCR, information extraction, image understanding, and multimodal reasoning.</w:t>
      </w:r>
    </w:p>
    <w:p w14:paraId="1ED501A2"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15. Reasoning Agent</w:t>
      </w:r>
    </w:p>
    <w:p w14:paraId="6CAC760C"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Combines information from vector retrieval, MCP tools, uploaded documents, user prompts, and vision analysis. Generates final grounded responses, recommendations, summaries, and insights.</w:t>
      </w:r>
    </w:p>
    <w:p w14:paraId="2F398E2A"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lastRenderedPageBreak/>
        <w:t>16. Observability Layer (LangSmith)</w:t>
      </w:r>
    </w:p>
    <w:p w14:paraId="4E0FB900"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Provides monitoring, debugging, tracing, workflow visualization, performance analysis, token usage tracking, and agent execution monitoring.</w:t>
      </w:r>
    </w:p>
    <w:p w14:paraId="4C390360"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17. LLM Layer (OpenAI/Groq)</w:t>
      </w:r>
    </w:p>
    <w:p w14:paraId="42435390" w14:textId="77777777"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Provides language understanding, reasoning, response generation, tool-calling support, and evaluation capabilities.</w:t>
      </w:r>
    </w:p>
    <w:p w14:paraId="2BE9A56A" w14:textId="77777777" w:rsidR="00FE45FF" w:rsidRPr="00BD1BB6" w:rsidRDefault="00000000" w:rsidP="00BD1BB6">
      <w:pPr>
        <w:pStyle w:val="Heading2"/>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t>18. End-to-End Workflow</w:t>
      </w:r>
    </w:p>
    <w:p w14:paraId="3D7B8EC7" w14:textId="7D37AFAA" w:rsidR="00FE45FF" w:rsidRPr="00BD1BB6" w:rsidRDefault="00000000" w:rsidP="00BD1BB6">
      <w:pPr>
        <w:spacing w:line="360" w:lineRule="auto"/>
        <w:rPr>
          <w:rFonts w:ascii="Times New Roman" w:hAnsi="Times New Roman" w:cs="Times New Roman"/>
          <w:b/>
          <w:bCs/>
          <w:color w:val="000000" w:themeColor="text1"/>
        </w:rPr>
      </w:pPr>
      <w:r w:rsidRPr="00BD1BB6">
        <w:rPr>
          <w:rFonts w:ascii="Times New Roman" w:hAnsi="Times New Roman" w:cs="Times New Roman"/>
          <w:b/>
          <w:bCs/>
          <w:color w:val="000000" w:themeColor="text1"/>
        </w:rPr>
        <w:t xml:space="preserve">User </w:t>
      </w:r>
      <w:r w:rsidR="00BD1BB6" w:rsidRPr="00BD1BB6">
        <w:rPr>
          <w:rFonts w:ascii="Times New Roman" w:hAnsi="Times New Roman" w:cs="Times New Roman"/>
          <w:b/>
          <w:bCs/>
          <w:color w:val="000000" w:themeColor="text1"/>
        </w:rPr>
        <w:t>-&gt;</w:t>
      </w:r>
      <w:r w:rsidRPr="00BD1BB6">
        <w:rPr>
          <w:rFonts w:ascii="Times New Roman" w:hAnsi="Times New Roman" w:cs="Times New Roman"/>
          <w:b/>
          <w:bCs/>
          <w:color w:val="000000" w:themeColor="text1"/>
        </w:rPr>
        <w:t xml:space="preserve"> Streamlit -&gt; FastAPI -&gt; LangGraph Supervisor -&gt; Agents (Planner, Retriever, MCP, Vision) -&gt; Data Sources (Vector DB/PostgreSQL) -&gt; Reasoning Agent -&gt; Final Response -&gt; Streamlit UI.</w:t>
      </w:r>
    </w:p>
    <w:p w14:paraId="3D18995D" w14:textId="17CC2509" w:rsidR="00FE45FF" w:rsidRPr="00BD1BB6" w:rsidRDefault="00000000" w:rsidP="00BD1BB6">
      <w:pPr>
        <w:spacing w:line="360" w:lineRule="auto"/>
        <w:rPr>
          <w:rFonts w:ascii="Times New Roman" w:hAnsi="Times New Roman" w:cs="Times New Roman"/>
          <w:color w:val="000000" w:themeColor="text1"/>
        </w:rPr>
      </w:pPr>
      <w:r w:rsidRPr="00BD1BB6">
        <w:rPr>
          <w:rFonts w:ascii="Times New Roman" w:hAnsi="Times New Roman" w:cs="Times New Roman"/>
          <w:color w:val="000000" w:themeColor="text1"/>
        </w:rPr>
        <w:br/>
        <w:t>• Cloud-native deployment support</w:t>
      </w:r>
      <w:r w:rsidRPr="00BD1BB6">
        <w:rPr>
          <w:rFonts w:ascii="Times New Roman" w:hAnsi="Times New Roman" w:cs="Times New Roman"/>
          <w:color w:val="000000" w:themeColor="text1"/>
        </w:rPr>
        <w:br/>
        <w:t>• Healthcare analytics and decision support</w:t>
      </w:r>
    </w:p>
    <w:sectPr w:rsidR="00FE45FF" w:rsidRPr="00BD1B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66AC2"/>
    <w:multiLevelType w:val="hybridMultilevel"/>
    <w:tmpl w:val="B71A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20256">
    <w:abstractNumId w:val="8"/>
  </w:num>
  <w:num w:numId="2" w16cid:durableId="620653329">
    <w:abstractNumId w:val="6"/>
  </w:num>
  <w:num w:numId="3" w16cid:durableId="377244270">
    <w:abstractNumId w:val="5"/>
  </w:num>
  <w:num w:numId="4" w16cid:durableId="1676414465">
    <w:abstractNumId w:val="4"/>
  </w:num>
  <w:num w:numId="5" w16cid:durableId="2143302828">
    <w:abstractNumId w:val="7"/>
  </w:num>
  <w:num w:numId="6" w16cid:durableId="1269046935">
    <w:abstractNumId w:val="3"/>
  </w:num>
  <w:num w:numId="7" w16cid:durableId="1489400814">
    <w:abstractNumId w:val="2"/>
  </w:num>
  <w:num w:numId="8" w16cid:durableId="619797170">
    <w:abstractNumId w:val="1"/>
  </w:num>
  <w:num w:numId="9" w16cid:durableId="233440730">
    <w:abstractNumId w:val="0"/>
  </w:num>
  <w:num w:numId="10" w16cid:durableId="1269780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18A0"/>
    <w:rsid w:val="00AA1D8D"/>
    <w:rsid w:val="00B47730"/>
    <w:rsid w:val="00BD1BB6"/>
    <w:rsid w:val="00CB0664"/>
    <w:rsid w:val="00FC693F"/>
    <w:rsid w:val="00FE45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CE6C9"/>
  <w14:defaultImageDpi w14:val="300"/>
  <w15:docId w15:val="{3DFD5701-2DA0-4F5C-9371-7D5DB75A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Sawant</cp:lastModifiedBy>
  <cp:revision>2</cp:revision>
  <dcterms:created xsi:type="dcterms:W3CDTF">2026-06-14T06:21:00Z</dcterms:created>
  <dcterms:modified xsi:type="dcterms:W3CDTF">2026-06-14T06:21:00Z</dcterms:modified>
  <cp:category/>
</cp:coreProperties>
</file>