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Dataset for LLM-as-a-Judge Evaluation</w:t>
      </w:r>
    </w:p>
    <w:p>
      <w:r>
        <w:t>50 Question-Answer pairs derived from the uploaded hospital documents.</w:t>
      </w:r>
    </w:p>
    <w:p>
      <w:pPr>
        <w:pStyle w:val="Heading2"/>
      </w:pPr>
      <w:r>
        <w:t>Q1</w:t>
      </w:r>
    </w:p>
    <w:p>
      <w:r>
        <w:t>Question: What is the purpose of the Patient Admission SOP?</w:t>
      </w:r>
    </w:p>
    <w:p>
      <w:r>
        <w:t>Answer: To standardize patient admission while ensuring registration accuracy, compliance, insurance verification, documentation, and patient experience.</w:t>
      </w:r>
    </w:p>
    <w:p>
      <w:pPr>
        <w:pStyle w:val="Heading2"/>
      </w:pPr>
      <w:r>
        <w:t>Q2</w:t>
      </w:r>
    </w:p>
    <w:p>
      <w:r>
        <w:t>Question: What are the six types of admissions?</w:t>
      </w:r>
    </w:p>
    <w:p>
      <w:r>
        <w:t>Answer: Planned, Emergency, Day Care, Surgical, Maternity, and Transfer admissions.</w:t>
      </w:r>
    </w:p>
    <w:p>
      <w:pPr>
        <w:pStyle w:val="Heading2"/>
      </w:pPr>
      <w:r>
        <w:t>Q3</w:t>
      </w:r>
    </w:p>
    <w:p>
      <w:r>
        <w:t>Question: Who is responsible for patient registration and identity verification?</w:t>
      </w:r>
    </w:p>
    <w:p>
      <w:r>
        <w:t>Answer: Front Office Executive.</w:t>
      </w:r>
    </w:p>
    <w:p>
      <w:pPr>
        <w:pStyle w:val="Heading2"/>
      </w:pPr>
      <w:r>
        <w:t>Q4</w:t>
      </w:r>
    </w:p>
    <w:p>
      <w:r>
        <w:t>Question: Who handles policy verification and cashless initiation?</w:t>
      </w:r>
    </w:p>
    <w:p>
      <w:r>
        <w:t>Answer: Insurance Coordinator.</w:t>
      </w:r>
    </w:p>
    <w:p>
      <w:pPr>
        <w:pStyle w:val="Heading2"/>
      </w:pPr>
      <w:r>
        <w:t>Q5</w:t>
      </w:r>
    </w:p>
    <w:p>
      <w:r>
        <w:t>Question: Who performs the initial medical assessment?</w:t>
      </w:r>
    </w:p>
    <w:p>
      <w:r>
        <w:t>Answer: Duty Doctor.</w:t>
      </w:r>
    </w:p>
    <w:p>
      <w:pPr>
        <w:pStyle w:val="Heading2"/>
      </w:pPr>
      <w:r>
        <w:t>Q6</w:t>
      </w:r>
    </w:p>
    <w:p>
      <w:r>
        <w:t>Question: Who coordinates bed allocation?</w:t>
      </w:r>
    </w:p>
    <w:p>
      <w:r>
        <w:t>Answer: Nursing Team in coordination with admissions.</w:t>
      </w:r>
    </w:p>
    <w:p>
      <w:pPr>
        <w:pStyle w:val="Heading2"/>
      </w:pPr>
      <w:r>
        <w:t>Q7</w:t>
      </w:r>
    </w:p>
    <w:p>
      <w:r>
        <w:t>Question: What is the first step in the admission workflow?</w:t>
      </w:r>
    </w:p>
    <w:p>
      <w:r>
        <w:t>Answer: Patient Arrival.</w:t>
      </w:r>
    </w:p>
    <w:p>
      <w:pPr>
        <w:pStyle w:val="Heading2"/>
      </w:pPr>
      <w:r>
        <w:t>Q8</w:t>
      </w:r>
    </w:p>
    <w:p>
      <w:r>
        <w:t>Question: What documents are required during planned admission?</w:t>
      </w:r>
    </w:p>
    <w:p>
      <w:r>
        <w:t>Answer: Insurance card and government-issued ID.</w:t>
      </w:r>
    </w:p>
    <w:p>
      <w:pPr>
        <w:pStyle w:val="Heading2"/>
      </w:pPr>
      <w:r>
        <w:t>Q9</w:t>
      </w:r>
    </w:p>
    <w:p>
      <w:r>
        <w:t>Question: What is UHID?</w:t>
      </w:r>
    </w:p>
    <w:p>
      <w:r>
        <w:t>Answer: Unique Hospital Identification Number.</w:t>
      </w:r>
    </w:p>
    <w:p>
      <w:pPr>
        <w:pStyle w:val="Heading2"/>
      </w:pPr>
      <w:r>
        <w:t>Q10</w:t>
      </w:r>
    </w:p>
    <w:p>
      <w:r>
        <w:t>Question: What must be verified during identity verification?</w:t>
      </w:r>
    </w:p>
    <w:p>
      <w:r>
        <w:t>Answer: Name matching, photo identification, and insurance card validation.</w:t>
      </w:r>
    </w:p>
    <w:p>
      <w:pPr>
        <w:pStyle w:val="Heading2"/>
      </w:pPr>
      <w:r>
        <w:t>Q11</w:t>
      </w:r>
    </w:p>
    <w:p>
      <w:r>
        <w:t>Question: Can admission proceed without consultant recommendation?</w:t>
      </w:r>
    </w:p>
    <w:p>
      <w:r>
        <w:t>Answer: No.</w:t>
      </w:r>
    </w:p>
    <w:p>
      <w:pPr>
        <w:pStyle w:val="Heading2"/>
      </w:pPr>
      <w:r>
        <w:t>Q12</w:t>
      </w:r>
    </w:p>
    <w:p>
      <w:r>
        <w:t>Question: What ward categories are available?</w:t>
      </w:r>
    </w:p>
    <w:p>
      <w:r>
        <w:t>Answer: General Ward, Semi-Private, Private Room, Deluxe Room, ICU, and HDU.</w:t>
      </w:r>
    </w:p>
    <w:p>
      <w:pPr>
        <w:pStyle w:val="Heading2"/>
      </w:pPr>
      <w:r>
        <w:t>Q13</w:t>
      </w:r>
    </w:p>
    <w:p>
      <w:r>
        <w:t>Question: What should the Insurance Desk verify?</w:t>
      </w:r>
    </w:p>
    <w:p>
      <w:r>
        <w:t>Answer: Policy status, coverage period, sum insured, network eligibility, waiting periods, and exclusions.</w:t>
      </w:r>
    </w:p>
    <w:p>
      <w:pPr>
        <w:pStyle w:val="Heading2"/>
      </w:pPr>
      <w:r>
        <w:t>Q14</w:t>
      </w:r>
    </w:p>
    <w:p>
      <w:r>
        <w:t>Question: Within how many hours should cashless intimation be submitted?</w:t>
      </w:r>
    </w:p>
    <w:p>
      <w:r>
        <w:t>Answer: Within 2 hours of admission request.</w:t>
      </w:r>
    </w:p>
    <w:p>
      <w:pPr>
        <w:pStyle w:val="Heading2"/>
      </w:pPr>
      <w:r>
        <w:t>Q15</w:t>
      </w:r>
    </w:p>
    <w:p>
      <w:r>
        <w:t>Question: Can emergency treatment be delayed for insurance approval?</w:t>
      </w:r>
    </w:p>
    <w:p>
      <w:r>
        <w:t>Answer: No.</w:t>
      </w:r>
    </w:p>
    <w:p>
      <w:pPr>
        <w:pStyle w:val="Heading2"/>
      </w:pPr>
      <w:r>
        <w:t>Q16</w:t>
      </w:r>
    </w:p>
    <w:p>
      <w:r>
        <w:t>Question: Within how many hours must TPA be notified for emergency admission?</w:t>
      </w:r>
    </w:p>
    <w:p>
      <w:r>
        <w:t>Answer: Within 24 hours.</w:t>
      </w:r>
    </w:p>
    <w:p>
      <w:pPr>
        <w:pStyle w:val="Heading2"/>
      </w:pPr>
      <w:r>
        <w:t>Q17</w:t>
      </w:r>
    </w:p>
    <w:p>
      <w:r>
        <w:t>Question: What documents are included in the administrative admission checklist?</w:t>
      </w:r>
    </w:p>
    <w:p>
      <w:r>
        <w:t>Answer: Admission Form, Consent Form, Patient Rights Acknowledgement, Identity Proof, and Insurance Documents.</w:t>
      </w:r>
    </w:p>
    <w:p>
      <w:pPr>
        <w:pStyle w:val="Heading2"/>
      </w:pPr>
      <w:r>
        <w:t>Q18</w:t>
      </w:r>
    </w:p>
    <w:p>
      <w:r>
        <w:t>Question: What special consents require separate authorization?</w:t>
      </w:r>
    </w:p>
    <w:p>
      <w:r>
        <w:t>Answer: Surgery, Blood Transfusion, ICU Admission, High-Risk Procedures, and Anaesthesia.</w:t>
      </w:r>
    </w:p>
    <w:p>
      <w:pPr>
        <w:pStyle w:val="Heading2"/>
      </w:pPr>
      <w:r>
        <w:t>Q19</w:t>
      </w:r>
    </w:p>
    <w:p>
      <w:r>
        <w:t>Question: What rights should patients be informed about?</w:t>
      </w:r>
    </w:p>
    <w:p>
      <w:r>
        <w:t>Answer: Privacy, confidentiality, informed consent, access to information, and respectful treatment.</w:t>
      </w:r>
    </w:p>
    <w:p>
      <w:pPr>
        <w:pStyle w:val="Heading2"/>
      </w:pPr>
      <w:r>
        <w:t>Q20</w:t>
      </w:r>
    </w:p>
    <w:p>
      <w:r>
        <w:t>Question: What is the target registration time KPI?</w:t>
      </w:r>
    </w:p>
    <w:p>
      <w:r>
        <w:t>Answer: 10 minutes or less.</w:t>
      </w:r>
    </w:p>
    <w:p>
      <w:pPr>
        <w:pStyle w:val="Heading2"/>
      </w:pPr>
      <w:r>
        <w:t>Q21</w:t>
      </w:r>
    </w:p>
    <w:p>
      <w:r>
        <w:t>Question: What does TPA stand for?</w:t>
      </w:r>
    </w:p>
    <w:p>
      <w:r>
        <w:t>Answer: Third Party Administrator.</w:t>
      </w:r>
    </w:p>
    <w:p>
      <w:pPr>
        <w:pStyle w:val="Heading2"/>
      </w:pPr>
      <w:r>
        <w:t>Q22</w:t>
      </w:r>
    </w:p>
    <w:p>
      <w:r>
        <w:t>Question: What is a cashless claim?</w:t>
      </w:r>
    </w:p>
    <w:p>
      <w:r>
        <w:t>Answer: A claim settled directly between insurer/TPA and hospital.</w:t>
      </w:r>
    </w:p>
    <w:p>
      <w:pPr>
        <w:pStyle w:val="Heading2"/>
      </w:pPr>
      <w:r>
        <w:t>Q23</w:t>
      </w:r>
    </w:p>
    <w:p>
      <w:r>
        <w:t>Question: What documents are required for pre-authorization submission?</w:t>
      </w:r>
    </w:p>
    <w:p>
      <w:r>
        <w:t>Answer: Pre-auth form, doctor admission notes, investigation reports, insurance card copy, and KYC documents.</w:t>
      </w:r>
    </w:p>
    <w:p>
      <w:pPr>
        <w:pStyle w:val="Heading2"/>
      </w:pPr>
      <w:r>
        <w:t>Q24</w:t>
      </w:r>
    </w:p>
    <w:p>
      <w:r>
        <w:t>Question: How often should approval status be tracked?</w:t>
      </w:r>
    </w:p>
    <w:p>
      <w:r>
        <w:t>Answer: Every 30 minutes.</w:t>
      </w:r>
    </w:p>
    <w:p>
      <w:pPr>
        <w:pStyle w:val="Heading2"/>
      </w:pPr>
      <w:r>
        <w:t>Q25</w:t>
      </w:r>
    </w:p>
    <w:p>
      <w:r>
        <w:t>Question: What is the response SLA for TPA queries?</w:t>
      </w:r>
    </w:p>
    <w:p>
      <w:r>
        <w:t>Answer: Within 60 minutes.</w:t>
      </w:r>
    </w:p>
    <w:p>
      <w:pPr>
        <w:pStyle w:val="Heading2"/>
      </w:pPr>
      <w:r>
        <w:t>Q26</w:t>
      </w:r>
    </w:p>
    <w:p>
      <w:r>
        <w:t>Question: When is enhancement approval required?</w:t>
      </w:r>
    </w:p>
    <w:p>
      <w:r>
        <w:t>Answer: When the expected bill exceeds the approved amount by 10% or more.</w:t>
      </w:r>
    </w:p>
    <w:p>
      <w:pPr>
        <w:pStyle w:val="Heading2"/>
      </w:pPr>
      <w:r>
        <w:t>Q27</w:t>
      </w:r>
    </w:p>
    <w:p>
      <w:r>
        <w:t>Question: What should be verified before surgery?</w:t>
      </w:r>
    </w:p>
    <w:p>
      <w:r>
        <w:t>Answer: Procedure code, package eligibility, and implant coverage.</w:t>
      </w:r>
    </w:p>
    <w:p>
      <w:pPr>
        <w:pStyle w:val="Heading2"/>
      </w:pPr>
      <w:r>
        <w:t>Q28</w:t>
      </w:r>
    </w:p>
    <w:p>
      <w:r>
        <w:t>Question: What non-payable items require separate identification?</w:t>
      </w:r>
    </w:p>
    <w:p>
      <w:r>
        <w:t>Answer: Registration charges, attendant food, toiletries, telephone charges, and visitor consumables.</w:t>
      </w:r>
    </w:p>
    <w:p>
      <w:pPr>
        <w:pStyle w:val="Heading2"/>
      </w:pPr>
      <w:r>
        <w:t>Q29</w:t>
      </w:r>
    </w:p>
    <w:p>
      <w:r>
        <w:t>Question: How many hours before discharge should final authorization be requested?</w:t>
      </w:r>
    </w:p>
    <w:p>
      <w:r>
        <w:t>Answer: At least 4 hours before discharge.</w:t>
      </w:r>
    </w:p>
    <w:p>
      <w:pPr>
        <w:pStyle w:val="Heading2"/>
      </w:pPr>
      <w:r>
        <w:t>Q30</w:t>
      </w:r>
    </w:p>
    <w:p>
      <w:r>
        <w:t>Question: What information must a discharge summary contain?</w:t>
      </w:r>
    </w:p>
    <w:p>
      <w:r>
        <w:t>Answer: Patient information, diagnoses, procedures, treatment, outcome, medication advice, and follow-up instructions.</w:t>
      </w:r>
    </w:p>
    <w:p>
      <w:pPr>
        <w:pStyle w:val="Heading2"/>
      </w:pPr>
      <w:r>
        <w:t>Q31</w:t>
      </w:r>
    </w:p>
    <w:p>
      <w:r>
        <w:t>Question: What is the response time for a document query?</w:t>
      </w:r>
    </w:p>
    <w:p>
      <w:r>
        <w:t>Answer: 2 hours.</w:t>
      </w:r>
    </w:p>
    <w:p>
      <w:pPr>
        <w:pStyle w:val="Heading2"/>
      </w:pPr>
      <w:r>
        <w:t>Q32</w:t>
      </w:r>
    </w:p>
    <w:p>
      <w:r>
        <w:t>Question: Name three fraud indicators.</w:t>
      </w:r>
    </w:p>
    <w:p>
      <w:r>
        <w:t>Answer: Identity mismatch, fabricated documents, and inflated billing.</w:t>
      </w:r>
    </w:p>
    <w:p>
      <w:pPr>
        <w:pStyle w:val="Heading2"/>
      </w:pPr>
      <w:r>
        <w:t>Q33</w:t>
      </w:r>
    </w:p>
    <w:p>
      <w:r>
        <w:t>Question: How long should medical records be retained according to SOP?</w:t>
      </w:r>
    </w:p>
    <w:p>
      <w:r>
        <w:t>Answer: 10 years.</w:t>
      </w:r>
    </w:p>
    <w:p>
      <w:pPr>
        <w:pStyle w:val="Heading2"/>
      </w:pPr>
      <w:r>
        <w:t>Q34</w:t>
      </w:r>
    </w:p>
    <w:p>
      <w:r>
        <w:t>Question: What is the claim rejection rate KPI target?</w:t>
      </w:r>
    </w:p>
    <w:p>
      <w:r>
        <w:t>Answer: Less than 2%.</w:t>
      </w:r>
    </w:p>
    <w:p>
      <w:pPr>
        <w:pStyle w:val="Heading2"/>
      </w:pPr>
      <w:r>
        <w:t>Q35</w:t>
      </w:r>
    </w:p>
    <w:p>
      <w:r>
        <w:t>Question: What was the final diagnosis of patient HSP1001?</w:t>
      </w:r>
    </w:p>
    <w:p>
      <w:r>
        <w:t>Answer: Uncontrolled Type 2 Diabetes Mellitus with Diabetic Neuropathy.</w:t>
      </w:r>
    </w:p>
    <w:p>
      <w:pPr>
        <w:pStyle w:val="Heading2"/>
      </w:pPr>
      <w:r>
        <w:t>Q36</w:t>
      </w:r>
    </w:p>
    <w:p>
      <w:r>
        <w:t>Question: What was the HbA1c value of patient HSP1001?</w:t>
      </w:r>
    </w:p>
    <w:p>
      <w:r>
        <w:t>Answer: 10.2%.</w:t>
      </w:r>
    </w:p>
    <w:p>
      <w:pPr>
        <w:pStyle w:val="Heading2"/>
      </w:pPr>
      <w:r>
        <w:t>Q37</w:t>
      </w:r>
    </w:p>
    <w:p>
      <w:r>
        <w:t>Question: Which medication was prescribed to HSP1002 for hypertension?</w:t>
      </w:r>
    </w:p>
    <w:p>
      <w:r>
        <w:t>Answer: Amlodipine 5 mg OD and Telmisartan 40 mg OD.</w:t>
      </w:r>
    </w:p>
    <w:p>
      <w:pPr>
        <w:pStyle w:val="Heading2"/>
      </w:pPr>
      <w:r>
        <w:t>Q38</w:t>
      </w:r>
    </w:p>
    <w:p>
      <w:r>
        <w:t>Question: What diagnosis was given to HSP1003?</w:t>
      </w:r>
    </w:p>
    <w:p>
      <w:r>
        <w:t>Answer: Right Lower Lobe Pneumonia.</w:t>
      </w:r>
    </w:p>
    <w:p>
      <w:pPr>
        <w:pStyle w:val="Heading2"/>
      </w:pPr>
      <w:r>
        <w:t>Q39</w:t>
      </w:r>
    </w:p>
    <w:p>
      <w:r>
        <w:t>Question: What treatment was provided for moderate COVID-19 pneumonia?</w:t>
      </w:r>
    </w:p>
    <w:p>
      <w:r>
        <w:t>Answer: Oxygen therapy, Remdesivir, and Dexamethasone.</w:t>
      </w:r>
    </w:p>
    <w:p>
      <w:pPr>
        <w:pStyle w:val="Heading2"/>
      </w:pPr>
      <w:r>
        <w:t>Q40</w:t>
      </w:r>
    </w:p>
    <w:p>
      <w:r>
        <w:t>Question: What was the platelet count of the dengue patient?</w:t>
      </w:r>
    </w:p>
    <w:p>
      <w:r>
        <w:t>Answer: 68,000/mm3.</w:t>
      </w:r>
    </w:p>
    <w:p>
      <w:pPr>
        <w:pStyle w:val="Heading2"/>
      </w:pPr>
      <w:r>
        <w:t>Q41</w:t>
      </w:r>
    </w:p>
    <w:p>
      <w:r>
        <w:t>Question: What treatment was given for CKD Stage IV?</w:t>
      </w:r>
    </w:p>
    <w:p>
      <w:r>
        <w:t>Answer: Hemodialysis and fluid restriction.</w:t>
      </w:r>
    </w:p>
    <w:p>
      <w:pPr>
        <w:pStyle w:val="Heading2"/>
      </w:pPr>
      <w:r>
        <w:t>Q42</w:t>
      </w:r>
    </w:p>
    <w:p>
      <w:r>
        <w:t>Question: What procedure was performed for STEMI patient HSP1010?</w:t>
      </w:r>
    </w:p>
    <w:p>
      <w:r>
        <w:t>Answer: Primary PCI with Drug Eluting Stent.</w:t>
      </w:r>
    </w:p>
    <w:p>
      <w:pPr>
        <w:pStyle w:val="Heading2"/>
      </w:pPr>
      <w:r>
        <w:t>Q43</w:t>
      </w:r>
    </w:p>
    <w:p>
      <w:r>
        <w:t>Question: Who is the morning consultant in Pediatrics?</w:t>
      </w:r>
    </w:p>
    <w:p>
      <w:r>
        <w:t>Answer: Dr. Pooja Verma.</w:t>
      </w:r>
    </w:p>
    <w:p>
      <w:pPr>
        <w:pStyle w:val="Heading2"/>
      </w:pPr>
      <w:r>
        <w:t>Q44</w:t>
      </w:r>
    </w:p>
    <w:p>
      <w:r>
        <w:t>Question: What is the Code Blue emergency contact number?</w:t>
      </w:r>
    </w:p>
    <w:p>
      <w:r>
        <w:t>Answer: 2222.</w:t>
      </w:r>
    </w:p>
    <w:p>
      <w:pPr>
        <w:pStyle w:val="Heading2"/>
      </w:pPr>
      <w:r>
        <w:t>Q45</w:t>
      </w:r>
    </w:p>
    <w:p>
      <w:r>
        <w:t>Question: Who is the consultant in ICU sample operations?</w:t>
      </w:r>
    </w:p>
    <w:p>
      <w:r>
        <w:t>Answer: Dr. Rajiv Nanda.</w:t>
      </w:r>
    </w:p>
    <w:p>
      <w:pPr>
        <w:pStyle w:val="Heading2"/>
      </w:pPr>
      <w:r>
        <w:t>Q46</w:t>
      </w:r>
    </w:p>
    <w:p>
      <w:r>
        <w:t>Question: What are key NABH compliance areas related to patient care?</w:t>
      </w:r>
    </w:p>
    <w:p>
      <w:r>
        <w:t>Answer: Access and continuity of care, care of patients, medication management, patient rights, infection control, and information management.</w:t>
      </w:r>
    </w:p>
    <w:p>
      <w:pPr>
        <w:pStyle w:val="Heading2"/>
      </w:pPr>
      <w:r>
        <w:t>Q47</w:t>
      </w:r>
    </w:p>
    <w:p>
      <w:r>
        <w:t>Question: What are examples of Protected Health Information (PHI)?</w:t>
      </w:r>
    </w:p>
    <w:p>
      <w:r>
        <w:t>Answer: Patient name, medical record number, diagnosis, insurance details, laboratory reports, and treatment information.</w:t>
      </w:r>
    </w:p>
    <w:p>
      <w:pPr>
        <w:pStyle w:val="Heading2"/>
      </w:pPr>
      <w:r>
        <w:t>Q48</w:t>
      </w:r>
    </w:p>
    <w:p>
      <w:r>
        <w:t>Question: What is required for valid consent?</w:t>
      </w:r>
    </w:p>
    <w:p>
      <w:r>
        <w:t>Answer: Patient identification, capacity assessment, voluntary agreement, witness where applicable, and documentation.</w:t>
      </w:r>
    </w:p>
    <w:p>
      <w:pPr>
        <w:pStyle w:val="Heading2"/>
      </w:pPr>
      <w:r>
        <w:t>Q49</w:t>
      </w:r>
    </w:p>
    <w:p>
      <w:r>
        <w:t>Question: Within how many hours must a serious incident be reported?</w:t>
      </w:r>
    </w:p>
    <w:p>
      <w:r>
        <w:t>Answer: Within 2 hours.</w:t>
      </w:r>
    </w:p>
    <w:p>
      <w:pPr>
        <w:pStyle w:val="Heading2"/>
      </w:pPr>
      <w:r>
        <w:t>Q50</w:t>
      </w:r>
    </w:p>
    <w:p>
      <w:r>
        <w:t>Question: What are the patient's core rights under the compliance policy?</w:t>
      </w:r>
    </w:p>
    <w:p>
      <w:r>
        <w:t>Answer: Respect, dignity, privacy, confidentiality, safe care, access to information, treatment refusal, second opinion, and complaint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