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5-islands"/>
      <w:r>
        <w:t xml:space="preserve">Ecosystem Env6_sdm5 Islands</w:t>
      </w:r>
      <w:bookmarkEnd w:id="20"/>
    </w:p>
    <w:p>
      <w:pPr>
        <w:pStyle w:val="FirstParagraph"/>
      </w:pPr>
      <w:r>
        <w:t xml:space="preserve">Env6_sdm5 Islands. Occurs mainly on the coast of Enderby land, with a scattering of pixels on the north peninsula. Sampled biota mainly mosses and some common lichens, good representation of Adelies, southern giant petrels, snow petrels, wilsons storm petrels, and antarctic petrels, being the most preferred habitat for the latter three. Several Buellia (lichen) species also prefer this habitat, along with a chlorophyte and two tardigrade species. Suitability is relatively highest for Chlorophyta and Dicranales mosses, and also good for Rotifers.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5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5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env6_sdm5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env6_sdm5 ranges from 0 to 2301 metres above sea level, but 90% of its pixels fall above 0 and below 327 metres. Its average elevation is 67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5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Ceratodon purpureus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3.9604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Bryum pseudotriquetrum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Bryophyta_Bryopsida_Bryales___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flava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Rhizoplaca melanophthalma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Rinodina olivaceobrunnea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Caloplaca athallina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1.1701</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env6_sdm5 is higher in suitability for Rotifers, Algae and mosses_Dicranales</w:t>
      </w:r>
      <w:r>
        <w:t xml:space="preserve"> </w:t>
      </w:r>
      <w:r>
        <w:t xml:space="preserve">and lower in suitability for no variables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5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2021-04-29T11:39:35Z</dcterms:created>
  <dcterms:modified xsi:type="dcterms:W3CDTF">2021-04-29T11:39:35Z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