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6-islands"/>
      <w:r>
        <w:t xml:space="preserve">Ecosystem Env6_sdm6 Islands</w:t>
      </w:r>
      <w:bookmarkEnd w:id="20"/>
    </w:p>
    <w:p>
      <w:pPr>
        <w:pStyle w:val="FirstParagraph"/>
      </w:pPr>
      <w:r>
        <w:t xml:space="preserve">Env6_sdm6 Islands. Occurs mainly on the west coast of the north peninsula. Adelie, SP skua, Cape petrel, southern fulmar, chinstrap and gentoo pengins dominate along with a variety of moss species. Suitability low for ochrophytes and rotifers but high for everything else.</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6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6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env6_sdm6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env6_sdm6 ranges from 0 to 2930 metres above sea level, but 90% of its pixels fall above 0 and below 669 metres. Its average elevation is 171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6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Sanionia uncinata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princeps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Cryptopygus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nutans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Polytrichastrum alpinum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Bryophyta_Bryopsida_Polytrichales___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Friesea grisea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Leucocarbo atriceps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Chordata_Aves_Suliformes___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Oppia loxolineata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Rhagidia gerlachei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1.3699</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env6_sdm6 is higher in suitability for no variables</w:t>
      </w:r>
      <w:r>
        <w:t xml:space="preserve"> </w:t>
      </w:r>
      <w:r>
        <w:t xml:space="preserve">and lower in suitability for lichens_Acarosporacid, lichens_Teloschistid, lichens_Physcid_(shadow), lichens_Candelarid, lichens_Lecanorid, Rotifers and Algae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6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2021-04-29T11:42:38Z</dcterms:created>
  <dcterms:modified xsi:type="dcterms:W3CDTF">2021-04-29T11:42:38Z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