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i w:val="0"/>
          <w:color w:val="000000"/>
          <w:sz w:val="40"/>
        </w:rPr>
        <w:t>Weather Prediction using Conditional Probability and Bayesian Intelligence: An Empirical Investigation of Atmospheric State Transitions</w:t>
      </w:r>
    </w:p>
    <w:p>
      <w:pPr>
        <w:spacing w:after="240"/>
        <w:jc w:val="center"/>
      </w:pPr>
      <w:r>
        <w:rPr>
          <w:rFonts w:ascii="Times New Roman" w:hAnsi="Times New Roman"/>
          <w:b/>
          <w:i w:val="0"/>
          <w:color w:val="000000"/>
          <w:sz w:val="22"/>
        </w:rPr>
        <w:t>Student Name / Team Members</w:t>
        <w:br/>
      </w:r>
      <w:r>
        <w:rPr>
          <w:rFonts w:ascii="Times New Roman" w:hAnsi="Times New Roman"/>
          <w:b w:val="0"/>
          <w:i/>
          <w:color w:val="000000"/>
          <w:sz w:val="20"/>
        </w:rPr>
        <w:t>Department of Computer Science &amp; Engineering / Data Science</w:t>
        <w:br/>
        <w:t>Course: BAMAT207 - Probability and Statistics | Faculty: Dr. Pallavi Mishra</w:t>
        <w:br/>
      </w:r>
    </w:p>
    <w:p>
      <w:pPr>
        <w:spacing w:before="120" w:after="120"/>
      </w:pPr>
      <w:r>
        <w:rPr>
          <w:rFonts w:ascii="Times New Roman" w:hAnsi="Times New Roman"/>
          <w:b/>
          <w:i/>
          <w:color w:val="000000"/>
          <w:sz w:val="19"/>
        </w:rPr>
        <w:t>Abstract—</w:t>
      </w:r>
      <w:r>
        <w:rPr>
          <w:rFonts w:ascii="Times New Roman" w:hAnsi="Times New Roman"/>
          <w:b w:val="0"/>
          <w:i w:val="0"/>
          <w:color w:val="000000"/>
          <w:sz w:val="19"/>
        </w:rPr>
        <w:t>Accurate precipitation forecasting is essential for agricultural management, civil flood defense, and regional risk mitigation. While contemporary numerical weather prediction (NWP) systems solve coupled partial differential equations of fluid dynamics at vast computational expense, short-term local meteorological transitions are fundamentally governed by probabilistic state persistence and atmospheric thermodynamics. This paper presents a comprehensive mathematical and empirical framework for binary precipitation prediction (RainTomorrow in {0, 1}) grounded in the core principles of Probability and Statistics: Conditional Probability, the Law of Total Probability, Bayes' Theorem, Joint Probability Distributions, and Discrete-Time Markov Chains. Using a verified 10-year observational dataset (N = 3,652 daily records) comprising surface temperature, barometric pressure, relative humidity, and wind speed, we formulate and compare five distinct paradigms: (i) Climatology Prior Baseline, (ii) First-Order Markov Transition Model, (iii) Empirical Multi-Condition Probability Engine, (iv) Gaussian Bayesian Classifier derived from first principles, and (v) Discriminative Logistic Regression. We rigorously demonstrate the empirical validity of the Law of Total Probability (|Delta| &lt; 0.0003) and prove the convergence of the Markov chain to its long-term stationary distribution (pi_Rain = 0.3474). Experimental results indicate that the Gaussian Bayesian Classifier achieves an accuracy of 88.78%, a ROC-AUC of 0.9070, and a Brier Score of 0.1043, demonstrating that pure probabilistic modeling provides computationally lightweight, interpretable, and rigorously calibrated weather forecasting.</w:t>
      </w:r>
    </w:p>
    <w:p>
      <w:r>
        <w:rPr>
          <w:rFonts w:ascii="Times New Roman" w:hAnsi="Times New Roman"/>
          <w:b/>
          <w:i/>
          <w:color w:val="000000"/>
          <w:sz w:val="19"/>
        </w:rPr>
        <w:t>Index Terms—</w:t>
      </w:r>
      <w:r>
        <w:rPr>
          <w:rFonts w:ascii="Times New Roman" w:hAnsi="Times New Roman"/>
          <w:b w:val="0"/>
          <w:i/>
          <w:color w:val="000000"/>
          <w:sz w:val="19"/>
        </w:rPr>
        <w:t>Conditional Probability, Bayes' Theorem, Markov Chains, Law of Total Probability, Bayesian Intelligence, Weather Prediction, Brier Score, Reliability Calibration.</w:t>
      </w:r>
    </w:p>
    <w:p>
      <w:pPr>
        <w:spacing w:before="240" w:after="80"/>
      </w:pPr>
      <w:r>
        <w:rPr>
          <w:rFonts w:ascii="Times New Roman" w:hAnsi="Times New Roman"/>
          <w:b/>
          <w:i w:val="0"/>
          <w:color w:val="000000"/>
          <w:sz w:val="24"/>
        </w:rPr>
        <w:t>I. INTRODUCTION &amp; MOTIVATION</w:t>
      </w:r>
    </w:p>
    <w:p>
      <w:pPr>
        <w:spacing w:after="80" w:line="252" w:lineRule="auto"/>
      </w:pPr>
      <w:r>
        <w:rPr>
          <w:rFonts w:ascii="Times New Roman" w:hAnsi="Times New Roman"/>
          <w:b w:val="0"/>
          <w:i w:val="0"/>
          <w:color w:val="000000"/>
          <w:sz w:val="20"/>
        </w:rPr>
        <w:t>Meteorological forecasting is historically rooted in probability and statistical mechanics. The atmosphere constitutes a non-linear chaotic dynamical system where micro-scale perturbations evolve exponentially over time—a phenomenon famously characterized as the Lorenz attractor. Despite the sophistication of supercomputer-driven Numerical Weather Prediction (NWP) models (such as NOAA's GFS and ECMWF's IFS), high-resolution local weather modeling remains hindered by sensor sparsity, boundary condition uncertainties, and severe computational latency.</w:t>
      </w:r>
    </w:p>
    <w:p>
      <w:pPr>
        <w:spacing w:after="80" w:line="252" w:lineRule="auto"/>
      </w:pPr>
      <w:r>
        <w:rPr>
          <w:rFonts w:ascii="Times New Roman" w:hAnsi="Times New Roman"/>
          <w:b w:val="0"/>
          <w:i w:val="0"/>
          <w:color w:val="000000"/>
          <w:sz w:val="20"/>
        </w:rPr>
        <w:t>For daily operational decisions—such as predicting whether rainfall exceeding 1.0 mm will occur tomorrow—probabilistic estimation offers significant advantages over deterministic point estimates. A quantitative forecast of P(RainTomorrow = 1) = 0.78 empowers decision-makers with quantified risk, unlike an uncalibrated binary 'Yes/No' forecast. Within the academic curriculum of Probability and Statistics (BAMAT207), Track 1: Bayesian Intelligence provides the exact mathematical foundation needed to address this challenge. Rather than treating machine learning as an uninterpretable black box, this research grounds weather forecasting in foundational axioms of probability: Conditional Probability, Bayes' Theorem, the Law of Total Probability, and Markov Decision Chains.</w:t>
      </w:r>
    </w:p>
    <w:p>
      <w:pPr>
        <w:spacing w:before="240" w:after="80"/>
      </w:pPr>
      <w:r>
        <w:rPr>
          <w:rFonts w:ascii="Times New Roman" w:hAnsi="Times New Roman"/>
          <w:b/>
          <w:i w:val="0"/>
          <w:color w:val="000000"/>
          <w:sz w:val="24"/>
        </w:rPr>
        <w:t>II. PROBLEM STATEMENT &amp; MATHEMATICAL FOUNDATIONS</w:t>
      </w:r>
    </w:p>
    <w:p>
      <w:pPr>
        <w:spacing w:after="80" w:line="252" w:lineRule="auto"/>
      </w:pPr>
      <w:r>
        <w:rPr>
          <w:rFonts w:ascii="Times New Roman" w:hAnsi="Times New Roman"/>
          <w:b w:val="0"/>
          <w:i w:val="0"/>
          <w:color w:val="000000"/>
          <w:sz w:val="20"/>
        </w:rPr>
        <w:t>Let the observational time series of daily meteorological measurements be denoted by D = {(x_t, y_{t+1})}_{t=1}^N, where x_t in R^d is an 8-dimensional atmospheric feature vector recorded on day t, and y_{t+1} in {0, 1} is the target precipitation event on day t+1.</w:t>
      </w:r>
    </w:p>
    <w:p>
      <w:pPr>
        <w:spacing w:before="160" w:after="40"/>
      </w:pPr>
      <w:r>
        <w:rPr>
          <w:rFonts w:ascii="Times New Roman" w:hAnsi="Times New Roman"/>
          <w:b/>
          <w:i/>
          <w:color w:val="000000"/>
          <w:sz w:val="22"/>
        </w:rPr>
        <w:t>A. Conditional Probability &amp; Laplace Smoothing</w:t>
      </w:r>
    </w:p>
    <w:p>
      <w:pPr>
        <w:spacing w:after="80" w:line="252" w:lineRule="auto"/>
      </w:pPr>
      <w:r>
        <w:rPr>
          <w:rFonts w:ascii="Times New Roman" w:hAnsi="Times New Roman"/>
          <w:b w:val="0"/>
          <w:i w:val="0"/>
          <w:color w:val="000000"/>
          <w:sz w:val="20"/>
        </w:rPr>
        <w:t>By Kolmogorov's definition, the conditional probability of rain given atmospheric condition B is:</w:t>
      </w:r>
    </w:p>
    <w:p>
      <w:pPr>
        <w:spacing w:before="80" w:after="80"/>
        <w:jc w:val="center"/>
      </w:pPr>
      <w:r>
        <w:rPr>
          <w:rFonts w:ascii="Courier New" w:hAnsi="Courier New"/>
          <w:b w:val="0"/>
          <w:i/>
          <w:color w:val="14145A"/>
          <w:sz w:val="19"/>
        </w:rPr>
        <w:t>P(A | B) = P(A ∩ B) / P(B),   where P(B) &gt; 0</w:t>
      </w:r>
    </w:p>
    <w:p>
      <w:pPr>
        <w:spacing w:after="80" w:line="252" w:lineRule="auto"/>
      </w:pPr>
      <w:r>
        <w:rPr>
          <w:rFonts w:ascii="Times New Roman" w:hAnsi="Times New Roman"/>
          <w:b w:val="0"/>
          <w:i w:val="0"/>
          <w:color w:val="000000"/>
          <w:sz w:val="20"/>
        </w:rPr>
        <w:t>To prevent arithmetic singularities from unobserved environmental combinations, we implement Laplace Additive Smoothing:</w:t>
      </w:r>
    </w:p>
    <w:p>
      <w:pPr>
        <w:spacing w:before="80" w:after="80"/>
        <w:jc w:val="center"/>
      </w:pPr>
      <w:r>
        <w:rPr>
          <w:rFonts w:ascii="Courier New" w:hAnsi="Courier New"/>
          <w:b w:val="0"/>
          <w:i/>
          <w:color w:val="14145A"/>
          <w:sz w:val="19"/>
        </w:rPr>
        <w:t>P_hat(Rain_{t+1} = 1 | H_t = h, P_t = p) = [ N(Rain, h, p) + alpha ] / [ N(h, p) + 2*alpha ],   alpha = 1.0</w:t>
      </w:r>
    </w:p>
    <w:p>
      <w:pPr>
        <w:spacing w:before="160" w:after="40"/>
      </w:pPr>
      <w:r>
        <w:rPr>
          <w:rFonts w:ascii="Times New Roman" w:hAnsi="Times New Roman"/>
          <w:b/>
          <w:i/>
          <w:color w:val="000000"/>
          <w:sz w:val="22"/>
        </w:rPr>
        <w:t>B. Law of Total Probability</w:t>
      </w:r>
    </w:p>
    <w:p>
      <w:pPr>
        <w:spacing w:after="80" w:line="252" w:lineRule="auto"/>
      </w:pPr>
      <w:r>
        <w:rPr>
          <w:rFonts w:ascii="Times New Roman" w:hAnsi="Times New Roman"/>
          <w:b w:val="0"/>
          <w:i w:val="0"/>
          <w:color w:val="000000"/>
          <w:sz w:val="20"/>
        </w:rPr>
        <w:t>Let {H_1, H_2, ..., H_K} form a mutually exclusive and exhaustive partition of atmospheric humidity. Then:</w:t>
      </w:r>
    </w:p>
    <w:p>
      <w:pPr>
        <w:spacing w:before="80" w:after="80"/>
        <w:jc w:val="center"/>
      </w:pPr>
      <w:r>
        <w:rPr>
          <w:rFonts w:ascii="Courier New" w:hAnsi="Courier New"/>
          <w:b w:val="0"/>
          <w:i/>
          <w:color w:val="14145A"/>
          <w:sz w:val="19"/>
        </w:rPr>
        <w:t>P(Rain_{t+1} = 1) = sum_{k=1}^K P(Rain_{t+1} = 1 | H_k) * P(H_k)</w:t>
      </w:r>
    </w:p>
    <w:p>
      <w:pPr>
        <w:spacing w:before="160" w:after="40"/>
      </w:pPr>
      <w:r>
        <w:rPr>
          <w:rFonts w:ascii="Times New Roman" w:hAnsi="Times New Roman"/>
          <w:b/>
          <w:i/>
          <w:color w:val="000000"/>
          <w:sz w:val="22"/>
        </w:rPr>
        <w:t>C. Bayes' Theorem and Posterior Likelihoods</w:t>
      </w:r>
    </w:p>
    <w:p>
      <w:pPr>
        <w:spacing w:after="80" w:line="252" w:lineRule="auto"/>
      </w:pPr>
      <w:r>
        <w:rPr>
          <w:rFonts w:ascii="Times New Roman" w:hAnsi="Times New Roman"/>
          <w:b w:val="0"/>
          <w:i w:val="0"/>
          <w:color w:val="000000"/>
          <w:sz w:val="20"/>
        </w:rPr>
        <w:t>Bayes' theorem updates the prior belief P(Y=c) upon observing continuous sensor vector x:</w:t>
      </w:r>
    </w:p>
    <w:p>
      <w:pPr>
        <w:spacing w:before="80" w:after="80"/>
        <w:jc w:val="center"/>
      </w:pPr>
      <w:r>
        <w:rPr>
          <w:rFonts w:ascii="Courier New" w:hAnsi="Courier New"/>
          <w:b w:val="0"/>
          <w:i/>
          <w:color w:val="14145A"/>
          <w:sz w:val="19"/>
        </w:rPr>
        <w:t>P(Y = c | x) = [ P(x | Y = c) * P(Y = c) ] / [ sum_k P(x | Y = k) * P(Y = k) ]</w:t>
      </w:r>
    </w:p>
    <w:p>
      <w:pPr>
        <w:spacing w:after="80" w:line="252" w:lineRule="auto"/>
      </w:pPr>
      <w:r>
        <w:rPr>
          <w:rFonts w:ascii="Times New Roman" w:hAnsi="Times New Roman"/>
          <w:b w:val="0"/>
          <w:i w:val="0"/>
          <w:color w:val="000000"/>
          <w:sz w:val="20"/>
        </w:rPr>
        <w:t>Under Gaussian Naive Bayes, class-conditional likelihoods follow univariate normal densities:</w:t>
      </w:r>
    </w:p>
    <w:p>
      <w:pPr>
        <w:spacing w:before="80" w:after="80"/>
        <w:jc w:val="center"/>
      </w:pPr>
      <w:r>
        <w:rPr>
          <w:rFonts w:ascii="Courier New" w:hAnsi="Courier New"/>
          <w:b w:val="0"/>
          <w:i/>
          <w:color w:val="14145A"/>
          <w:sz w:val="19"/>
        </w:rPr>
        <w:t>P(x_j | Y = c) = (1 / sqrt(2*pi*sigma_cj^2)) * exp( - (x_j - mu_cj)^2 / (2*sigma_cj^2) )</w:t>
      </w:r>
    </w:p>
    <w:p>
      <w:pPr>
        <w:spacing w:before="160" w:after="40"/>
      </w:pPr>
      <w:r>
        <w:rPr>
          <w:rFonts w:ascii="Times New Roman" w:hAnsi="Times New Roman"/>
          <w:b/>
          <w:i/>
          <w:color w:val="000000"/>
          <w:sz w:val="22"/>
        </w:rPr>
        <w:t>D. Discrete Markov State Transitions</w:t>
      </w:r>
    </w:p>
    <w:p>
      <w:pPr>
        <w:spacing w:after="80" w:line="252" w:lineRule="auto"/>
      </w:pPr>
      <w:r>
        <w:rPr>
          <w:rFonts w:ascii="Times New Roman" w:hAnsi="Times New Roman"/>
          <w:b w:val="0"/>
          <w:i w:val="0"/>
          <w:color w:val="000000"/>
          <w:sz w:val="20"/>
        </w:rPr>
        <w:t>Modeling daily precipitation state transitions as a discrete first-order Markov chain:</w:t>
      </w:r>
    </w:p>
    <w:p>
      <w:pPr>
        <w:spacing w:before="80" w:after="80"/>
        <w:jc w:val="center"/>
      </w:pPr>
      <w:r>
        <w:rPr>
          <w:rFonts w:ascii="Courier New" w:hAnsi="Courier New"/>
          <w:b w:val="0"/>
          <w:i/>
          <w:color w:val="14145A"/>
          <w:sz w:val="19"/>
        </w:rPr>
        <w:t>P(W_{t+1} = j | W_t = i) = P_{ij},   T = [ [P_00, P_01], [P_10, P_11] ]</w:t>
      </w:r>
    </w:p>
    <w:p>
      <w:pPr>
        <w:spacing w:after="80" w:line="252" w:lineRule="auto"/>
      </w:pPr>
      <w:r>
        <w:rPr>
          <w:rFonts w:ascii="Times New Roman" w:hAnsi="Times New Roman"/>
          <w:b w:val="0"/>
          <w:i w:val="0"/>
          <w:color w:val="000000"/>
          <w:sz w:val="20"/>
        </w:rPr>
        <w:t>The long-term stationary distribution pi = [pi_0, pi_1] satisfies pi * T = pi with pi_0 + pi_1 = 1.</w:t>
      </w:r>
    </w:p>
    <w:p>
      <w:pPr>
        <w:spacing w:before="240" w:after="80"/>
      </w:pPr>
      <w:r>
        <w:rPr>
          <w:rFonts w:ascii="Times New Roman" w:hAnsi="Times New Roman"/>
          <w:b/>
          <w:i w:val="0"/>
          <w:color w:val="000000"/>
          <w:sz w:val="24"/>
        </w:rPr>
        <w:t>III. DATASET DESCRIPTION &amp; EXPERIMENTAL SETUP</w:t>
      </w:r>
    </w:p>
    <w:p>
      <w:pPr>
        <w:spacing w:after="80" w:line="252" w:lineRule="auto"/>
      </w:pPr>
      <w:r>
        <w:rPr>
          <w:rFonts w:ascii="Times New Roman" w:hAnsi="Times New Roman"/>
          <w:b w:val="0"/>
          <w:i w:val="0"/>
          <w:color w:val="000000"/>
          <w:sz w:val="20"/>
        </w:rPr>
        <w:t>We utilize a 10-year continuous observational meteorological record (2015-01-01 to 2024-12-31, N = 3,652 days). The data is split chronologically into a Training Set of 2,921 days (80.0%) and an Unseen Test Set of 731 days (20.0%). Measured covariates include Maximum Temperature, Minimum Temperature, Diurnal Temperature Range, Mean Relative Humidity, Surface Barometric Pressure, Maximum Wind Gust Speed, and Rain Today.</w:t>
      </w:r>
    </w:p>
    <w:p>
      <w:pPr>
        <w:spacing w:before="240" w:after="80"/>
      </w:pPr>
      <w:r>
        <w:rPr>
          <w:rFonts w:ascii="Times New Roman" w:hAnsi="Times New Roman"/>
          <w:b/>
          <w:i w:val="0"/>
          <w:color w:val="000000"/>
          <w:sz w:val="24"/>
        </w:rPr>
        <w:t>IV. EXPERIMENTAL RESULTS &amp; COMPARATIVE ANALYSIS</w:t>
      </w:r>
    </w:p>
    <w:p>
      <w:pPr>
        <w:spacing w:after="80" w:line="252" w:lineRule="auto"/>
      </w:pPr>
      <w:r>
        <w:rPr>
          <w:rFonts w:ascii="Times New Roman" w:hAnsi="Times New Roman"/>
          <w:b w:val="0"/>
          <w:i w:val="0"/>
          <w:color w:val="000000"/>
          <w:sz w:val="20"/>
        </w:rPr>
        <w:t>Table I displays the performance comparison across all five models on the 731-day unseen future test set.</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tcPr>
          <w:p>
            <w:r>
              <w:rPr>
                <w:rFonts w:ascii="Times New Roman" w:hAnsi="Times New Roman"/>
                <w:b/>
                <w:i w:val="0"/>
                <w:color w:val="000000"/>
                <w:sz w:val="18"/>
              </w:rPr>
              <w:t>Model</w:t>
            </w:r>
          </w:p>
        </w:tc>
        <w:tc>
          <w:tcPr>
            <w:tcW w:type="dxa" w:w="1440"/>
          </w:tcPr>
          <w:p>
            <w:r>
              <w:rPr>
                <w:rFonts w:ascii="Times New Roman" w:hAnsi="Times New Roman"/>
                <w:b/>
                <w:i w:val="0"/>
                <w:color w:val="000000"/>
                <w:sz w:val="18"/>
              </w:rPr>
              <w:t>Accuracy</w:t>
            </w:r>
          </w:p>
        </w:tc>
        <w:tc>
          <w:tcPr>
            <w:tcW w:type="dxa" w:w="1440"/>
          </w:tcPr>
          <w:p>
            <w:r>
              <w:rPr>
                <w:rFonts w:ascii="Times New Roman" w:hAnsi="Times New Roman"/>
                <w:b/>
                <w:i w:val="0"/>
                <w:color w:val="000000"/>
                <w:sz w:val="18"/>
              </w:rPr>
              <w:t>Precision</w:t>
            </w:r>
          </w:p>
        </w:tc>
        <w:tc>
          <w:tcPr>
            <w:tcW w:type="dxa" w:w="1440"/>
          </w:tcPr>
          <w:p>
            <w:r>
              <w:rPr>
                <w:rFonts w:ascii="Times New Roman" w:hAnsi="Times New Roman"/>
                <w:b/>
                <w:i w:val="0"/>
                <w:color w:val="000000"/>
                <w:sz w:val="18"/>
              </w:rPr>
              <w:t>Recall</w:t>
            </w:r>
          </w:p>
        </w:tc>
        <w:tc>
          <w:tcPr>
            <w:tcW w:type="dxa" w:w="1440"/>
          </w:tcPr>
          <w:p>
            <w:r>
              <w:rPr>
                <w:rFonts w:ascii="Times New Roman" w:hAnsi="Times New Roman"/>
                <w:b/>
                <w:i w:val="0"/>
                <w:color w:val="000000"/>
                <w:sz w:val="18"/>
              </w:rPr>
              <w:t>F1-Score</w:t>
            </w:r>
          </w:p>
        </w:tc>
        <w:tc>
          <w:tcPr>
            <w:tcW w:type="dxa" w:w="1440"/>
          </w:tcPr>
          <w:p>
            <w:r>
              <w:rPr>
                <w:rFonts w:ascii="Times New Roman" w:hAnsi="Times New Roman"/>
                <w:b/>
                <w:i w:val="0"/>
                <w:color w:val="000000"/>
                <w:sz w:val="18"/>
              </w:rPr>
              <w:t>ROC-AUC</w:t>
            </w:r>
          </w:p>
        </w:tc>
        <w:tc>
          <w:tcPr>
            <w:tcW w:type="dxa" w:w="1440"/>
          </w:tcPr>
          <w:p>
            <w:r>
              <w:rPr>
                <w:rFonts w:ascii="Times New Roman" w:hAnsi="Times New Roman"/>
                <w:b/>
                <w:i w:val="0"/>
                <w:color w:val="000000"/>
                <w:sz w:val="18"/>
              </w:rPr>
              <w:t>Brier Score</w:t>
            </w:r>
          </w:p>
        </w:tc>
      </w:tr>
      <w:tr>
        <w:tc>
          <w:tcPr>
            <w:tcW w:type="dxa" w:w="1440"/>
          </w:tcPr>
          <w:p>
            <w:r>
              <w:rPr>
                <w:rFonts w:ascii="Times New Roman" w:hAnsi="Times New Roman"/>
                <w:b w:val="0"/>
                <w:i w:val="0"/>
                <w:color w:val="000000"/>
                <w:sz w:val="17"/>
              </w:rPr>
              <w:t>Climatology Baseline</w:t>
            </w:r>
          </w:p>
        </w:tc>
        <w:tc>
          <w:tcPr>
            <w:tcW w:type="dxa" w:w="1440"/>
          </w:tcPr>
          <w:p>
            <w:r>
              <w:rPr>
                <w:rFonts w:ascii="Times New Roman" w:hAnsi="Times New Roman"/>
                <w:b w:val="0"/>
                <w:i w:val="0"/>
                <w:color w:val="000000"/>
                <w:sz w:val="17"/>
              </w:rPr>
              <w:t>0.6731</w:t>
            </w:r>
          </w:p>
        </w:tc>
        <w:tc>
          <w:tcPr>
            <w:tcW w:type="dxa" w:w="1440"/>
          </w:tcPr>
          <w:p>
            <w:r>
              <w:rPr>
                <w:rFonts w:ascii="Times New Roman" w:hAnsi="Times New Roman"/>
                <w:b w:val="0"/>
                <w:i w:val="0"/>
                <w:color w:val="000000"/>
                <w:sz w:val="17"/>
              </w:rPr>
              <w:t>0.0000</w:t>
            </w:r>
          </w:p>
        </w:tc>
        <w:tc>
          <w:tcPr>
            <w:tcW w:type="dxa" w:w="1440"/>
          </w:tcPr>
          <w:p>
            <w:r>
              <w:rPr>
                <w:rFonts w:ascii="Times New Roman" w:hAnsi="Times New Roman"/>
                <w:b w:val="0"/>
                <w:i w:val="0"/>
                <w:color w:val="000000"/>
                <w:sz w:val="17"/>
              </w:rPr>
              <w:t>0.0000</w:t>
            </w:r>
          </w:p>
        </w:tc>
        <w:tc>
          <w:tcPr>
            <w:tcW w:type="dxa" w:w="1440"/>
          </w:tcPr>
          <w:p>
            <w:r>
              <w:rPr>
                <w:rFonts w:ascii="Times New Roman" w:hAnsi="Times New Roman"/>
                <w:b w:val="0"/>
                <w:i w:val="0"/>
                <w:color w:val="000000"/>
                <w:sz w:val="17"/>
              </w:rPr>
              <w:t>0.0000</w:t>
            </w:r>
          </w:p>
        </w:tc>
        <w:tc>
          <w:tcPr>
            <w:tcW w:type="dxa" w:w="1440"/>
          </w:tcPr>
          <w:p>
            <w:r>
              <w:rPr>
                <w:rFonts w:ascii="Times New Roman" w:hAnsi="Times New Roman"/>
                <w:b w:val="0"/>
                <w:i w:val="0"/>
                <w:color w:val="000000"/>
                <w:sz w:val="17"/>
              </w:rPr>
              <w:t>0.5000</w:t>
            </w:r>
          </w:p>
        </w:tc>
        <w:tc>
          <w:tcPr>
            <w:tcW w:type="dxa" w:w="1440"/>
          </w:tcPr>
          <w:p>
            <w:r>
              <w:rPr>
                <w:rFonts w:ascii="Times New Roman" w:hAnsi="Times New Roman"/>
                <w:b w:val="0"/>
                <w:i w:val="0"/>
                <w:color w:val="000000"/>
                <w:sz w:val="17"/>
              </w:rPr>
              <w:t>0.2205</w:t>
            </w:r>
          </w:p>
        </w:tc>
      </w:tr>
      <w:tr>
        <w:tc>
          <w:tcPr>
            <w:tcW w:type="dxa" w:w="1440"/>
          </w:tcPr>
          <w:p>
            <w:r>
              <w:rPr>
                <w:rFonts w:ascii="Times New Roman" w:hAnsi="Times New Roman"/>
                <w:b w:val="0"/>
                <w:i w:val="0"/>
                <w:color w:val="000000"/>
                <w:sz w:val="17"/>
              </w:rPr>
              <w:t>Markov Chain (1st Order)</w:t>
            </w:r>
          </w:p>
        </w:tc>
        <w:tc>
          <w:tcPr>
            <w:tcW w:type="dxa" w:w="1440"/>
          </w:tcPr>
          <w:p>
            <w:r>
              <w:rPr>
                <w:rFonts w:ascii="Times New Roman" w:hAnsi="Times New Roman"/>
                <w:b w:val="0"/>
                <w:i w:val="0"/>
                <w:color w:val="000000"/>
                <w:sz w:val="17"/>
              </w:rPr>
              <w:t>0.8824</w:t>
            </w:r>
          </w:p>
        </w:tc>
        <w:tc>
          <w:tcPr>
            <w:tcW w:type="dxa" w:w="1440"/>
          </w:tcPr>
          <w:p>
            <w:r>
              <w:rPr>
                <w:rFonts w:ascii="Times New Roman" w:hAnsi="Times New Roman"/>
                <w:b w:val="0"/>
                <w:i w:val="0"/>
                <w:color w:val="000000"/>
                <w:sz w:val="17"/>
              </w:rPr>
              <w:t>0.8201</w:t>
            </w:r>
          </w:p>
        </w:tc>
        <w:tc>
          <w:tcPr>
            <w:tcW w:type="dxa" w:w="1440"/>
          </w:tcPr>
          <w:p>
            <w:r>
              <w:rPr>
                <w:rFonts w:ascii="Times New Roman" w:hAnsi="Times New Roman"/>
                <w:b w:val="0"/>
                <w:i w:val="0"/>
                <w:color w:val="000000"/>
                <w:sz w:val="17"/>
              </w:rPr>
              <w:t>0.8201</w:t>
            </w:r>
          </w:p>
        </w:tc>
        <w:tc>
          <w:tcPr>
            <w:tcW w:type="dxa" w:w="1440"/>
          </w:tcPr>
          <w:p>
            <w:r>
              <w:rPr>
                <w:rFonts w:ascii="Times New Roman" w:hAnsi="Times New Roman"/>
                <w:b w:val="0"/>
                <w:i w:val="0"/>
                <w:color w:val="000000"/>
                <w:sz w:val="17"/>
              </w:rPr>
              <w:t>0.8201</w:t>
            </w:r>
          </w:p>
        </w:tc>
        <w:tc>
          <w:tcPr>
            <w:tcW w:type="dxa" w:w="1440"/>
          </w:tcPr>
          <w:p>
            <w:r>
              <w:rPr>
                <w:rFonts w:ascii="Times New Roman" w:hAnsi="Times New Roman"/>
                <w:b w:val="0"/>
                <w:i w:val="0"/>
                <w:color w:val="000000"/>
                <w:sz w:val="17"/>
              </w:rPr>
              <w:t>0.8663</w:t>
            </w:r>
          </w:p>
        </w:tc>
        <w:tc>
          <w:tcPr>
            <w:tcW w:type="dxa" w:w="1440"/>
          </w:tcPr>
          <w:p>
            <w:r>
              <w:rPr>
                <w:rFonts w:ascii="Times New Roman" w:hAnsi="Times New Roman"/>
                <w:b w:val="0"/>
                <w:i w:val="0"/>
                <w:color w:val="000000"/>
                <w:sz w:val="17"/>
              </w:rPr>
              <w:t>0.1020</w:t>
            </w:r>
          </w:p>
        </w:tc>
      </w:tr>
      <w:tr>
        <w:tc>
          <w:tcPr>
            <w:tcW w:type="dxa" w:w="1440"/>
          </w:tcPr>
          <w:p>
            <w:r>
              <w:rPr>
                <w:rFonts w:ascii="Times New Roman" w:hAnsi="Times New Roman"/>
                <w:b w:val="0"/>
                <w:i w:val="0"/>
                <w:color w:val="000000"/>
                <w:sz w:val="17"/>
              </w:rPr>
              <w:t>Empirical Conditional Prob</w:t>
            </w:r>
          </w:p>
        </w:tc>
        <w:tc>
          <w:tcPr>
            <w:tcW w:type="dxa" w:w="1440"/>
          </w:tcPr>
          <w:p>
            <w:r>
              <w:rPr>
                <w:rFonts w:ascii="Times New Roman" w:hAnsi="Times New Roman"/>
                <w:b w:val="0"/>
                <w:i w:val="0"/>
                <w:color w:val="000000"/>
                <w:sz w:val="17"/>
              </w:rPr>
              <w:t>0.8673</w:t>
            </w:r>
          </w:p>
        </w:tc>
        <w:tc>
          <w:tcPr>
            <w:tcW w:type="dxa" w:w="1440"/>
          </w:tcPr>
          <w:p>
            <w:r>
              <w:rPr>
                <w:rFonts w:ascii="Times New Roman" w:hAnsi="Times New Roman"/>
                <w:b w:val="0"/>
                <w:i w:val="0"/>
                <w:color w:val="000000"/>
                <w:sz w:val="17"/>
              </w:rPr>
              <w:t>0.8381</w:t>
            </w:r>
          </w:p>
        </w:tc>
        <w:tc>
          <w:tcPr>
            <w:tcW w:type="dxa" w:w="1440"/>
          </w:tcPr>
          <w:p>
            <w:r>
              <w:rPr>
                <w:rFonts w:ascii="Times New Roman" w:hAnsi="Times New Roman"/>
                <w:b w:val="0"/>
                <w:i w:val="0"/>
                <w:color w:val="000000"/>
                <w:sz w:val="17"/>
              </w:rPr>
              <w:t>0.7364</w:t>
            </w:r>
          </w:p>
        </w:tc>
        <w:tc>
          <w:tcPr>
            <w:tcW w:type="dxa" w:w="1440"/>
          </w:tcPr>
          <w:p>
            <w:r>
              <w:rPr>
                <w:rFonts w:ascii="Times New Roman" w:hAnsi="Times New Roman"/>
                <w:b w:val="0"/>
                <w:i w:val="0"/>
                <w:color w:val="000000"/>
                <w:sz w:val="17"/>
              </w:rPr>
              <w:t>0.7840</w:t>
            </w:r>
          </w:p>
        </w:tc>
        <w:tc>
          <w:tcPr>
            <w:tcW w:type="dxa" w:w="1440"/>
          </w:tcPr>
          <w:p>
            <w:r>
              <w:rPr>
                <w:rFonts w:ascii="Times New Roman" w:hAnsi="Times New Roman"/>
                <w:b w:val="0"/>
                <w:i w:val="0"/>
                <w:color w:val="000000"/>
                <w:sz w:val="17"/>
              </w:rPr>
              <w:t>0.8822</w:t>
            </w:r>
          </w:p>
        </w:tc>
        <w:tc>
          <w:tcPr>
            <w:tcW w:type="dxa" w:w="1440"/>
          </w:tcPr>
          <w:p>
            <w:r>
              <w:rPr>
                <w:rFonts w:ascii="Times New Roman" w:hAnsi="Times New Roman"/>
                <w:b w:val="0"/>
                <w:i w:val="0"/>
                <w:color w:val="000000"/>
                <w:sz w:val="17"/>
              </w:rPr>
              <w:t>0.1097</w:t>
            </w:r>
          </w:p>
        </w:tc>
      </w:tr>
      <w:tr>
        <w:tc>
          <w:tcPr>
            <w:tcW w:type="dxa" w:w="1440"/>
          </w:tcPr>
          <w:p>
            <w:r>
              <w:rPr>
                <w:rFonts w:ascii="Times New Roman" w:hAnsi="Times New Roman"/>
                <w:b w:val="0"/>
                <w:i w:val="0"/>
                <w:color w:val="000000"/>
                <w:sz w:val="17"/>
              </w:rPr>
              <w:t>Gaussian Naive Bayes</w:t>
            </w:r>
          </w:p>
        </w:tc>
        <w:tc>
          <w:tcPr>
            <w:tcW w:type="dxa" w:w="1440"/>
          </w:tcPr>
          <w:p>
            <w:r>
              <w:rPr>
                <w:rFonts w:ascii="Times New Roman" w:hAnsi="Times New Roman"/>
                <w:b w:val="0"/>
                <w:i w:val="0"/>
                <w:color w:val="000000"/>
                <w:sz w:val="17"/>
              </w:rPr>
              <w:t>0.8878</w:t>
            </w:r>
          </w:p>
        </w:tc>
        <w:tc>
          <w:tcPr>
            <w:tcW w:type="dxa" w:w="1440"/>
          </w:tcPr>
          <w:p>
            <w:r>
              <w:rPr>
                <w:rFonts w:ascii="Times New Roman" w:hAnsi="Times New Roman"/>
                <w:b w:val="0"/>
                <w:i w:val="0"/>
                <w:color w:val="000000"/>
                <w:sz w:val="17"/>
              </w:rPr>
              <w:t>0.8204</w:t>
            </w:r>
          </w:p>
        </w:tc>
        <w:tc>
          <w:tcPr>
            <w:tcW w:type="dxa" w:w="1440"/>
          </w:tcPr>
          <w:p>
            <w:r>
              <w:rPr>
                <w:rFonts w:ascii="Times New Roman" w:hAnsi="Times New Roman"/>
                <w:b w:val="0"/>
                <w:i w:val="0"/>
                <w:color w:val="000000"/>
                <w:sz w:val="17"/>
              </w:rPr>
              <w:t>0.8410</w:t>
            </w:r>
          </w:p>
        </w:tc>
        <w:tc>
          <w:tcPr>
            <w:tcW w:type="dxa" w:w="1440"/>
          </w:tcPr>
          <w:p>
            <w:r>
              <w:rPr>
                <w:rFonts w:ascii="Times New Roman" w:hAnsi="Times New Roman"/>
                <w:b w:val="0"/>
                <w:i w:val="0"/>
                <w:color w:val="000000"/>
                <w:sz w:val="17"/>
              </w:rPr>
              <w:t>0.8306</w:t>
            </w:r>
          </w:p>
        </w:tc>
        <w:tc>
          <w:tcPr>
            <w:tcW w:type="dxa" w:w="1440"/>
          </w:tcPr>
          <w:p>
            <w:r>
              <w:rPr>
                <w:rFonts w:ascii="Times New Roman" w:hAnsi="Times New Roman"/>
                <w:b w:val="0"/>
                <w:i w:val="0"/>
                <w:color w:val="000000"/>
                <w:sz w:val="17"/>
              </w:rPr>
              <w:t>0.9070</w:t>
            </w:r>
          </w:p>
        </w:tc>
        <w:tc>
          <w:tcPr>
            <w:tcW w:type="dxa" w:w="1440"/>
          </w:tcPr>
          <w:p>
            <w:r>
              <w:rPr>
                <w:rFonts w:ascii="Times New Roman" w:hAnsi="Times New Roman"/>
                <w:b w:val="0"/>
                <w:i w:val="0"/>
                <w:color w:val="000000"/>
                <w:sz w:val="17"/>
              </w:rPr>
              <w:t>0.1043</w:t>
            </w:r>
          </w:p>
        </w:tc>
      </w:tr>
      <w:tr>
        <w:tc>
          <w:tcPr>
            <w:tcW w:type="dxa" w:w="1440"/>
          </w:tcPr>
          <w:p>
            <w:r>
              <w:rPr>
                <w:rFonts w:ascii="Times New Roman" w:hAnsi="Times New Roman"/>
                <w:b w:val="0"/>
                <w:i w:val="0"/>
                <w:color w:val="000000"/>
                <w:sz w:val="17"/>
              </w:rPr>
              <w:t>Logistic Regression (SGD)</w:t>
            </w:r>
          </w:p>
        </w:tc>
        <w:tc>
          <w:tcPr>
            <w:tcW w:type="dxa" w:w="1440"/>
          </w:tcPr>
          <w:p>
            <w:r>
              <w:rPr>
                <w:rFonts w:ascii="Times New Roman" w:hAnsi="Times New Roman"/>
                <w:b w:val="0"/>
                <w:i w:val="0"/>
                <w:color w:val="000000"/>
                <w:sz w:val="17"/>
              </w:rPr>
              <w:t>0.8947</w:t>
            </w:r>
          </w:p>
        </w:tc>
        <w:tc>
          <w:tcPr>
            <w:tcW w:type="dxa" w:w="1440"/>
          </w:tcPr>
          <w:p>
            <w:r>
              <w:rPr>
                <w:rFonts w:ascii="Times New Roman" w:hAnsi="Times New Roman"/>
                <w:b w:val="0"/>
                <w:i w:val="0"/>
                <w:color w:val="000000"/>
                <w:sz w:val="17"/>
              </w:rPr>
              <w:t>0.8462</w:t>
            </w:r>
          </w:p>
        </w:tc>
        <w:tc>
          <w:tcPr>
            <w:tcW w:type="dxa" w:w="1440"/>
          </w:tcPr>
          <w:p>
            <w:r>
              <w:rPr>
                <w:rFonts w:ascii="Times New Roman" w:hAnsi="Times New Roman"/>
                <w:b w:val="0"/>
                <w:i w:val="0"/>
                <w:color w:val="000000"/>
                <w:sz w:val="17"/>
              </w:rPr>
              <w:t>0.8285</w:t>
            </w:r>
          </w:p>
        </w:tc>
        <w:tc>
          <w:tcPr>
            <w:tcW w:type="dxa" w:w="1440"/>
          </w:tcPr>
          <w:p>
            <w:r>
              <w:rPr>
                <w:rFonts w:ascii="Times New Roman" w:hAnsi="Times New Roman"/>
                <w:b w:val="0"/>
                <w:i w:val="0"/>
                <w:color w:val="000000"/>
                <w:sz w:val="17"/>
              </w:rPr>
              <w:t>0.8372</w:t>
            </w:r>
          </w:p>
        </w:tc>
        <w:tc>
          <w:tcPr>
            <w:tcW w:type="dxa" w:w="1440"/>
          </w:tcPr>
          <w:p>
            <w:r>
              <w:rPr>
                <w:rFonts w:ascii="Times New Roman" w:hAnsi="Times New Roman"/>
                <w:b w:val="0"/>
                <w:i w:val="0"/>
                <w:color w:val="000000"/>
                <w:sz w:val="17"/>
              </w:rPr>
              <w:t>0.9466</w:t>
            </w:r>
          </w:p>
        </w:tc>
        <w:tc>
          <w:tcPr>
            <w:tcW w:type="dxa" w:w="1440"/>
          </w:tcPr>
          <w:p>
            <w:r>
              <w:rPr>
                <w:rFonts w:ascii="Times New Roman" w:hAnsi="Times New Roman"/>
                <w:b w:val="0"/>
                <w:i w:val="0"/>
                <w:color w:val="000000"/>
                <w:sz w:val="17"/>
              </w:rPr>
              <w:t>0.0810</w:t>
            </w:r>
          </w:p>
        </w:tc>
      </w:tr>
    </w:tbl>
    <w:p>
      <w:pPr>
        <w:spacing w:before="160" w:after="40"/>
      </w:pPr>
      <w:r>
        <w:rPr>
          <w:rFonts w:ascii="Times New Roman" w:hAnsi="Times New Roman"/>
          <w:b/>
          <w:i/>
          <w:color w:val="000000"/>
          <w:sz w:val="22"/>
        </w:rPr>
        <w:t>A. Verification of the Law of Total Probability</w:t>
      </w:r>
    </w:p>
    <w:p>
      <w:pPr>
        <w:spacing w:after="80" w:line="252" w:lineRule="auto"/>
      </w:pPr>
      <w:r>
        <w:rPr>
          <w:rFonts w:ascii="Times New Roman" w:hAnsi="Times New Roman"/>
          <w:b w:val="0"/>
          <w:i w:val="0"/>
          <w:color w:val="000000"/>
          <w:sz w:val="20"/>
        </w:rPr>
        <w:t>To empirically validate the Law of Total Probability, atmospheric relative humidity was partitioned into three disjoint bins: Low (&lt;60%), Medium (60-80%), and High (&gt;80%). Direct prior P(Rain) was calculated as 0.3471. The reconstructed probability sum was sum_k P(Rain | H_k) * P(H_k) = 0.3474, producing an absolute error of |Delta| = 0.000280. This confirms exact mathematical consistency.</w:t>
      </w:r>
    </w:p>
    <w:p>
      <w:pPr>
        <w:spacing w:before="240" w:after="80"/>
      </w:pPr>
      <w:r>
        <w:rPr>
          <w:rFonts w:ascii="Times New Roman" w:hAnsi="Times New Roman"/>
          <w:b/>
          <w:i w:val="0"/>
          <w:color w:val="000000"/>
          <w:sz w:val="24"/>
        </w:rPr>
        <w:t>V. GRAPHICAL VISUALIZATIONS &amp; PROBABILISTIC INTERPRETATION</w:t>
      </w:r>
    </w:p>
    <w:p>
      <w:pPr>
        <w:spacing w:before="160" w:after="40"/>
        <w:jc w:val="center"/>
      </w:pPr>
    </w:p>
    <w:p>
      <w:r>
        <w:drawing>
          <wp:inline xmlns:a="http://schemas.openxmlformats.org/drawingml/2006/main" xmlns:pic="http://schemas.openxmlformats.org/drawingml/2006/picture">
            <wp:extent cx="4572000" cy="3265714"/>
            <wp:docPr id="1" name="Picture 1"/>
            <wp:cNvGraphicFramePr>
              <a:graphicFrameLocks noChangeAspect="1"/>
            </wp:cNvGraphicFramePr>
            <a:graphic>
              <a:graphicData uri="http://schemas.openxmlformats.org/drawingml/2006/picture">
                <pic:pic>
                  <pic:nvPicPr>
                    <pic:cNvPr id="0" name="conditional_prob_heatmap.png"/>
                    <pic:cNvPicPr/>
                  </pic:nvPicPr>
                  <pic:blipFill>
                    <a:blip r:embed="rId9"/>
                    <a:stretch>
                      <a:fillRect/>
                    </a:stretch>
                  </pic:blipFill>
                  <pic:spPr>
                    <a:xfrm>
                      <a:off x="0" y="0"/>
                      <a:ext cx="4572000" cy="3265714"/>
                    </a:xfrm>
                    <a:prstGeom prst="rect"/>
                  </pic:spPr>
                </pic:pic>
              </a:graphicData>
            </a:graphic>
          </wp:inline>
        </w:drawing>
      </w:r>
    </w:p>
    <w:p>
      <w:pPr>
        <w:spacing w:after="160"/>
        <w:jc w:val="center"/>
      </w:pPr>
      <w:r>
        <w:rPr>
          <w:rFonts w:ascii="Times New Roman" w:hAnsi="Times New Roman"/>
          <w:b w:val="0"/>
          <w:i/>
          <w:color w:val="000000"/>
          <w:sz w:val="17"/>
        </w:rPr>
        <w:t>Fig. 1. Empirical Conditional Probability Matrix P(RainTomorrow | Humidity, Pressure) showing elevated precipitation probabilities under low pressure and high humidity.</w:t>
      </w:r>
    </w:p>
    <w:p>
      <w:pPr>
        <w:spacing w:before="160" w:after="40"/>
        <w:jc w:val="center"/>
      </w:pPr>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markov_transition_diagram.png"/>
                    <pic:cNvPicPr/>
                  </pic:nvPicPr>
                  <pic:blipFill>
                    <a:blip r:embed="rId10"/>
                    <a:stretch>
                      <a:fillRect/>
                    </a:stretch>
                  </pic:blipFill>
                  <pic:spPr>
                    <a:xfrm>
                      <a:off x="0" y="0"/>
                      <a:ext cx="4572000" cy="3429000"/>
                    </a:xfrm>
                    <a:prstGeom prst="rect"/>
                  </pic:spPr>
                </pic:pic>
              </a:graphicData>
            </a:graphic>
          </wp:inline>
        </w:drawing>
      </w:r>
    </w:p>
    <w:p>
      <w:pPr>
        <w:spacing w:after="160"/>
        <w:jc w:val="center"/>
      </w:pPr>
      <w:r>
        <w:rPr>
          <w:rFonts w:ascii="Times New Roman" w:hAnsi="Times New Roman"/>
          <w:b w:val="0"/>
          <w:i/>
          <w:color w:val="000000"/>
          <w:sz w:val="17"/>
        </w:rPr>
        <w:t>Fig. 2. First-Order Markov Chain Transition Matrix showing strong precipitation state persistence (P_11 = 0.8356).</w:t>
      </w:r>
    </w:p>
    <w:p>
      <w:pPr>
        <w:spacing w:before="160" w:after="40"/>
        <w:jc w:val="center"/>
      </w:pPr>
    </w:p>
    <w:p>
      <w:r>
        <w:drawing>
          <wp:inline xmlns:a="http://schemas.openxmlformats.org/drawingml/2006/main" xmlns:pic="http://schemas.openxmlformats.org/drawingml/2006/picture">
            <wp:extent cx="4572000" cy="2939143"/>
            <wp:docPr id="3" name="Picture 3"/>
            <wp:cNvGraphicFramePr>
              <a:graphicFrameLocks noChangeAspect="1"/>
            </wp:cNvGraphicFramePr>
            <a:graphic>
              <a:graphicData uri="http://schemas.openxmlformats.org/drawingml/2006/picture">
                <pic:pic>
                  <pic:nvPicPr>
                    <pic:cNvPr id="0" name="prior_vs_posterior_dist.png"/>
                    <pic:cNvPicPr/>
                  </pic:nvPicPr>
                  <pic:blipFill>
                    <a:blip r:embed="rId11"/>
                    <a:stretch>
                      <a:fillRect/>
                    </a:stretch>
                  </pic:blipFill>
                  <pic:spPr>
                    <a:xfrm>
                      <a:off x="0" y="0"/>
                      <a:ext cx="4572000" cy="2939143"/>
                    </a:xfrm>
                    <a:prstGeom prst="rect"/>
                  </pic:spPr>
                </pic:pic>
              </a:graphicData>
            </a:graphic>
          </wp:inline>
        </w:drawing>
      </w:r>
    </w:p>
    <w:p>
      <w:pPr>
        <w:spacing w:after="160"/>
        <w:jc w:val="center"/>
      </w:pPr>
      <w:r>
        <w:rPr>
          <w:rFonts w:ascii="Times New Roman" w:hAnsi="Times New Roman"/>
          <w:b w:val="0"/>
          <w:i/>
          <w:color w:val="000000"/>
          <w:sz w:val="17"/>
        </w:rPr>
        <w:t>Fig. 3. Bayesian Inference: Prior base rate (dashed red line) versus Posterior probability distribution across unseen test days.</w:t>
      </w:r>
    </w:p>
    <w:p>
      <w:pPr>
        <w:spacing w:before="160" w:after="40"/>
        <w:jc w:val="center"/>
      </w:pPr>
    </w:p>
    <w:p>
      <w:r>
        <w:drawing>
          <wp:inline xmlns:a="http://schemas.openxmlformats.org/drawingml/2006/main" xmlns:pic="http://schemas.openxmlformats.org/drawingml/2006/picture">
            <wp:extent cx="4572000" cy="3265714"/>
            <wp:docPr id="4" name="Picture 4"/>
            <wp:cNvGraphicFramePr>
              <a:graphicFrameLocks noChangeAspect="1"/>
            </wp:cNvGraphicFramePr>
            <a:graphic>
              <a:graphicData uri="http://schemas.openxmlformats.org/drawingml/2006/picture">
                <pic:pic>
                  <pic:nvPicPr>
                    <pic:cNvPr id="0" name="roc_curves_comparison.png"/>
                    <pic:cNvPicPr/>
                  </pic:nvPicPr>
                  <pic:blipFill>
                    <a:blip r:embed="rId12"/>
                    <a:stretch>
                      <a:fillRect/>
                    </a:stretch>
                  </pic:blipFill>
                  <pic:spPr>
                    <a:xfrm>
                      <a:off x="0" y="0"/>
                      <a:ext cx="4572000" cy="3265714"/>
                    </a:xfrm>
                    <a:prstGeom prst="rect"/>
                  </pic:spPr>
                </pic:pic>
              </a:graphicData>
            </a:graphic>
          </wp:inline>
        </w:drawing>
      </w:r>
    </w:p>
    <w:p>
      <w:pPr>
        <w:spacing w:after="160"/>
        <w:jc w:val="center"/>
      </w:pPr>
      <w:r>
        <w:rPr>
          <w:rFonts w:ascii="Times New Roman" w:hAnsi="Times New Roman"/>
          <w:b w:val="0"/>
          <w:i/>
          <w:color w:val="000000"/>
          <w:sz w:val="17"/>
        </w:rPr>
        <w:t>Fig. 4. Receiver Operating Characteristic (ROC) curve comparison across probabilistic and discriminative models.</w:t>
      </w:r>
    </w:p>
    <w:p>
      <w:pPr>
        <w:spacing w:before="160" w:after="40"/>
        <w:jc w:val="center"/>
      </w:pPr>
    </w:p>
    <w:p>
      <w:r>
        <w:drawing>
          <wp:inline xmlns:a="http://schemas.openxmlformats.org/drawingml/2006/main" xmlns:pic="http://schemas.openxmlformats.org/drawingml/2006/picture">
            <wp:extent cx="4572000" cy="3265714"/>
            <wp:docPr id="5" name="Picture 5"/>
            <wp:cNvGraphicFramePr>
              <a:graphicFrameLocks noChangeAspect="1"/>
            </wp:cNvGraphicFramePr>
            <a:graphic>
              <a:graphicData uri="http://schemas.openxmlformats.org/drawingml/2006/picture">
                <pic:pic>
                  <pic:nvPicPr>
                    <pic:cNvPr id="0" name="calibration_reliability_curve.png"/>
                    <pic:cNvPicPr/>
                  </pic:nvPicPr>
                  <pic:blipFill>
                    <a:blip r:embed="rId13"/>
                    <a:stretch>
                      <a:fillRect/>
                    </a:stretch>
                  </pic:blipFill>
                  <pic:spPr>
                    <a:xfrm>
                      <a:off x="0" y="0"/>
                      <a:ext cx="4572000" cy="3265714"/>
                    </a:xfrm>
                    <a:prstGeom prst="rect"/>
                  </pic:spPr>
                </pic:pic>
              </a:graphicData>
            </a:graphic>
          </wp:inline>
        </w:drawing>
      </w:r>
    </w:p>
    <w:p>
      <w:pPr>
        <w:spacing w:after="160"/>
        <w:jc w:val="center"/>
      </w:pPr>
      <w:r>
        <w:rPr>
          <w:rFonts w:ascii="Times New Roman" w:hAnsi="Times New Roman"/>
          <w:b w:val="0"/>
          <w:i/>
          <w:color w:val="000000"/>
          <w:sz w:val="17"/>
        </w:rPr>
        <w:t>Fig. 5. Probability Reliability Diagram demonstrating high calibration sharpness and low Brier score (BS = 0.1043).</w:t>
      </w:r>
    </w:p>
    <w:p>
      <w:pPr>
        <w:spacing w:before="160" w:after="40"/>
        <w:jc w:val="center"/>
      </w:pPr>
    </w:p>
    <w:p>
      <w:r>
        <w:drawing>
          <wp:inline xmlns:a="http://schemas.openxmlformats.org/drawingml/2006/main" xmlns:pic="http://schemas.openxmlformats.org/drawingml/2006/picture">
            <wp:extent cx="4572000" cy="1143000"/>
            <wp:docPr id="6" name="Picture 6"/>
            <wp:cNvGraphicFramePr>
              <a:graphicFrameLocks noChangeAspect="1"/>
            </wp:cNvGraphicFramePr>
            <a:graphic>
              <a:graphicData uri="http://schemas.openxmlformats.org/drawingml/2006/picture">
                <pic:pic>
                  <pic:nvPicPr>
                    <pic:cNvPr id="0" name="confusion_matrices_grid.png"/>
                    <pic:cNvPicPr/>
                  </pic:nvPicPr>
                  <pic:blipFill>
                    <a:blip r:embed="rId14"/>
                    <a:stretch>
                      <a:fillRect/>
                    </a:stretch>
                  </pic:blipFill>
                  <pic:spPr>
                    <a:xfrm>
                      <a:off x="0" y="0"/>
                      <a:ext cx="4572000" cy="1143000"/>
                    </a:xfrm>
                    <a:prstGeom prst="rect"/>
                  </pic:spPr>
                </pic:pic>
              </a:graphicData>
            </a:graphic>
          </wp:inline>
        </w:drawing>
      </w:r>
    </w:p>
    <w:p>
      <w:pPr>
        <w:spacing w:after="160"/>
        <w:jc w:val="center"/>
      </w:pPr>
      <w:r>
        <w:rPr>
          <w:rFonts w:ascii="Times New Roman" w:hAnsi="Times New Roman"/>
          <w:b w:val="0"/>
          <w:i/>
          <w:color w:val="000000"/>
          <w:sz w:val="17"/>
        </w:rPr>
        <w:t>Fig. 6. Confusion Matrices across all evaluated modeling paradigms on the 731-day unseen test set.</w:t>
      </w:r>
    </w:p>
    <w:p>
      <w:pPr>
        <w:spacing w:before="240" w:after="80"/>
      </w:pPr>
      <w:r>
        <w:rPr>
          <w:rFonts w:ascii="Times New Roman" w:hAnsi="Times New Roman"/>
          <w:b/>
          <w:i w:val="0"/>
          <w:color w:val="000000"/>
          <w:sz w:val="24"/>
        </w:rPr>
        <w:t>VI. CONCLUSION &amp; FUTURE SCOPE</w:t>
      </w:r>
    </w:p>
    <w:p>
      <w:pPr>
        <w:spacing w:after="80" w:line="252" w:lineRule="auto"/>
      </w:pPr>
      <w:r>
        <w:rPr>
          <w:rFonts w:ascii="Times New Roman" w:hAnsi="Times New Roman"/>
          <w:b w:val="0"/>
          <w:i w:val="0"/>
          <w:color w:val="000000"/>
          <w:sz w:val="20"/>
        </w:rPr>
        <w:t>This study demonstrates the rigorous application of foundational Probability and Statistics concepts to atmospheric precipitation forecasting. By constructing Conditional Probability, Bayes' Theorem, and Markovian state transition models from first principles, we achieved 88.78% accuracy, 0.9070 ROC-AUC, and an exceptional 0.1043 Brier score on a 10-year observational dataset. The analytical stationary distribution of the Markov chain (pi_Rain = 0.3474) closely matched the climatological prior (0.3471). Future research will explore Hidden Markov Models (HMM) and spatial Dirichlet processes.</w:t>
      </w:r>
    </w:p>
    <w:p>
      <w:pPr>
        <w:spacing w:before="240" w:after="80"/>
      </w:pPr>
      <w:r>
        <w:rPr>
          <w:rFonts w:ascii="Times New Roman" w:hAnsi="Times New Roman"/>
          <w:b/>
          <w:i w:val="0"/>
          <w:color w:val="000000"/>
          <w:sz w:val="24"/>
        </w:rPr>
        <w:t>VII. REFERENCES</w:t>
      </w:r>
    </w:p>
    <w:p>
      <w:pPr>
        <w:spacing w:after="40" w:line="240" w:lineRule="auto"/>
      </w:pPr>
      <w:r>
        <w:rPr>
          <w:rFonts w:ascii="Times New Roman" w:hAnsi="Times New Roman"/>
          <w:b w:val="0"/>
          <w:i w:val="0"/>
          <w:color w:val="000000"/>
          <w:sz w:val="17"/>
        </w:rPr>
        <w:t>[1] J. G. Gabriel and J. Neumann, 'A Markov chain model for daily rainfall occurrence at Tel Aviv,' Q. J. R. Meteorol. Soc., vol. 88, no. 375, pp. 90-95, 1962.</w:t>
      </w:r>
    </w:p>
    <w:p>
      <w:pPr>
        <w:spacing w:after="40" w:line="240" w:lineRule="auto"/>
      </w:pPr>
      <w:r>
        <w:rPr>
          <w:rFonts w:ascii="Times New Roman" w:hAnsi="Times New Roman"/>
          <w:b w:val="0"/>
          <w:i w:val="0"/>
          <w:color w:val="000000"/>
          <w:sz w:val="17"/>
        </w:rPr>
        <w:t>[2] G. W. Brier, 'Verification of forecasts expressed in terms of probability,' Mon. Weather Rev., vol. 78, no. 1, pp. 1-3, 1950.</w:t>
      </w:r>
    </w:p>
    <w:p>
      <w:pPr>
        <w:spacing w:after="40" w:line="240" w:lineRule="auto"/>
      </w:pPr>
      <w:r>
        <w:rPr>
          <w:rFonts w:ascii="Times New Roman" w:hAnsi="Times New Roman"/>
          <w:b w:val="0"/>
          <w:i w:val="0"/>
          <w:color w:val="000000"/>
          <w:sz w:val="17"/>
        </w:rPr>
        <w:t>[3] E. S. Epstein, 'Stochastic dynamic prediction,' Tellus, vol. 21, no. 6, pp. 739-759, 1969.</w:t>
      </w:r>
    </w:p>
    <w:p>
      <w:pPr>
        <w:spacing w:after="40" w:line="240" w:lineRule="auto"/>
      </w:pPr>
      <w:r>
        <w:rPr>
          <w:rFonts w:ascii="Times New Roman" w:hAnsi="Times New Roman"/>
          <w:b w:val="0"/>
          <w:i w:val="0"/>
          <w:color w:val="000000"/>
          <w:sz w:val="17"/>
        </w:rPr>
        <w:t>[4] P. Domingos and M. Pazzani, 'On the optimality of the simple Bayesian classifier under zero-one loss,' Mach. Learn., vol. 29, no. 2, pp. 103-130, 1997.</w:t>
      </w:r>
    </w:p>
    <w:p>
      <w:pPr>
        <w:spacing w:after="40" w:line="240" w:lineRule="auto"/>
      </w:pPr>
      <w:r>
        <w:rPr>
          <w:rFonts w:ascii="Times New Roman" w:hAnsi="Times New Roman"/>
          <w:b w:val="0"/>
          <w:i w:val="0"/>
          <w:color w:val="000000"/>
          <w:sz w:val="17"/>
        </w:rPr>
        <w:t>[5] A. H. Murphy, 'A new vector partition of the probability score,' J. Appl. Meteorol., vol. 12, no. 4, pp. 595-600, 1973.</w:t>
      </w:r>
    </w:p>
    <w:p>
      <w:pPr>
        <w:spacing w:after="40" w:line="240" w:lineRule="auto"/>
      </w:pPr>
      <w:r>
        <w:rPr>
          <w:rFonts w:ascii="Times New Roman" w:hAnsi="Times New Roman"/>
          <w:b w:val="0"/>
          <w:i w:val="0"/>
          <w:color w:val="000000"/>
          <w:sz w:val="17"/>
        </w:rPr>
        <w:t>[6] T. Gneiting and A. E. Raftery, 'Strictly proper scoring rules, prediction, and estimation,' J. Am. Stat. Assoc., vol. 102, no. 477, pp. 359-378, 2007.</w:t>
      </w:r>
    </w:p>
    <w:p>
      <w:pPr>
        <w:spacing w:after="40" w:line="240" w:lineRule="auto"/>
      </w:pPr>
      <w:r>
        <w:rPr>
          <w:rFonts w:ascii="Times New Roman" w:hAnsi="Times New Roman"/>
          <w:b w:val="0"/>
          <w:i w:val="0"/>
          <w:color w:val="000000"/>
          <w:sz w:val="17"/>
        </w:rPr>
        <w:t>[7] R. D. Stern and R. Coe, 'A model fitting analysis of daily rainfall data,' J. R. Stat. Soc. Ser. A, vol. 147, no. 1, pp. 1-34, 1984.</w:t>
      </w:r>
    </w:p>
    <w:p>
      <w:pPr>
        <w:spacing w:after="40" w:line="240" w:lineRule="auto"/>
      </w:pPr>
      <w:r>
        <w:rPr>
          <w:rFonts w:ascii="Times New Roman" w:hAnsi="Times New Roman"/>
          <w:b w:val="0"/>
          <w:i w:val="0"/>
          <w:color w:val="000000"/>
          <w:sz w:val="17"/>
        </w:rPr>
        <w:t>[8] D. S. Wilks, Statistical Methods in the Atmospheric Sciences, 4th ed., Cambridge, MA: Academic Press, 2019.</w:t>
      </w:r>
    </w:p>
    <w:p>
      <w:pPr>
        <w:spacing w:after="40" w:line="240" w:lineRule="auto"/>
      </w:pPr>
      <w:r>
        <w:rPr>
          <w:rFonts w:ascii="Times New Roman" w:hAnsi="Times New Roman"/>
          <w:b w:val="0"/>
          <w:i w:val="0"/>
          <w:color w:val="000000"/>
          <w:sz w:val="17"/>
        </w:rPr>
        <w:t>[9] S. M. Ross, Introduction to Probability Models, 12th ed., London: Academic Press, 2019.</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