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SENTETİK TEST BELGESİDİR — gerçek kişi, olay veya dosya içermez.</w:t>
      </w:r>
    </w:p>
    <w:p>
      <w:r>
        <w:t>ANKARA NÖBETÇİ ASLİYE HUKUK MAHKEMESİNE</w:t>
      </w:r>
    </w:p>
    <w:p/>
    <w:p>
      <w:r>
        <w:t>DAVACI : Ayşe Yılmaz</w:t>
      </w:r>
    </w:p>
    <w:p>
      <w:r>
        <w:t>VEKİLİ : Av. Mehmet Demir</w:t>
      </w:r>
    </w:p>
    <w:p>
      <w:r>
        <w:t>DAVALI : Mustafa Kaya</w:t>
      </w:r>
    </w:p>
    <w:p>
      <w:r>
        <w:t>KONU : Maddi ve manevi tazminat istemine ilişkindir.</w:t>
      </w:r>
    </w:p>
    <w:p/>
    <w:p>
      <w:r>
        <w:t>AÇIKLAMALAR</w:t>
      </w:r>
    </w:p>
    <w:p>
      <w:r>
        <w:t>1. Davalı, 12.05.2024 tarihinde davacıya ait iş yerinde kendisini kamu görevlisi olarak tanıtarak davacıyı aldatmış ve 45.000 TL tutarında haksız menfaat temin etmiştir.</w:t>
      </w:r>
    </w:p>
    <w:p>
      <w:r>
        <w:t>2. Davalının bu eylemi 5237 sayılı Türk Ceza Kanunu kapsamında değerlendirilmiş; TCK m. 157 uyarınca dolandırıcılık suçundan Ankara Cumhuriyet Başsavcılığına şikayette bulunulmuştur.</w:t>
      </w:r>
    </w:p>
    <w:p>
      <w:r>
        <w:t>3. Yargıtay 9. Hukuk Dairesi'nin E. 2021/123, K. 2022/456 sayılı kararında benzer nitelikteki aldatma eylemlerinin haksız fiil sorumluluğu doğurduğu kabul edilmiştir.</w:t>
      </w:r>
    </w:p>
    <w:p>
      <w:r>
        <w:t>4. Davacı, 3 Haziran 2024 tarihinde davalıya ihtarname göndermiş, ancak ödeme yapılmamıştır.</w:t>
      </w:r>
    </w:p>
    <w:p/>
    <w:p>
      <w:r>
        <w:t>DELİLLER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Delil</w:t>
            </w:r>
          </w:p>
        </w:tc>
        <w:tc>
          <w:tcPr>
            <w:tcW w:type="dxa" w:w="2880"/>
          </w:tcPr>
          <w:p>
            <w:r>
              <w:t>Tarih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Banka dekontu (sentetik)</w:t>
            </w:r>
          </w:p>
        </w:tc>
        <w:tc>
          <w:tcPr>
            <w:tcW w:type="dxa" w:w="2880"/>
          </w:tcPr>
          <w:p>
            <w:r>
              <w:t>12.05.2024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İhtarname (sentetik)</w:t>
            </w:r>
          </w:p>
        </w:tc>
        <w:tc>
          <w:tcPr>
            <w:tcW w:type="dxa" w:w="2880"/>
          </w:tcPr>
          <w:p>
            <w:r>
              <w:t>03.06.2024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Tanık beyanı (sentetik)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</w:tbl>
    <w:p/>
    <w:p>
      <w:r>
        <w:t>SONUÇ VE İSTEM : Yukarıda açıklanan nedenlerle davanın kabulü ile 45.000 TL maddi ve 10.000 TL manevi tazminatın dava tarihinden itibaren işleyecek yasal faizi ile birlikte davalıdan tahsiline karar verilmesini saygıyla vekaleten talep ederiz.</w:t>
      </w:r>
    </w:p>
    <w:p/>
    <w:p>
      <w:r>
        <w:t>Davacı Vekili</w:t>
      </w:r>
    </w:p>
    <w:p>
      <w:r>
        <w:t>Av. Mehmet Demir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