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0B2545"/>
          <w:sz w:val="48"/>
          <w:szCs w:val="48"/>
        </w:rPr>
        <w:t xml:space="preserve">DocRenew</w:t>
      </w:r>
    </w:p>
    <w:p>
      <w:pPr>
        <w:spacing w:after="10"/>
      </w:pPr>
      <w:r>
        <w:rPr>
          <w:rFonts w:ascii="Calibri" w:cs="Calibri" w:eastAsia="Calibri" w:hAnsi="Calibri"/>
          <w:color w:val="5B6B7D"/>
          <w:sz w:val="24"/>
          <w:szCs w:val="24"/>
        </w:rPr>
        <w:t xml:space="preserve">Employee Document Renewal Management System</w:t>
      </w:r>
    </w:p>
    <w:p>
      <w:pPr>
        <w:spacing w:after="360"/>
      </w:pPr>
      <w:r>
        <w:rPr>
          <w:rFonts w:ascii="Calibri" w:cs="Calibri" w:eastAsia="Calibri" w:hAnsi="Calibri"/>
          <w:b/>
          <w:bCs/>
          <w:color w:val="12A4A4"/>
          <w:sz w:val="20"/>
          <w:szCs w:val="20"/>
        </w:rPr>
        <w:t xml:space="preserve">COMPETITOR ANALYSIS</w:t>
      </w:r>
    </w:p>
    <w:p>
      <w:pPr>
        <w:spacing w:after="160"/>
      </w:pPr>
      <w:r>
        <w:rPr>
          <w:rFonts w:ascii="Calibri" w:cs="Calibri" w:eastAsia="Calibri" w:hAnsi="Calibri"/>
          <w:i/>
          <w:iCs/>
          <w:color w:val="5B6B7D"/>
          <w:sz w:val="22"/>
          <w:szCs w:val="22"/>
        </w:rPr>
        <w:t xml:space="preserve">No single dominant player covers DocRenew's exact combination of passport/visa/work-permit/license/certification tracking with 4-stage escalation and role-based access — competitors split between generic document-expiry tools, enterprise credential/license platforms, and visa-specific immigration trackers.</w:t>
      </w:r>
    </w:p>
    <w:p>
      <w:pPr>
        <w:pBdr>
          <w:bottom w:val="single" w:color="DFE7F0" w:sz="6"/>
        </w:pBdr>
        <w:spacing w:after="300"/>
      </w:pPr>
      <w:r>
        <w:rPr>
          <w:rFonts w:ascii="Calibri" w:cs="Calibri" w:eastAsia="Calibri" w:hAnsi="Calibri"/>
          <w:color w:val="5B6B7D"/>
          <w:sz w:val="20"/>
          <w:szCs w:val="20"/>
        </w:rPr>
        <w:t xml:space="preserve">Prepared by Anil B, Angular Developer — Zamorins Solutions · 14 October 2026</w:t>
      </w:r>
    </w:p>
    <w:p>
      <w:pPr>
        <w:pStyle w:val="Heading1"/>
        <w:spacing w:after="200" w:before="440"/>
      </w:pPr>
      <w:r>
        <w:rPr>
          <w:rFonts w:ascii="Calibri" w:cs="Calibri" w:eastAsia="Calibri" w:hAnsi="Calibri"/>
          <w:b/>
          <w:bCs/>
          <w:color w:val="0B2545"/>
          <w:sz w:val="30"/>
          <w:szCs w:val="30"/>
        </w:rPr>
        <w:t xml:space="preserve">Market Overview</w:t>
      </w:r>
    </w:p>
    <w:p>
      <w:pPr>
        <w:spacing w:after="160" w:line="300"/>
      </w:pPr>
      <w:r>
        <w:rPr>
          <w:rFonts w:ascii="Calibri" w:cs="Calibri" w:eastAsia="Calibri" w:hAnsi="Calibri"/>
          <w:color w:val="0F2033"/>
          <w:sz w:val="22"/>
          <w:szCs w:val="22"/>
        </w:rPr>
        <w:t xml:space="preserve">There is no large, well-known category leader for “employee document expiry tracking” the way there is for, say, applicant tracking or payroll. The space is served by three distinct types of vendor instead:</w:t>
      </w:r>
    </w:p>
    <w:p>
      <w:pPr>
        <w:pStyle w:val="ListParagraph"/>
        <w:numPr>
          <w:ilvl w:val="0"/>
          <w:numId w:val="2"/>
        </w:numPr>
        <w:spacing w:after="120" w:line="280"/>
      </w:pPr>
      <w:r>
        <w:rPr>
          <w:rFonts w:ascii="Calibri" w:cs="Calibri" w:eastAsia="Calibri" w:hAnsi="Calibri"/>
          <w:color w:val="0F2033"/>
          <w:sz w:val="22"/>
          <w:szCs w:val="22"/>
        </w:rPr>
        <w:t xml:space="preserve">Generic document/certificate expiration trackers (Expiration Reminder, Remindax, Aptien, DocuAlerts) — horizontal tools that remind on any dated item (insurance, contracts, certifications), not purpose-built for employee identity/immigration documents.</w:t>
      </w:r>
    </w:p>
    <w:p>
      <w:pPr>
        <w:pStyle w:val="ListParagraph"/>
        <w:numPr>
          <w:ilvl w:val="0"/>
          <w:numId w:val="2"/>
        </w:numPr>
        <w:spacing w:after="120" w:line="280"/>
      </w:pPr>
      <w:r>
        <w:rPr>
          <w:rFonts w:ascii="Calibri" w:cs="Calibri" w:eastAsia="Calibri" w:hAnsi="Calibri"/>
          <w:color w:val="0F2033"/>
          <w:sz w:val="22"/>
          <w:szCs w:val="22"/>
        </w:rPr>
        <w:t xml:space="preserve">Enterprise credential &amp; license compliance platforms (Certemy, VAIRKKO/Certification Cloud) — built for regulated, licensed professions (healthcare, construction), with primary-source verification and continuing-education tracking layered on top of expiry reminders.</w:t>
      </w:r>
    </w:p>
    <w:p>
      <w:pPr>
        <w:pStyle w:val="ListParagraph"/>
        <w:numPr>
          <w:ilvl w:val="0"/>
          <w:numId w:val="2"/>
        </w:numPr>
        <w:spacing w:after="120" w:line="280"/>
      </w:pPr>
      <w:r>
        <w:rPr>
          <w:rFonts w:ascii="Calibri" w:cs="Calibri" w:eastAsia="Calibri" w:hAnsi="Calibri"/>
          <w:color w:val="0F2033"/>
          <w:sz w:val="22"/>
          <w:szCs w:val="22"/>
        </w:rPr>
        <w:t xml:space="preserve">Visa/immigration-specific trackers (Jobbatical, Xpatweb) — built for global mobility and immigration teams tracking visas, work permits, and passports specifically, often bundled with case-management or legal services rather than sold as standalone software.</w:t>
      </w:r>
    </w:p>
    <w:p>
      <w:pPr>
        <w:spacing w:after="160" w:line="300"/>
      </w:pPr>
      <w:r>
        <w:rPr>
          <w:rFonts w:ascii="Calibri" w:cs="Calibri" w:eastAsia="Calibri" w:hAnsi="Calibri"/>
          <w:color w:val="0F2033"/>
          <w:sz w:val="22"/>
          <w:szCs w:val="22"/>
        </w:rPr>
        <w:t xml:space="preserve">One product, </w:t>
      </w:r>
      <w:r>
        <w:rPr>
          <w:rFonts w:ascii="Calibri" w:cs="Calibri" w:eastAsia="Calibri" w:hAnsi="Calibri"/>
          <w:b/>
          <w:bCs/>
          <w:color w:val="0F2033"/>
          <w:sz w:val="22"/>
          <w:szCs w:val="22"/>
        </w:rPr>
        <w:t xml:space="preserve">DocuTrackr</w:t>
      </w:r>
      <w:r>
        <w:rPr>
          <w:rFonts w:ascii="Calibri" w:cs="Calibri" w:eastAsia="Calibri" w:hAnsi="Calibri"/>
          <w:color w:val="0F2033"/>
          <w:sz w:val="22"/>
          <w:szCs w:val="22"/>
        </w:rPr>
        <w:t xml:space="preserve">, sits closest to DocRenew's actual scope: it explicitly tracks trade licenses, permits, and employee work permits together, with passport-validity checks, aimed at SMEs operating across multiple countries (particularly the GCC).</w:t>
      </w:r>
    </w:p>
    <w:p>
      <w:pPr>
        <w:pStyle w:val="Heading1"/>
        <w:spacing w:after="200" w:before="440"/>
      </w:pPr>
      <w:r>
        <w:rPr>
          <w:rFonts w:ascii="Calibri" w:cs="Calibri" w:eastAsia="Calibri" w:hAnsi="Calibri"/>
          <w:b/>
          <w:bCs/>
          <w:color w:val="0B2545"/>
          <w:sz w:val="30"/>
          <w:szCs w:val="30"/>
        </w:rPr>
        <w:t xml:space="preserve">Competitor Profiles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100"/>
        <w:gridCol w:w="2600"/>
        <w:gridCol w:w="1440"/>
      </w:tblGrid>
      <w:tr>
        <w:trPr>
          <w:tblHeader/>
        </w:trPr>
        <w:tc>
          <w:tcPr>
            <w:tcW w:type="dxa" w:w="15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Competitor</w:t>
            </w:r>
          </w:p>
        </w:tc>
        <w:tc>
          <w:tcPr>
            <w:tcW w:type="dxa" w:w="19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Category</w:t>
            </w:r>
          </w:p>
        </w:tc>
        <w:tc>
          <w:tcPr>
            <w:tcW w:type="dxa" w:w="21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Target market</w:t>
            </w:r>
          </w:p>
        </w:tc>
        <w:tc>
          <w:tcPr>
            <w:tcW w:type="dxa" w:w="26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Key features</w:t>
            </w:r>
          </w:p>
        </w:tc>
        <w:tc>
          <w:tcPr>
            <w:tcW w:type="dxa" w:w="144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Starting price</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DocuTrackr</w:t>
            </w:r>
          </w:p>
        </w:tc>
        <w:tc>
          <w:tcPr>
            <w:tcW w:type="dxa" w:w="19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Document/license expiry tracker</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SMEs, 5–500 employees, multi-country (GCC, North America focus)</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Trade license, permit &amp; work-permit tracking; passport-validity checks; email/push/in-app reminders; 9 languages</w:t>
            </w:r>
          </w:p>
        </w:tc>
        <w:tc>
          <w:tcPr>
            <w:tcW w:type="dxa" w:w="14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$130/yr (Starter) – $288/yr (Business, unlimited docs, 300 users)</w:t>
            </w:r>
          </w:p>
        </w:tc>
      </w:tr>
      <w:tr>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Expiration Reminder</w:t>
            </w:r>
          </w:p>
        </w:tc>
        <w:tc>
          <w:tcPr>
            <w:tcW w:type="dxa" w:w="19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Generic document expiration tracker</w:t>
            </w:r>
          </w:p>
        </w:tc>
        <w:tc>
          <w:tcPr>
            <w:tcW w:type="dxa" w:w="21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Healthcare, construction, education; SMB–mid-market</w:t>
            </w:r>
          </w:p>
        </w:tc>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Email/SMS/mobile reminders, self-service portal, compliance dashboard, 250+ integrations, HIPAA/SOC2/GDPR</w:t>
            </w:r>
          </w:p>
        </w:tc>
        <w:tc>
          <w:tcPr>
            <w:tcW w:type="dxa" w:w="14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$44/mo (Starter, 150 items) – $399/mo (Enterprise, 2,500 items)</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Certemy</w:t>
            </w:r>
          </w:p>
        </w:tc>
        <w:tc>
          <w:tcPr>
            <w:tcW w:type="dxa" w:w="19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Enterprise credential/license compliance</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Startups to large enterprises, regulated professions</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Primary-source verification, compliance workflows, audit trails, HRIS/SSO integration, CE tracking</w:t>
            </w:r>
          </w:p>
        </w:tc>
        <w:tc>
          <w:tcPr>
            <w:tcW w:type="dxa" w:w="14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published — quote only</w:t>
            </w:r>
          </w:p>
        </w:tc>
      </w:tr>
      <w:tr>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Jobbatical</w:t>
            </w:r>
          </w:p>
        </w:tc>
        <w:tc>
          <w:tcPr>
            <w:tcW w:type="dxa" w:w="19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Visa/immigration compliance tracker</w:t>
            </w:r>
          </w:p>
        </w:tc>
        <w:tc>
          <w:tcPr>
            <w:tcW w:type="dxa" w:w="21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Enterprise &amp; mid-size global mobility/HR teams</w:t>
            </w:r>
          </w:p>
        </w:tc>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Visa, permit &amp; passport deadline tracking in one system; renewal workflow with case experts; GDPR-compliant encrypted storage</w:t>
            </w:r>
          </w:p>
        </w:tc>
        <w:tc>
          <w:tcPr>
            <w:tcW w:type="dxa" w:w="14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published — quote/trial</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Xpatweb</w:t>
            </w:r>
          </w:p>
        </w:tc>
        <w:tc>
          <w:tcPr>
            <w:tcW w:type="dxa" w:w="19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Visa/immigration tracking</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Employers of expatriate staff, immigration consultants/legal firms</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End-to-end visa application tracking, expiry reminders, multi-location dashboards, audit-ready records</w:t>
            </w:r>
          </w:p>
        </w:tc>
        <w:tc>
          <w:tcPr>
            <w:tcW w:type="dxa" w:w="14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published — quote only</w:t>
            </w:r>
          </w:p>
        </w:tc>
      </w:tr>
      <w:tr>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Aptien</w:t>
            </w:r>
          </w:p>
        </w:tc>
        <w:tc>
          <w:tcPr>
            <w:tcW w:type="dxa" w:w="19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Generic certificate tracker</w:t>
            </w:r>
          </w:p>
        </w:tc>
        <w:tc>
          <w:tcPr>
            <w:tcW w:type="dxa" w:w="21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Small–mid-sized businesses</w:t>
            </w:r>
          </w:p>
        </w:tc>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Central certificate repository, self-service uploads with HR approval, expiry reminders, approval workflows</w:t>
            </w:r>
          </w:p>
        </w:tc>
        <w:tc>
          <w:tcPr>
            <w:tcW w:type="dxa" w:w="14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$90/mo (Premium, 3 admins)</w:t>
            </w:r>
          </w:p>
        </w:tc>
      </w:tr>
      <w:tr>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Remindax</w:t>
            </w:r>
          </w:p>
        </w:tc>
        <w:tc>
          <w:tcPr>
            <w:tcW w:type="dxa" w:w="19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Generic low-cost reminder tool</w:t>
            </w:r>
          </w:p>
        </w:tc>
        <w:tc>
          <w:tcPr>
            <w:tcW w:type="dxa" w:w="21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Budget-conscious HR teams/admins</w:t>
            </w:r>
          </w:p>
        </w:tc>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Email/SMS/WhatsApp alerts, task assignment, secure document storage, GDPR compliance</w:t>
            </w:r>
          </w:p>
        </w:tc>
        <w:tc>
          <w:tcPr>
            <w:tcW w:type="dxa" w:w="14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Free (25 items) – from $12/mo</w:t>
            </w:r>
          </w:p>
        </w:tc>
      </w:tr>
    </w:tbl>
    <w:p>
      <w:pPr>
        <w:spacing w:after="100"/>
      </w:pPr>
    </w:p>
    <w:p>
      <w:pPr>
        <w:spacing w:after="160" w:line="300"/>
      </w:pPr>
      <w:r>
        <w:rPr>
          <w:rFonts w:ascii="Calibri" w:cs="Calibri" w:eastAsia="Calibri" w:hAnsi="Calibri"/>
          <w:i/>
          <w:iCs/>
          <w:color w:val="5B6B7D"/>
          <w:sz w:val="22"/>
          <w:szCs w:val="22"/>
        </w:rPr>
        <w:t xml:space="preserve">Pricing for Certemy, Jobbatical, and Xpatweb is not published on their sites; where a source is itself a vendor comparison (Expiration Reminder's own blog, covering Aptien/Remindax/VAIRKKO), that bias is noted — those figures are repeated here as reported, not independently re-verified against each vendor's own pricing page.</w:t>
      </w:r>
    </w:p>
    <w:p>
      <w:pPr>
        <w:pStyle w:val="Heading1"/>
        <w:spacing w:after="200" w:before="440"/>
      </w:pPr>
      <w:r>
        <w:rPr>
          <w:rFonts w:ascii="Calibri" w:cs="Calibri" w:eastAsia="Calibri" w:hAnsi="Calibri"/>
          <w:b/>
          <w:bCs/>
          <w:color w:val="0B2545"/>
          <w:sz w:val="30"/>
          <w:szCs w:val="30"/>
        </w:rPr>
        <w:t xml:space="preserve">Feature Comparison</w:t>
      </w:r>
    </w:p>
    <w:p>
      <w:pPr>
        <w:spacing w:after="160" w:line="300"/>
      </w:pPr>
      <w:r>
        <w:rPr>
          <w:rFonts w:ascii="Calibri" w:cs="Calibri" w:eastAsia="Calibri" w:hAnsi="Calibri"/>
          <w:color w:val="0F2033"/>
          <w:sz w:val="22"/>
          <w:szCs w:val="22"/>
        </w:rPr>
        <w:t xml:space="preserve">Checked against the capabilities in DocRenew's BRD/FSD, based on what each vendor's own site or listing states: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500"/>
        <w:gridCol w:w="1300"/>
        <w:gridCol w:w="1340"/>
      </w:tblGrid>
      <w:tr>
        <w:trPr>
          <w:tblHeader/>
        </w:trPr>
        <w:tc>
          <w:tcPr>
            <w:tcW w:type="dxa" w:w="26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Capability</w:t>
            </w:r>
          </w:p>
        </w:tc>
        <w:tc>
          <w:tcPr>
            <w:tcW w:type="dxa" w:w="15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DocRenew (planned)</w:t>
            </w:r>
          </w:p>
        </w:tc>
        <w:tc>
          <w:tcPr>
            <w:tcW w:type="dxa" w:w="13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DocuTrackr</w:t>
            </w:r>
          </w:p>
        </w:tc>
        <w:tc>
          <w:tcPr>
            <w:tcW w:type="dxa" w:w="15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Expiration Reminder</w:t>
            </w:r>
          </w:p>
        </w:tc>
        <w:tc>
          <w:tcPr>
            <w:tcW w:type="dxa" w:w="130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Certemy</w:t>
            </w:r>
          </w:p>
        </w:tc>
        <w:tc>
          <w:tcPr>
            <w:tcW w:type="dxa" w:w="1340"/>
            <w:shd w:fill="0B2545"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Jobbatical</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Passport/visa/work-permit tracking</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 (generic docs)</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 (licenses/credentials)</w:t>
            </w:r>
          </w:p>
        </w:tc>
        <w:tc>
          <w:tcPr>
            <w:tcW w:type="dxa" w:w="13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r>
      <w:tr>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License &amp; certification tracking</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 (permits/licenses)</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 (core focus)</w:t>
            </w:r>
          </w:p>
        </w:tc>
        <w:tc>
          <w:tcPr>
            <w:tcW w:type="dxa" w:w="13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4-stage escalation (3mo/1mo/5-day/expiry)</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 exact cadence</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specified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Configurable, cadence not specified</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Workflow-based, cadence not specified</w:t>
            </w:r>
          </w:p>
        </w:tc>
        <w:tc>
          <w:tcPr>
            <w:tcW w:type="dxa" w:w="13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Alerts before deadline, cadence not specified</w:t>
            </w:r>
          </w:p>
        </w:tc>
      </w:tr>
      <w:tr>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Post-expiry escalation to management</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specified</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 escalation (Professional tier+)</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Workflow-based</w:t>
            </w:r>
          </w:p>
        </w:tc>
        <w:tc>
          <w:tcPr>
            <w:tcW w:type="dxa" w:w="13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specified</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 + SMS + push, 3 channels</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 push, in-app (no SMS stated)</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Email, SMS, mobile app</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Alerts (channel mix not detailed)</w:t>
            </w:r>
          </w:p>
        </w:tc>
        <w:tc>
          <w:tcPr>
            <w:tcW w:type="dxa" w:w="13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Alerts (channel mix not detailed)</w:t>
            </w:r>
          </w:p>
        </w:tc>
      </w:tr>
      <w:tr>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Role-based access (Admin/HR/Manager/Employee)</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 4 named roles</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Not specified</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Admin users + self-service portal</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Role-based access (roles not detailed)</w:t>
            </w:r>
          </w:p>
        </w:tc>
        <w:tc>
          <w:tcPr>
            <w:tcW w:type="dxa" w:w="13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HR/manager/employee views implied</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Multi-tenant SaaS, configurable per org</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r>
      <w:tr>
        <w:tc>
          <w:tcPr>
            <w:tcW w:type="dxa" w:w="26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Primary-source credential verification</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5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30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w:t>
            </w:r>
          </w:p>
        </w:tc>
        <w:tc>
          <w:tcPr>
            <w:tcW w:type="dxa" w:w="1340"/>
            <w:shd w:fill="EAF2FB" w:val="clear"/>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r>
      <w:tr>
        <w:tc>
          <w:tcPr>
            <w:tcW w:type="dxa" w:w="26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Immigration case-management workflow</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5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30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No</w:t>
            </w:r>
          </w:p>
        </w:tc>
        <w:tc>
          <w:tcPr>
            <w:tcW w:type="dxa" w:w="1340"/>
            <w:tcMar>
              <w:top w:type="dxa" w:w="90"/>
              <w:left w:type="dxa" w:w="110"/>
              <w:bottom w:type="dxa" w:w="90"/>
              <w:right w:type="dxa" w:w="110"/>
            </w:tcMar>
            <w:vAlign w:val="center"/>
          </w:tcPr>
          <w:p>
            <w:r>
              <w:rPr>
                <w:rFonts w:ascii="Calibri" w:cs="Calibri" w:eastAsia="Calibri" w:hAnsi="Calibri"/>
                <w:b w:val="false"/>
                <w:bCs w:val="false"/>
                <w:color w:val="0F2033"/>
                <w:sz w:val="19"/>
                <w:szCs w:val="19"/>
              </w:rPr>
              <w:t xml:space="preserve">Yes (core differentiator)</w:t>
            </w:r>
          </w:p>
        </w:tc>
      </w:tr>
    </w:tbl>
    <w:p>
      <w:pPr>
        <w:spacing w:after="100"/>
      </w:pPr>
    </w:p>
    <w:p>
      <w:pPr>
        <w:spacing w:after="160" w:line="300"/>
      </w:pPr>
      <w:r>
        <w:rPr>
          <w:rFonts w:ascii="Calibri" w:cs="Calibri" w:eastAsia="Calibri" w:hAnsi="Calibri"/>
          <w:i/>
          <w:iCs/>
          <w:color w:val="5B6B7D"/>
          <w:sz w:val="22"/>
          <w:szCs w:val="22"/>
        </w:rPr>
        <w:t xml:space="preserve">“Not specified” means the vendor's public materials did not state it either way — it does not mean the feature is absent, only unconfirmed from public sources.</w:t>
      </w:r>
    </w:p>
    <w:p>
      <w:pPr>
        <w:pStyle w:val="Heading1"/>
        <w:spacing w:after="200" w:before="440"/>
      </w:pPr>
      <w:r>
        <w:rPr>
          <w:rFonts w:ascii="Calibri" w:cs="Calibri" w:eastAsia="Calibri" w:hAnsi="Calibri"/>
          <w:b/>
          <w:bCs/>
          <w:color w:val="0B2545"/>
          <w:sz w:val="30"/>
          <w:szCs w:val="30"/>
        </w:rPr>
        <w:t xml:space="preserve">Positioning</w:t>
      </w:r>
    </w:p>
    <w:p>
      <w:pPr>
        <w:spacing w:after="160" w:line="300"/>
      </w:pPr>
      <w:r>
        <w:rPr>
          <w:rFonts w:ascii="Calibri" w:cs="Calibri" w:eastAsia="Calibri" w:hAnsi="Calibri"/>
          <w:color w:val="0F2033"/>
          <w:sz w:val="22"/>
          <w:szCs w:val="22"/>
        </w:rPr>
        <w:t xml:space="preserve">DocRenew's closest direct competitor by scope is DocuTrackr, but DocuTrackr is a document-expiry tool first (it also covers insurance, VAT certificates, etc.) rather than an employee-document and HR-workflow platform — it has no stated role-based access model for Admin/HR/Manager/Employee, and no stated management-escalation stage after expiry.</w:t>
      </w:r>
    </w:p>
    <w:p>
      <w:pPr>
        <w:spacing w:after="160" w:line="300"/>
      </w:pPr>
      <w:r>
        <w:rPr>
          <w:rFonts w:ascii="Calibri" w:cs="Calibri" w:eastAsia="Calibri" w:hAnsi="Calibri"/>
          <w:color w:val="0F2033"/>
          <w:sz w:val="22"/>
          <w:szCs w:val="22"/>
        </w:rPr>
        <w:t xml:space="preserve">DocRenew's gap to fill is the combination no single competitor states publicly: identity/immigration documents (passport, visa, work permit) and professional licenses/certifications, tracked together, with a fixed 5-point escalation cadence (3 months, 1 month, 5 days, on expiry, post-expiry to management) and four distinct, named user roles. Certemy and the VAIRKKO-type platforms go deeper on regulated-profession compliance (primary-source verification, CE credits) than DocRenew plans to in Phase 1; Jobbatical and Xpatweb go deeper on immigration case management. DocRenew's Phase 1 scope is narrower than either, which is a legitimate wedge — simpler, cheaper, and purpose-built for the specific reminder workflow — rather than a reason to add that scope prematurely.</w:t>
      </w:r>
    </w:p>
    <w:p>
      <w:pPr>
        <w:pStyle w:val="Heading1"/>
        <w:spacing w:after="200" w:before="440"/>
      </w:pPr>
      <w:r>
        <w:rPr>
          <w:rFonts w:ascii="Calibri" w:cs="Calibri" w:eastAsia="Calibri" w:hAnsi="Calibri"/>
          <w:b/>
          <w:bCs/>
          <w:color w:val="0B2545"/>
          <w:sz w:val="30"/>
          <w:szCs w:val="30"/>
        </w:rPr>
        <w:t xml:space="preserve">Gaps &amp; Opportunities</w:t>
      </w:r>
    </w:p>
    <w:p>
      <w:pPr>
        <w:pStyle w:val="ListParagraph"/>
        <w:numPr>
          <w:ilvl w:val="0"/>
          <w:numId w:val="3"/>
        </w:numPr>
        <w:spacing w:after="90" w:line="280"/>
      </w:pPr>
      <w:r>
        <w:rPr>
          <w:rFonts w:ascii="Calibri" w:cs="Calibri" w:eastAsia="Calibri" w:hAnsi="Calibri"/>
          <w:color w:val="0F2033"/>
          <w:sz w:val="22"/>
          <w:szCs w:val="22"/>
        </w:rPr>
        <w:t xml:space="preserve">Pricing opacity. Three of the seven researched competitors (Certemy, Jobbatical, Xpatweb) publish no pricing at all, which slows self-serve evaluation for smaller employers. A transparent, published pricing page is an easy differentiator against those three.</w:t>
      </w:r>
    </w:p>
    <w:p>
      <w:pPr>
        <w:pStyle w:val="ListParagraph"/>
        <w:numPr>
          <w:ilvl w:val="0"/>
          <w:numId w:val="3"/>
        </w:numPr>
        <w:spacing w:after="90" w:line="280"/>
      </w:pPr>
      <w:r>
        <w:rPr>
          <w:rFonts w:ascii="Calibri" w:cs="Calibri" w:eastAsia="Calibri" w:hAnsi="Calibri"/>
          <w:color w:val="0F2033"/>
          <w:sz w:val="22"/>
          <w:szCs w:val="22"/>
        </w:rPr>
        <w:t xml:space="preserve">No one names the exact escalation cadence. None of the researched competitors states a fixed 3-month/1-month/5-day/expiry/post-expiry schedule publicly — most describe “configurable alerts” without naming default intervals. DocRenew can market the specific cadence as a proven, ready-to-use default rather than a blank configuration screen.</w:t>
      </w:r>
    </w:p>
    <w:p>
      <w:pPr>
        <w:pStyle w:val="ListParagraph"/>
        <w:numPr>
          <w:ilvl w:val="0"/>
          <w:numId w:val="3"/>
        </w:numPr>
        <w:spacing w:after="90" w:line="280"/>
      </w:pPr>
      <w:r>
        <w:rPr>
          <w:rFonts w:ascii="Calibri" w:cs="Calibri" w:eastAsia="Calibri" w:hAnsi="Calibri"/>
          <w:color w:val="0F2033"/>
          <w:sz w:val="22"/>
          <w:szCs w:val="22"/>
        </w:rPr>
        <w:t xml:space="preserve">Identity documents and licenses are split across two vendor types. An employer with both expatriate staff (visas/work permits) and licensed workers (e.g. drivers, nurses) currently has to run a visa-tracking tool and a license-tracking tool side by side — DocRenew's combined scope is the gap.</w:t>
      </w:r>
    </w:p>
    <w:p>
      <w:pPr>
        <w:pStyle w:val="ListParagraph"/>
        <w:numPr>
          <w:ilvl w:val="0"/>
          <w:numId w:val="3"/>
        </w:numPr>
        <w:spacing w:after="90" w:line="280"/>
      </w:pPr>
      <w:r>
        <w:rPr>
          <w:rFonts w:ascii="Calibri" w:cs="Calibri" w:eastAsia="Calibri" w:hAnsi="Calibri"/>
          <w:color w:val="0F2033"/>
          <w:sz w:val="22"/>
          <w:szCs w:val="22"/>
        </w:rPr>
        <w:t xml:space="preserve">SMS is inconsistently offered. DocuTrackr's listing does not mention SMS; Expiration Reminder and Remindax do. If SMS delivery is a priority for Zamorins' target customers (e.g. a workforce without reliable email access), it's worth confirming this is cost-justified rather than assumed, since SMS gateway costs recur per message.</w:t>
      </w:r>
    </w:p>
    <w:p>
      <w:pPr>
        <w:pStyle w:val="ListParagraph"/>
        <w:numPr>
          <w:ilvl w:val="0"/>
          <w:numId w:val="3"/>
        </w:numPr>
        <w:spacing w:after="90" w:line="280"/>
      </w:pPr>
      <w:r>
        <w:rPr>
          <w:rFonts w:ascii="Calibri" w:cs="Calibri" w:eastAsia="Calibri" w:hAnsi="Calibri"/>
          <w:color w:val="0F2033"/>
          <w:sz w:val="22"/>
          <w:szCs w:val="22"/>
        </w:rPr>
        <w:t xml:space="preserve">Regional focus is uneven. DocuTrackr markets specifically to GCC and North America; Xpatweb is South-Africa-rooted; Jobbatical skews EU/global-mobility enterprise. None of the researched vendors specifically targets the segments DocRenew's BRD lists (manufacturing, construction, logistics, healthcare, government) as a named focus — that positioning is open.</w:t>
      </w:r>
    </w:p>
    <w:p>
      <w:pPr>
        <w:pStyle w:val="Heading1"/>
        <w:spacing w:after="200" w:before="440"/>
      </w:pPr>
      <w:r>
        <w:rPr>
          <w:rFonts w:ascii="Calibri" w:cs="Calibri" w:eastAsia="Calibri" w:hAnsi="Calibri"/>
          <w:b/>
          <w:bCs/>
          <w:color w:val="0B2545"/>
          <w:sz w:val="30"/>
          <w:szCs w:val="30"/>
        </w:rPr>
        <w:t xml:space="preserve">Sources</w:t>
      </w:r>
    </w:p>
    <w:p>
      <w:pPr>
        <w:spacing w:after="160" w:line="300"/>
      </w:pPr>
      <w:r>
        <w:rPr>
          <w:rFonts w:ascii="Calibri" w:cs="Calibri" w:eastAsia="Calibri" w:hAnsi="Calibri"/>
          <w:color w:val="0F2033"/>
          <w:sz w:val="22"/>
          <w:szCs w:val="22"/>
        </w:rPr>
        <w:t xml:space="preserve">All figures and feature claims above were pulled from each vendor's own site or an active listing, opened during this research on 14 Oct 2026:</w:t>
      </w:r>
    </w:p>
    <w:p>
      <w:pPr>
        <w:pStyle w:val="ListParagraph"/>
        <w:numPr>
          <w:ilvl w:val="0"/>
          <w:numId w:val="3"/>
        </w:numPr>
        <w:spacing w:after="90" w:line="280"/>
      </w:pPr>
      <w:hyperlink w:history="1" r:id="rIde6olxuyxkse9etttmfj3i">
        <w:r>
          <w:rPr>
            <w:rFonts w:ascii="Calibri" w:cs="Calibri" w:eastAsia="Calibri" w:hAnsi="Calibri"/>
            <w:color w:val="1D6FB8"/>
            <w:sz w:val="22"/>
            <w:szCs w:val="22"/>
            <w:u w:val="single"/>
          </w:rPr>
          <w:t xml:space="preserve">DocuTrackr — Capterra listing</w:t>
        </w:r>
      </w:hyperlink>
    </w:p>
    <w:p>
      <w:pPr>
        <w:pStyle w:val="ListParagraph"/>
        <w:numPr>
          <w:ilvl w:val="0"/>
          <w:numId w:val="3"/>
        </w:numPr>
        <w:spacing w:after="90" w:line="280"/>
      </w:pPr>
      <w:hyperlink w:history="1" r:id="rIdyt7ls8qy6l_gbgqdzraln">
        <w:r>
          <w:rPr>
            <w:rFonts w:ascii="Calibri" w:cs="Calibri" w:eastAsia="Calibri" w:hAnsi="Calibri"/>
            <w:color w:val="1D6FB8"/>
            <w:sz w:val="22"/>
            <w:szCs w:val="22"/>
            <w:u w:val="single"/>
          </w:rPr>
          <w:t xml:space="preserve">Expiration Reminder — pricing page</w:t>
        </w:r>
      </w:hyperlink>
    </w:p>
    <w:p>
      <w:pPr>
        <w:pStyle w:val="ListParagraph"/>
        <w:numPr>
          <w:ilvl w:val="0"/>
          <w:numId w:val="3"/>
        </w:numPr>
        <w:spacing w:after="90" w:line="280"/>
      </w:pPr>
      <w:hyperlink w:history="1" r:id="rIdnzlnndirdiridhrugdzmu">
        <w:r>
          <w:rPr>
            <w:rFonts w:ascii="Calibri" w:cs="Calibri" w:eastAsia="Calibri" w:hAnsi="Calibri"/>
            <w:color w:val="1D6FB8"/>
            <w:sz w:val="22"/>
            <w:szCs w:val="22"/>
            <w:u w:val="single"/>
          </w:rPr>
          <w:t xml:space="preserve">Certemy — SoftwareSuggest profile</w:t>
        </w:r>
      </w:hyperlink>
    </w:p>
    <w:p>
      <w:pPr>
        <w:pStyle w:val="ListParagraph"/>
        <w:numPr>
          <w:ilvl w:val="0"/>
          <w:numId w:val="3"/>
        </w:numPr>
        <w:spacing w:after="90" w:line="280"/>
      </w:pPr>
      <w:hyperlink w:history="1" r:id="rId-apjof6kjh8iywxnh0nrv">
        <w:r>
          <w:rPr>
            <w:rFonts w:ascii="Calibri" w:cs="Calibri" w:eastAsia="Calibri" w:hAnsi="Calibri"/>
            <w:color w:val="1D6FB8"/>
            <w:sz w:val="22"/>
            <w:szCs w:val="22"/>
            <w:u w:val="single"/>
          </w:rPr>
          <w:t xml:space="preserve">Jobbatical — Employee Renewals and Compliance Tracking Module</w:t>
        </w:r>
      </w:hyperlink>
    </w:p>
    <w:p>
      <w:pPr>
        <w:pStyle w:val="ListParagraph"/>
        <w:numPr>
          <w:ilvl w:val="0"/>
          <w:numId w:val="3"/>
        </w:numPr>
        <w:spacing w:after="90" w:line="280"/>
      </w:pPr>
      <w:hyperlink w:history="1" r:id="rId_k4hmktt2nvhbyu7vwwws">
        <w:r>
          <w:rPr>
            <w:rFonts w:ascii="Calibri" w:cs="Calibri" w:eastAsia="Calibri" w:hAnsi="Calibri"/>
            <w:color w:val="1D6FB8"/>
            <w:sz w:val="22"/>
            <w:szCs w:val="22"/>
            <w:u w:val="single"/>
          </w:rPr>
          <w:t xml:space="preserve">Xpatweb — Immigration Tracking Tool</w:t>
        </w:r>
      </w:hyperlink>
    </w:p>
    <w:p>
      <w:pPr>
        <w:pStyle w:val="ListParagraph"/>
        <w:numPr>
          <w:ilvl w:val="0"/>
          <w:numId w:val="3"/>
        </w:numPr>
        <w:spacing w:after="90" w:line="280"/>
      </w:pPr>
      <w:hyperlink w:history="1" r:id="rIddp8zoywx_nl4ki8xt1pze">
        <w:r>
          <w:rPr>
            <w:rFonts w:ascii="Calibri" w:cs="Calibri" w:eastAsia="Calibri" w:hAnsi="Calibri"/>
            <w:color w:val="1D6FB8"/>
            <w:sz w:val="22"/>
            <w:szCs w:val="22"/>
            <w:u w:val="single"/>
          </w:rPr>
          <w:t xml:space="preserve">DocuAlerts — Capterra listing</w:t>
        </w:r>
      </w:hyperlink>
    </w:p>
    <w:p>
      <w:pPr>
        <w:pStyle w:val="ListParagraph"/>
        <w:numPr>
          <w:ilvl w:val="0"/>
          <w:numId w:val="3"/>
        </w:numPr>
        <w:spacing w:after="90" w:line="280"/>
      </w:pPr>
      <w:hyperlink w:history="1" r:id="rIdbmacz6ezx88bhnbqt4wg8">
        <w:r>
          <w:rPr>
            <w:rFonts w:ascii="Calibri" w:cs="Calibri" w:eastAsia="Calibri" w:hAnsi="Calibri"/>
            <w:color w:val="1D6FB8"/>
            <w:sz w:val="22"/>
            <w:szCs w:val="22"/>
            <w:u w:val="single"/>
          </w:rPr>
          <w:t xml:space="preserve">Expiration Reminder — certification tracking software comparison (covers Remindax, VAIRKKO, MuchSkills, Aptien, Certemy; vendor-authored, so treated as a lead to verify rather than a neutral source)</w:t>
        </w:r>
      </w:hyperlink>
    </w:p>
    <w:p>
      <w:pPr>
        <w:spacing w:after="100"/>
      </w:pPr>
    </w:p>
    <w:p>
      <w:pPr>
        <w:spacing w:after="160" w:line="300"/>
      </w:pPr>
      <w:r>
        <w:rPr>
          <w:rFonts w:ascii="Calibri" w:cs="Calibri" w:eastAsia="Calibri" w:hAnsi="Calibri"/>
          <w:i/>
          <w:iCs/>
          <w:color w:val="5B6B7D"/>
          <w:sz w:val="22"/>
          <w:szCs w:val="22"/>
        </w:rPr>
        <w:t xml:space="preserve">Not independently verified: Certemy, Jobbatical, and Xpatweb publish no pricing, so those cells are marked accordingly rather than estimated. The Aptien and Remindax figures come from the Expiration Reminder comparison blog rather than each vendor's own pricing page — worth a direct check before quoting them externally.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0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olxuyxkse9etttmfj3i" Type="http://schemas.openxmlformats.org/officeDocument/2006/relationships/hyperlink" Target="https://www.capterra.com/p/10048686/DocuTrackr/" TargetMode="External"/><Relationship Id="rIdyt7ls8qy6l_gbgqdzraln" Type="http://schemas.openxmlformats.org/officeDocument/2006/relationships/hyperlink" Target="https://www.expirationreminder.com/pricing" TargetMode="External"/><Relationship Id="rIdnzlnndirdiridhrugdzmu" Type="http://schemas.openxmlformats.org/officeDocument/2006/relationships/hyperlink" Target="https://www.softwaresuggest.com/certemy" TargetMode="External"/><Relationship Id="rId-apjof6kjh8iywxnh0nrv" Type="http://schemas.openxmlformats.org/officeDocument/2006/relationships/hyperlink" Target="https://www.jobbatical.com/platform/employee-renewals-compliance-tracking-module" TargetMode="External"/><Relationship Id="rId_k4hmktt2nvhbyu7vwwws" Type="http://schemas.openxmlformats.org/officeDocument/2006/relationships/hyperlink" Target="https://www.xpatweb.com/immigration-tracking-tool/" TargetMode="External"/><Relationship Id="rIddp8zoywx_nl4ki8xt1pze" Type="http://schemas.openxmlformats.org/officeDocument/2006/relationships/hyperlink" Target="https://www.capterra.com/p/10030613/DocuAlerts/" TargetMode="External"/><Relationship Id="rIdbmacz6ezx88bhnbqt4wg8" Type="http://schemas.openxmlformats.org/officeDocument/2006/relationships/hyperlink" Target="https://www.expirationreminder.com/blog/certification-tracking-software-comparing-top-solutions-for-compliance-automati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2026-10-14T05:53:34.494Z</dcterms:created>
  <dcterms:modified xsi:type="dcterms:W3CDTF">2026-10-14T05:53:34.505Z</dcterms:modified>
</cp:coreProperties>
</file>

<file path=docProps/custom.xml><?xml version="1.0" encoding="utf-8"?>
<Properties xmlns="http://schemas.openxmlformats.org/officeDocument/2006/custom-properties" xmlns:vt="http://schemas.openxmlformats.org/officeDocument/2006/docPropsVTypes"/>
</file>