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B57"/>
          <w:sz w:val="44"/>
          <w:szCs w:val="44"/>
        </w:rPr>
        <w:t xml:space="preserve">UrbanCart</w:t>
      </w:r>
    </w:p>
    <w:p>
      <w:pPr>
        <w:spacing w:after="240"/>
      </w:pPr>
      <w:r>
        <w:rPr>
          <w:color w:val="808080"/>
          <w:sz w:val="18"/>
          <w:szCs w:val="18"/>
        </w:rPr>
        <w:t xml:space="preserve">Shipping &amp; Delivery Policy  ·  Effective 1 September 2026  ·  UrbanCart (Pvt) Ltd, Pakistan</w:t>
      </w:r>
    </w:p>
    <w:p>
      <w:pPr>
        <w:pStyle w:val="Heading2"/>
        <w:spacing w:after="100" w:before="240"/>
      </w:pPr>
      <w:r>
        <w:rPr>
          <w:b/>
          <w:bCs/>
          <w:color w:val="1F3B57"/>
          <w:sz w:val="26"/>
          <w:szCs w:val="26"/>
        </w:rPr>
        <w:t xml:space="preserve">1. Cities we deliver to &amp; delivery times</w:t>
      </w:r>
    </w:p>
    <w:p>
      <w:pPr>
        <w:spacing w:after="140"/>
      </w:pPr>
      <w:r>
        <w:rPr>
          <w:sz w:val="21"/>
          <w:szCs w:val="21"/>
        </w:rPr>
        <w:t xml:space="preserve">UrbanCart delivers nationwide across Pakistan. Delivery time is counted in business days from the date the order is confirmed. Major cities are served fastest; remote areas may take longer.</w:t>
      </w:r>
    </w:p>
    <w:tbl>
      <w:tblPr>
        <w:tblW w:type="dxa" w:w="10000"/>
        <w:tblBorders>
          <w:top w:val="single" w:color="D0D0D0" w:sz="4"/>
          <w:left w:val="single" w:color="D0D0D0" w:sz="4"/>
          <w:bottom w:val="single" w:color="D0D0D0" w:sz="4"/>
          <w:right w:val="single" w:color="D0D0D0" w:sz="4"/>
          <w:insideH w:val="single" w:color="D0D0D0" w:sz="4"/>
          <w:insideV w:val="single" w:color="D0D0D0" w:sz="4"/>
        </w:tblBorders>
      </w:tblPr>
      <w:tblGrid>
        <w:gridCol w:w="4200"/>
        <w:gridCol w:w="3200"/>
        <w:gridCol w:w="2600"/>
      </w:tblGrid>
      <w:tr>
        <w:trPr>
          <w:tblHeader/>
        </w:trPr>
        <w:tc>
          <w:tcPr>
            <w:tcW w:type="dxa" w:w="4200"/>
            <w:shd w:fill="1F3B57" w:val="clear"/>
            <w:tcMar>
              <w:top w:type="dxa" w:w="60"/>
              <w:left w:type="dxa" w:w="100"/>
              <w:bottom w:type="dxa" w:w="60"/>
              <w:right w:type="dxa" w:w="100"/>
            </w:tcMar>
          </w:tcPr>
          <w:p>
            <w:r>
              <w:rPr>
                <w:b/>
                <w:bCs/>
                <w:color w:val="FFFFFF"/>
                <w:sz w:val="19"/>
                <w:szCs w:val="19"/>
              </w:rPr>
              <w:t xml:space="preserve">City</w:t>
            </w:r>
          </w:p>
        </w:tc>
        <w:tc>
          <w:tcPr>
            <w:tcW w:type="dxa" w:w="3200"/>
            <w:shd w:fill="1F3B57" w:val="clear"/>
            <w:tcMar>
              <w:top w:type="dxa" w:w="60"/>
              <w:left w:type="dxa" w:w="100"/>
              <w:bottom w:type="dxa" w:w="60"/>
              <w:right w:type="dxa" w:w="100"/>
            </w:tcMar>
          </w:tcPr>
          <w:p>
            <w:r>
              <w:rPr>
                <w:b/>
                <w:bCs/>
                <w:color w:val="FFFFFF"/>
                <w:sz w:val="19"/>
                <w:szCs w:val="19"/>
              </w:rPr>
              <w:t xml:space="preserve">Delivery time</w:t>
            </w:r>
          </w:p>
        </w:tc>
        <w:tc>
          <w:tcPr>
            <w:tcW w:type="dxa" w:w="2600"/>
            <w:shd w:fill="1F3B57" w:val="clear"/>
            <w:tcMar>
              <w:top w:type="dxa" w:w="60"/>
              <w:left w:type="dxa" w:w="100"/>
              <w:bottom w:type="dxa" w:w="60"/>
              <w:right w:type="dxa" w:w="100"/>
            </w:tcMar>
          </w:tcPr>
          <w:p>
            <w:r>
              <w:rPr>
                <w:b/>
                <w:bCs/>
                <w:color w:val="FFFFFF"/>
                <w:sz w:val="19"/>
                <w:szCs w:val="19"/>
              </w:rPr>
              <w:t xml:space="preserve">Shipping charge</w:t>
            </w:r>
          </w:p>
        </w:tc>
      </w:tr>
      <w:tr>
        <w:trPr>
          <w:tblHeader w:val="false"/>
        </w:trPr>
        <w:tc>
          <w:tcPr>
            <w:tcW w:type="dxa" w:w="4200"/>
            <w:tcMar>
              <w:top w:type="dxa" w:w="60"/>
              <w:left w:type="dxa" w:w="100"/>
              <w:bottom w:type="dxa" w:w="60"/>
              <w:right w:type="dxa" w:w="100"/>
            </w:tcMar>
          </w:tcPr>
          <w:p>
            <w:r>
              <w:rPr>
                <w:b w:val="false"/>
                <w:bCs w:val="false"/>
                <w:color w:val="000000"/>
                <w:sz w:val="19"/>
                <w:szCs w:val="19"/>
              </w:rPr>
              <w:t xml:space="preserve">Lahore</w:t>
            </w:r>
          </w:p>
        </w:tc>
        <w:tc>
          <w:tcPr>
            <w:tcW w:type="dxa" w:w="3200"/>
            <w:tcMar>
              <w:top w:type="dxa" w:w="60"/>
              <w:left w:type="dxa" w:w="100"/>
              <w:bottom w:type="dxa" w:w="60"/>
              <w:right w:type="dxa" w:w="100"/>
            </w:tcMar>
          </w:tcPr>
          <w:p>
            <w:r>
              <w:rPr>
                <w:b w:val="false"/>
                <w:bCs w:val="false"/>
                <w:color w:val="000000"/>
                <w:sz w:val="19"/>
                <w:szCs w:val="19"/>
              </w:rPr>
              <w:t xml:space="preserve">1–2 business days</w:t>
            </w:r>
          </w:p>
        </w:tc>
        <w:tc>
          <w:tcPr>
            <w:tcW w:type="dxa" w:w="2600"/>
            <w:tcMar>
              <w:top w:type="dxa" w:w="60"/>
              <w:left w:type="dxa" w:w="100"/>
              <w:bottom w:type="dxa" w:w="60"/>
              <w:right w:type="dxa" w:w="100"/>
            </w:tcMar>
          </w:tcPr>
          <w:p>
            <w:r>
              <w:rPr>
                <w:b w:val="false"/>
                <w:bCs w:val="false"/>
                <w:color w:val="000000"/>
                <w:sz w:val="19"/>
                <w:szCs w:val="19"/>
              </w:rPr>
              <w:t xml:space="preserve">Rs. 150</w:t>
            </w:r>
          </w:p>
        </w:tc>
      </w:tr>
      <w:tr>
        <w:trPr>
          <w:tblHeader w:val="false"/>
        </w:trPr>
        <w:tc>
          <w:tcPr>
            <w:tcW w:type="dxa" w:w="4200"/>
            <w:shd w:fill="F4F6F8" w:val="clear"/>
            <w:tcMar>
              <w:top w:type="dxa" w:w="60"/>
              <w:left w:type="dxa" w:w="100"/>
              <w:bottom w:type="dxa" w:w="60"/>
              <w:right w:type="dxa" w:w="100"/>
            </w:tcMar>
          </w:tcPr>
          <w:p>
            <w:r>
              <w:rPr>
                <w:b w:val="false"/>
                <w:bCs w:val="false"/>
                <w:color w:val="000000"/>
                <w:sz w:val="19"/>
                <w:szCs w:val="19"/>
              </w:rPr>
              <w:t xml:space="preserve">Karachi</w:t>
            </w:r>
          </w:p>
        </w:tc>
        <w:tc>
          <w:tcPr>
            <w:tcW w:type="dxa" w:w="3200"/>
            <w:shd w:fill="F4F6F8" w:val="clear"/>
            <w:tcMar>
              <w:top w:type="dxa" w:w="60"/>
              <w:left w:type="dxa" w:w="100"/>
              <w:bottom w:type="dxa" w:w="60"/>
              <w:right w:type="dxa" w:w="100"/>
            </w:tcMar>
          </w:tcPr>
          <w:p>
            <w:r>
              <w:rPr>
                <w:b w:val="false"/>
                <w:bCs w:val="false"/>
                <w:color w:val="000000"/>
                <w:sz w:val="19"/>
                <w:szCs w:val="19"/>
              </w:rPr>
              <w:t xml:space="preserve">2–3 business days</w:t>
            </w:r>
          </w:p>
        </w:tc>
        <w:tc>
          <w:tcPr>
            <w:tcW w:type="dxa" w:w="2600"/>
            <w:shd w:fill="F4F6F8" w:val="clear"/>
            <w:tcMar>
              <w:top w:type="dxa" w:w="60"/>
              <w:left w:type="dxa" w:w="100"/>
              <w:bottom w:type="dxa" w:w="60"/>
              <w:right w:type="dxa" w:w="100"/>
            </w:tcMar>
          </w:tcPr>
          <w:p>
            <w:r>
              <w:rPr>
                <w:b w:val="false"/>
                <w:bCs w:val="false"/>
                <w:color w:val="000000"/>
                <w:sz w:val="19"/>
                <w:szCs w:val="19"/>
              </w:rPr>
              <w:t xml:space="preserve">Rs. 200</w:t>
            </w:r>
          </w:p>
        </w:tc>
      </w:tr>
      <w:tr>
        <w:trPr>
          <w:tblHeader w:val="false"/>
        </w:trPr>
        <w:tc>
          <w:tcPr>
            <w:tcW w:type="dxa" w:w="4200"/>
            <w:tcMar>
              <w:top w:type="dxa" w:w="60"/>
              <w:left w:type="dxa" w:w="100"/>
              <w:bottom w:type="dxa" w:w="60"/>
              <w:right w:type="dxa" w:w="100"/>
            </w:tcMar>
          </w:tcPr>
          <w:p>
            <w:r>
              <w:rPr>
                <w:b w:val="false"/>
                <w:bCs w:val="false"/>
                <w:color w:val="000000"/>
                <w:sz w:val="19"/>
                <w:szCs w:val="19"/>
              </w:rPr>
              <w:t xml:space="preserve">Islamabad</w:t>
            </w:r>
          </w:p>
        </w:tc>
        <w:tc>
          <w:tcPr>
            <w:tcW w:type="dxa" w:w="3200"/>
            <w:tcMar>
              <w:top w:type="dxa" w:w="60"/>
              <w:left w:type="dxa" w:w="100"/>
              <w:bottom w:type="dxa" w:w="60"/>
              <w:right w:type="dxa" w:w="100"/>
            </w:tcMar>
          </w:tcPr>
          <w:p>
            <w:r>
              <w:rPr>
                <w:b w:val="false"/>
                <w:bCs w:val="false"/>
                <w:color w:val="000000"/>
                <w:sz w:val="19"/>
                <w:szCs w:val="19"/>
              </w:rPr>
              <w:t xml:space="preserve">1–2 business days</w:t>
            </w:r>
          </w:p>
        </w:tc>
        <w:tc>
          <w:tcPr>
            <w:tcW w:type="dxa" w:w="2600"/>
            <w:tcMar>
              <w:top w:type="dxa" w:w="60"/>
              <w:left w:type="dxa" w:w="100"/>
              <w:bottom w:type="dxa" w:w="60"/>
              <w:right w:type="dxa" w:w="100"/>
            </w:tcMar>
          </w:tcPr>
          <w:p>
            <w:r>
              <w:rPr>
                <w:b w:val="false"/>
                <w:bCs w:val="false"/>
                <w:color w:val="000000"/>
                <w:sz w:val="19"/>
                <w:szCs w:val="19"/>
              </w:rPr>
              <w:t xml:space="preserve">Rs. 150</w:t>
            </w:r>
          </w:p>
        </w:tc>
      </w:tr>
      <w:tr>
        <w:trPr>
          <w:tblHeader w:val="false"/>
        </w:trPr>
        <w:tc>
          <w:tcPr>
            <w:tcW w:type="dxa" w:w="4200"/>
            <w:shd w:fill="F4F6F8" w:val="clear"/>
            <w:tcMar>
              <w:top w:type="dxa" w:w="60"/>
              <w:left w:type="dxa" w:w="100"/>
              <w:bottom w:type="dxa" w:w="60"/>
              <w:right w:type="dxa" w:w="100"/>
            </w:tcMar>
          </w:tcPr>
          <w:p>
            <w:r>
              <w:rPr>
                <w:b w:val="false"/>
                <w:bCs w:val="false"/>
                <w:color w:val="000000"/>
                <w:sz w:val="19"/>
                <w:szCs w:val="19"/>
              </w:rPr>
              <w:t xml:space="preserve">Rawalpindi</w:t>
            </w:r>
          </w:p>
        </w:tc>
        <w:tc>
          <w:tcPr>
            <w:tcW w:type="dxa" w:w="3200"/>
            <w:shd w:fill="F4F6F8" w:val="clear"/>
            <w:tcMar>
              <w:top w:type="dxa" w:w="60"/>
              <w:left w:type="dxa" w:w="100"/>
              <w:bottom w:type="dxa" w:w="60"/>
              <w:right w:type="dxa" w:w="100"/>
            </w:tcMar>
          </w:tcPr>
          <w:p>
            <w:r>
              <w:rPr>
                <w:b w:val="false"/>
                <w:bCs w:val="false"/>
                <w:color w:val="000000"/>
                <w:sz w:val="19"/>
                <w:szCs w:val="19"/>
              </w:rPr>
              <w:t xml:space="preserve">1–2 business days</w:t>
            </w:r>
          </w:p>
        </w:tc>
        <w:tc>
          <w:tcPr>
            <w:tcW w:type="dxa" w:w="2600"/>
            <w:shd w:fill="F4F6F8" w:val="clear"/>
            <w:tcMar>
              <w:top w:type="dxa" w:w="60"/>
              <w:left w:type="dxa" w:w="100"/>
              <w:bottom w:type="dxa" w:w="60"/>
              <w:right w:type="dxa" w:w="100"/>
            </w:tcMar>
          </w:tcPr>
          <w:p>
            <w:r>
              <w:rPr>
                <w:b w:val="false"/>
                <w:bCs w:val="false"/>
                <w:color w:val="000000"/>
                <w:sz w:val="19"/>
                <w:szCs w:val="19"/>
              </w:rPr>
              <w:t xml:space="preserve">Rs. 150</w:t>
            </w:r>
          </w:p>
        </w:tc>
      </w:tr>
      <w:tr>
        <w:trPr>
          <w:tblHeader w:val="false"/>
        </w:trPr>
        <w:tc>
          <w:tcPr>
            <w:tcW w:type="dxa" w:w="4200"/>
            <w:tcMar>
              <w:top w:type="dxa" w:w="60"/>
              <w:left w:type="dxa" w:w="100"/>
              <w:bottom w:type="dxa" w:w="60"/>
              <w:right w:type="dxa" w:w="100"/>
            </w:tcMar>
          </w:tcPr>
          <w:p>
            <w:r>
              <w:rPr>
                <w:b w:val="false"/>
                <w:bCs w:val="false"/>
                <w:color w:val="000000"/>
                <w:sz w:val="19"/>
                <w:szCs w:val="19"/>
              </w:rPr>
              <w:t xml:space="preserve">Faisalabad</w:t>
            </w:r>
          </w:p>
        </w:tc>
        <w:tc>
          <w:tcPr>
            <w:tcW w:type="dxa" w:w="3200"/>
            <w:tcMar>
              <w:top w:type="dxa" w:w="60"/>
              <w:left w:type="dxa" w:w="100"/>
              <w:bottom w:type="dxa" w:w="60"/>
              <w:right w:type="dxa" w:w="100"/>
            </w:tcMar>
          </w:tcPr>
          <w:p>
            <w:r>
              <w:rPr>
                <w:b w:val="false"/>
                <w:bCs w:val="false"/>
                <w:color w:val="000000"/>
                <w:sz w:val="19"/>
                <w:szCs w:val="19"/>
              </w:rPr>
              <w:t xml:space="preserve">2–3 business days</w:t>
            </w:r>
          </w:p>
        </w:tc>
        <w:tc>
          <w:tcPr>
            <w:tcW w:type="dxa" w:w="2600"/>
            <w:tcMar>
              <w:top w:type="dxa" w:w="60"/>
              <w:left w:type="dxa" w:w="100"/>
              <w:bottom w:type="dxa" w:w="60"/>
              <w:right w:type="dxa" w:w="100"/>
            </w:tcMar>
          </w:tcPr>
          <w:p>
            <w:r>
              <w:rPr>
                <w:b w:val="false"/>
                <w:bCs w:val="false"/>
                <w:color w:val="000000"/>
                <w:sz w:val="19"/>
                <w:szCs w:val="19"/>
              </w:rPr>
              <w:t xml:space="preserve">Rs. 180</w:t>
            </w:r>
          </w:p>
        </w:tc>
      </w:tr>
      <w:tr>
        <w:trPr>
          <w:tblHeader w:val="false"/>
        </w:trPr>
        <w:tc>
          <w:tcPr>
            <w:tcW w:type="dxa" w:w="4200"/>
            <w:shd w:fill="F4F6F8" w:val="clear"/>
            <w:tcMar>
              <w:top w:type="dxa" w:w="60"/>
              <w:left w:type="dxa" w:w="100"/>
              <w:bottom w:type="dxa" w:w="60"/>
              <w:right w:type="dxa" w:w="100"/>
            </w:tcMar>
          </w:tcPr>
          <w:p>
            <w:r>
              <w:rPr>
                <w:b w:val="false"/>
                <w:bCs w:val="false"/>
                <w:color w:val="000000"/>
                <w:sz w:val="19"/>
                <w:szCs w:val="19"/>
              </w:rPr>
              <w:t xml:space="preserve">Multan</w:t>
            </w:r>
          </w:p>
        </w:tc>
        <w:tc>
          <w:tcPr>
            <w:tcW w:type="dxa" w:w="3200"/>
            <w:shd w:fill="F4F6F8" w:val="clear"/>
            <w:tcMar>
              <w:top w:type="dxa" w:w="60"/>
              <w:left w:type="dxa" w:w="100"/>
              <w:bottom w:type="dxa" w:w="60"/>
              <w:right w:type="dxa" w:w="100"/>
            </w:tcMar>
          </w:tcPr>
          <w:p>
            <w:r>
              <w:rPr>
                <w:b w:val="false"/>
                <w:bCs w:val="false"/>
                <w:color w:val="000000"/>
                <w:sz w:val="19"/>
                <w:szCs w:val="19"/>
              </w:rPr>
              <w:t xml:space="preserve">2–4 business days</w:t>
            </w:r>
          </w:p>
        </w:tc>
        <w:tc>
          <w:tcPr>
            <w:tcW w:type="dxa" w:w="2600"/>
            <w:shd w:fill="F4F6F8" w:val="clear"/>
            <w:tcMar>
              <w:top w:type="dxa" w:w="60"/>
              <w:left w:type="dxa" w:w="100"/>
              <w:bottom w:type="dxa" w:w="60"/>
              <w:right w:type="dxa" w:w="100"/>
            </w:tcMar>
          </w:tcPr>
          <w:p>
            <w:r>
              <w:rPr>
                <w:b w:val="false"/>
                <w:bCs w:val="false"/>
                <w:color w:val="000000"/>
                <w:sz w:val="19"/>
                <w:szCs w:val="19"/>
              </w:rPr>
              <w:t xml:space="preserve">Rs. 200</w:t>
            </w:r>
          </w:p>
        </w:tc>
      </w:tr>
      <w:tr>
        <w:trPr>
          <w:tblHeader w:val="false"/>
        </w:trPr>
        <w:tc>
          <w:tcPr>
            <w:tcW w:type="dxa" w:w="4200"/>
            <w:tcMar>
              <w:top w:type="dxa" w:w="60"/>
              <w:left w:type="dxa" w:w="100"/>
              <w:bottom w:type="dxa" w:w="60"/>
              <w:right w:type="dxa" w:w="100"/>
            </w:tcMar>
          </w:tcPr>
          <w:p>
            <w:r>
              <w:rPr>
                <w:b w:val="false"/>
                <w:bCs w:val="false"/>
                <w:color w:val="000000"/>
                <w:sz w:val="19"/>
                <w:szCs w:val="19"/>
              </w:rPr>
              <w:t xml:space="preserve">Peshawar</w:t>
            </w:r>
          </w:p>
        </w:tc>
        <w:tc>
          <w:tcPr>
            <w:tcW w:type="dxa" w:w="3200"/>
            <w:tcMar>
              <w:top w:type="dxa" w:w="60"/>
              <w:left w:type="dxa" w:w="100"/>
              <w:bottom w:type="dxa" w:w="60"/>
              <w:right w:type="dxa" w:w="100"/>
            </w:tcMar>
          </w:tcPr>
          <w:p>
            <w:r>
              <w:rPr>
                <w:b w:val="false"/>
                <w:bCs w:val="false"/>
                <w:color w:val="000000"/>
                <w:sz w:val="19"/>
                <w:szCs w:val="19"/>
              </w:rPr>
              <w:t xml:space="preserve">3–4 business days</w:t>
            </w:r>
          </w:p>
        </w:tc>
        <w:tc>
          <w:tcPr>
            <w:tcW w:type="dxa" w:w="2600"/>
            <w:tcMar>
              <w:top w:type="dxa" w:w="60"/>
              <w:left w:type="dxa" w:w="100"/>
              <w:bottom w:type="dxa" w:w="60"/>
              <w:right w:type="dxa" w:w="100"/>
            </w:tcMar>
          </w:tcPr>
          <w:p>
            <w:r>
              <w:rPr>
                <w:b w:val="false"/>
                <w:bCs w:val="false"/>
                <w:color w:val="000000"/>
                <w:sz w:val="19"/>
                <w:szCs w:val="19"/>
              </w:rPr>
              <w:t xml:space="preserve">Rs. 250</w:t>
            </w:r>
          </w:p>
        </w:tc>
      </w:tr>
      <w:tr>
        <w:trPr>
          <w:tblHeader w:val="false"/>
        </w:trPr>
        <w:tc>
          <w:tcPr>
            <w:tcW w:type="dxa" w:w="4200"/>
            <w:shd w:fill="F4F6F8" w:val="clear"/>
            <w:tcMar>
              <w:top w:type="dxa" w:w="60"/>
              <w:left w:type="dxa" w:w="100"/>
              <w:bottom w:type="dxa" w:w="60"/>
              <w:right w:type="dxa" w:w="100"/>
            </w:tcMar>
          </w:tcPr>
          <w:p>
            <w:r>
              <w:rPr>
                <w:b w:val="false"/>
                <w:bCs w:val="false"/>
                <w:color w:val="000000"/>
                <w:sz w:val="19"/>
                <w:szCs w:val="19"/>
              </w:rPr>
              <w:t xml:space="preserve">Quetta</w:t>
            </w:r>
          </w:p>
        </w:tc>
        <w:tc>
          <w:tcPr>
            <w:tcW w:type="dxa" w:w="3200"/>
            <w:shd w:fill="F4F6F8" w:val="clear"/>
            <w:tcMar>
              <w:top w:type="dxa" w:w="60"/>
              <w:left w:type="dxa" w:w="100"/>
              <w:bottom w:type="dxa" w:w="60"/>
              <w:right w:type="dxa" w:w="100"/>
            </w:tcMar>
          </w:tcPr>
          <w:p>
            <w:r>
              <w:rPr>
                <w:b w:val="false"/>
                <w:bCs w:val="false"/>
                <w:color w:val="000000"/>
                <w:sz w:val="19"/>
                <w:szCs w:val="19"/>
              </w:rPr>
              <w:t xml:space="preserve">4–6 business days</w:t>
            </w:r>
          </w:p>
        </w:tc>
        <w:tc>
          <w:tcPr>
            <w:tcW w:type="dxa" w:w="2600"/>
            <w:shd w:fill="F4F6F8" w:val="clear"/>
            <w:tcMar>
              <w:top w:type="dxa" w:w="60"/>
              <w:left w:type="dxa" w:w="100"/>
              <w:bottom w:type="dxa" w:w="60"/>
              <w:right w:type="dxa" w:w="100"/>
            </w:tcMar>
          </w:tcPr>
          <w:p>
            <w:r>
              <w:rPr>
                <w:b w:val="false"/>
                <w:bCs w:val="false"/>
                <w:color w:val="000000"/>
                <w:sz w:val="19"/>
                <w:szCs w:val="19"/>
              </w:rPr>
              <w:t xml:space="preserve">Rs. 300</w:t>
            </w:r>
          </w:p>
        </w:tc>
      </w:tr>
      <w:tr>
        <w:trPr>
          <w:tblHeader w:val="false"/>
        </w:trPr>
        <w:tc>
          <w:tcPr>
            <w:tcW w:type="dxa" w:w="4200"/>
            <w:tcMar>
              <w:top w:type="dxa" w:w="60"/>
              <w:left w:type="dxa" w:w="100"/>
              <w:bottom w:type="dxa" w:w="60"/>
              <w:right w:type="dxa" w:w="100"/>
            </w:tcMar>
          </w:tcPr>
          <w:p>
            <w:r>
              <w:rPr>
                <w:b w:val="false"/>
                <w:bCs w:val="false"/>
                <w:color w:val="000000"/>
                <w:sz w:val="19"/>
                <w:szCs w:val="19"/>
              </w:rPr>
              <w:t xml:space="preserve">Other cities &amp; remote areas</w:t>
            </w:r>
          </w:p>
        </w:tc>
        <w:tc>
          <w:tcPr>
            <w:tcW w:type="dxa" w:w="3200"/>
            <w:tcMar>
              <w:top w:type="dxa" w:w="60"/>
              <w:left w:type="dxa" w:w="100"/>
              <w:bottom w:type="dxa" w:w="60"/>
              <w:right w:type="dxa" w:w="100"/>
            </w:tcMar>
          </w:tcPr>
          <w:p>
            <w:r>
              <w:rPr>
                <w:b w:val="false"/>
                <w:bCs w:val="false"/>
                <w:color w:val="000000"/>
                <w:sz w:val="19"/>
                <w:szCs w:val="19"/>
              </w:rPr>
              <w:t xml:space="preserve">4–7 business days</w:t>
            </w:r>
          </w:p>
        </w:tc>
        <w:tc>
          <w:tcPr>
            <w:tcW w:type="dxa" w:w="2600"/>
            <w:tcMar>
              <w:top w:type="dxa" w:w="60"/>
              <w:left w:type="dxa" w:w="100"/>
              <w:bottom w:type="dxa" w:w="60"/>
              <w:right w:type="dxa" w:w="100"/>
            </w:tcMar>
          </w:tcPr>
          <w:p>
            <w:r>
              <w:rPr>
                <w:b w:val="false"/>
                <w:bCs w:val="false"/>
                <w:color w:val="000000"/>
                <w:sz w:val="19"/>
                <w:szCs w:val="19"/>
              </w:rPr>
              <w:t xml:space="preserve">Rs. 300</w:t>
            </w:r>
          </w:p>
        </w:tc>
      </w:tr>
    </w:tbl>
    <w:p>
      <w:pPr>
        <w:spacing w:after="140"/>
      </w:pPr>
      <w:r>
        <w:rPr>
          <w:sz w:val="21"/>
          <w:szCs w:val="21"/>
        </w:rPr>
        <w:t xml:space="preserve"> </w:t>
      </w:r>
    </w:p>
    <w:p>
      <w:pPr>
        <w:pStyle w:val="Heading2"/>
        <w:spacing w:after="100" w:before="240"/>
      </w:pPr>
      <w:r>
        <w:rPr>
          <w:b/>
          <w:bCs/>
          <w:color w:val="1F3B57"/>
          <w:sz w:val="26"/>
          <w:szCs w:val="26"/>
        </w:rPr>
        <w:t xml:space="preserve">2. Free shipping</w:t>
      </w:r>
    </w:p>
    <w:p>
      <w:pPr>
        <w:spacing w:after="140"/>
      </w:pPr>
      <w:r>
        <w:rPr>
          <w:sz w:val="21"/>
          <w:szCs w:val="21"/>
        </w:rPr>
        <w:t xml:space="preserve">Orders of </w:t>
      </w:r>
      <w:r>
        <w:rPr>
          <w:b/>
          <w:bCs/>
          <w:sz w:val="21"/>
          <w:szCs w:val="21"/>
        </w:rPr>
        <w:t xml:space="preserve">Rs. 5,000 or more qualify for free shipping</w:t>
      </w:r>
      <w:r>
        <w:rPr>
          <w:sz w:val="21"/>
          <w:szCs w:val="21"/>
        </w:rPr>
        <w:t xml:space="preserve"> to all cities. Below this threshold, the city shipping charge above applies. Promotional free-shipping periods may temporarily lower or remove this threshold.</w:t>
      </w:r>
    </w:p>
    <w:p>
      <w:pPr>
        <w:pStyle w:val="Heading2"/>
        <w:spacing w:after="100" w:before="240"/>
      </w:pPr>
      <w:r>
        <w:rPr>
          <w:b/>
          <w:bCs/>
          <w:color w:val="1F3B57"/>
          <w:sz w:val="26"/>
          <w:szCs w:val="26"/>
        </w:rPr>
        <w:t xml:space="preserve">3. Cash on Delivery (COD)</w:t>
      </w:r>
    </w:p>
    <w:p>
      <w:pPr>
        <w:pStyle w:val="ListParagraph"/>
        <w:numPr>
          <w:ilvl w:val="0"/>
          <w:numId w:val="2"/>
        </w:numPr>
        <w:spacing w:after="60"/>
      </w:pPr>
      <w:r>
        <w:rPr>
          <w:sz w:val="21"/>
          <w:szCs w:val="21"/>
        </w:rPr>
        <w:t xml:space="preserve">COD is available in all listed cities for orders up to Rs. 100,000.</w:t>
      </w:r>
    </w:p>
    <w:p>
      <w:pPr>
        <w:pStyle w:val="ListParagraph"/>
        <w:numPr>
          <w:ilvl w:val="0"/>
          <w:numId w:val="2"/>
        </w:numPr>
        <w:spacing w:after="60"/>
      </w:pPr>
      <w:r>
        <w:rPr>
          <w:sz w:val="21"/>
          <w:szCs w:val="21"/>
        </w:rPr>
        <w:t xml:space="preserve">Orders above Rs. 100,000 require full or partial advance payment for security.</w:t>
      </w:r>
    </w:p>
    <w:p>
      <w:pPr>
        <w:pStyle w:val="ListParagraph"/>
        <w:numPr>
          <w:ilvl w:val="0"/>
          <w:numId w:val="2"/>
        </w:numPr>
        <w:spacing w:after="60"/>
      </w:pPr>
      <w:r>
        <w:rPr>
          <w:sz w:val="21"/>
          <w:szCs w:val="21"/>
        </w:rPr>
        <w:t xml:space="preserve">A COD handling fee of Rs. 100 applies to orders under Rs. 3,000.</w:t>
      </w:r>
    </w:p>
    <w:p>
      <w:pPr>
        <w:pStyle w:val="ListParagraph"/>
        <w:numPr>
          <w:ilvl w:val="0"/>
          <w:numId w:val="2"/>
        </w:numPr>
        <w:spacing w:after="60"/>
      </w:pPr>
      <w:r>
        <w:rPr>
          <w:sz w:val="21"/>
          <w:szCs w:val="21"/>
        </w:rPr>
        <w:t xml:space="preserve">Customers must inspect the package at delivery; once the rider leaves, damage claims follow the return policy.</w:t>
      </w:r>
    </w:p>
    <w:p>
      <w:pPr>
        <w:pStyle w:val="ListParagraph"/>
        <w:numPr>
          <w:ilvl w:val="0"/>
          <w:numId w:val="2"/>
        </w:numPr>
        <w:spacing w:after="60"/>
      </w:pPr>
      <w:r>
        <w:rPr>
          <w:sz w:val="21"/>
          <w:szCs w:val="21"/>
        </w:rPr>
        <w:t xml:space="preserve">If a COD order is refused at delivery twice, the account may be limited to prepaid orders.</w:t>
      </w:r>
    </w:p>
    <w:p>
      <w:pPr>
        <w:pStyle w:val="Heading2"/>
        <w:spacing w:after="100" w:before="240"/>
      </w:pPr>
      <w:r>
        <w:rPr>
          <w:b/>
          <w:bCs/>
          <w:color w:val="1F3B57"/>
          <w:sz w:val="26"/>
          <w:szCs w:val="26"/>
        </w:rPr>
        <w:t xml:space="preserve">4. Order tracking &amp; delays</w:t>
      </w:r>
    </w:p>
    <w:p>
      <w:pPr>
        <w:spacing w:after="140"/>
      </w:pPr>
      <w:r>
        <w:rPr>
          <w:sz w:val="21"/>
          <w:szCs w:val="21"/>
        </w:rPr>
        <w:t xml:space="preserve">Every dispatched order receives a tracking update. If a customer reports that an order has not arrived within the expected window (for example, "My order UC-10452 hasn't arrived yet"), support looks up the live order status by order code. If the order is marked delayed or the delay exceeds the delivery window, the case is flagged as an important order issue and the support team is notified.</w:t>
      </w:r>
    </w:p>
    <w:p>
      <w:pPr>
        <w:pStyle w:val="Heading2"/>
        <w:spacing w:after="100" w:before="240"/>
      </w:pPr>
      <w:r>
        <w:rPr>
          <w:b/>
          <w:bCs/>
          <w:color w:val="1F3B57"/>
          <w:sz w:val="26"/>
          <w:szCs w:val="26"/>
        </w:rPr>
        <w:t xml:space="preserve">5. When information is unavailable</w:t>
      </w:r>
    </w:p>
    <w:p>
      <w:pPr>
        <w:spacing w:after="140"/>
      </w:pPr>
      <w:r>
        <w:rPr>
          <w:sz w:val="21"/>
          <w:szCs w:val="21"/>
        </w:rPr>
        <w:t xml:space="preserve">If a delivery question cannot be answered from this policy or the live order record, the AI assistant does not guess. It tells the customer that a team member will follow up and, where relevant, creates a support ticket.</w:t>
      </w:r>
    </w:p>
    <w:p>
      <w:pPr>
        <w:spacing w:before="300"/>
      </w:pPr>
      <w:r>
        <w:rPr>
          <w:i/>
          <w:iCs/>
          <w:color w:val="808080"/>
          <w:sz w:val="16"/>
          <w:szCs w:val="16"/>
        </w:rPr>
        <w:t xml:space="preserve">This document is the authoritative source for UrbanCart shipping rules and is re-indexed automatically by the AI assistant whenever it is updated.</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2026-09-02T10:34:05.951Z</dcterms:created>
  <dcterms:modified xsi:type="dcterms:W3CDTF">2026-09-02T10:34:05.964Z</dcterms:modified>
</cp:coreProperties>
</file>

<file path=docProps/custom.xml><?xml version="1.0" encoding="utf-8"?>
<Properties xmlns="http://schemas.openxmlformats.org/officeDocument/2006/custom-properties" xmlns:vt="http://schemas.openxmlformats.org/officeDocument/2006/docPropsVTypes"/>
</file>