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Conflict of Interest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[Business Name]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BRIEF AND PURPOSE</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company's Conflict of Interest Policy refers to any situation in which an employee's personal interests conflict with those of the company for which they work. This is an undesirable situation since it may have a negative impact on the employee's judgment and dedication to the firm, and thus on the organization's ability to achieve its objectives.</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will lay out the procedures for dealing with conflicts of interest, as well as the roles of employees and the company in resolving any issues that arise.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company's conflict of interest policy applies to all future and existing employees, as well as independent contractors and anyone acting on the company's behalf.</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DEFINITIONS</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 Employee </w:t>
      </w:r>
      <w:r w:rsidDel="00000000" w:rsidR="00000000" w:rsidRPr="00000000">
        <w:rPr>
          <w:rFonts w:ascii="Calibri" w:cs="Calibri" w:eastAsia="Calibri" w:hAnsi="Calibri"/>
          <w:sz w:val="26"/>
          <w:szCs w:val="26"/>
          <w:rtl w:val="0"/>
        </w:rPr>
        <w:t xml:space="preserve">– someone hired by [company name] on a part-time or full-time basis in conformity with [state's] labor rules.</w:t>
      </w:r>
    </w:p>
    <w:p w:rsidR="00000000" w:rsidDel="00000000" w:rsidP="00000000" w:rsidRDefault="00000000" w:rsidRPr="00000000" w14:paraId="00000012">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 Agent </w:t>
      </w:r>
      <w:r w:rsidDel="00000000" w:rsidR="00000000" w:rsidRPr="00000000">
        <w:rPr>
          <w:rFonts w:ascii="Calibri" w:cs="Calibri" w:eastAsia="Calibri" w:hAnsi="Calibri"/>
          <w:sz w:val="26"/>
          <w:szCs w:val="26"/>
          <w:rtl w:val="0"/>
        </w:rPr>
        <w:t xml:space="preserve">– an owner, stakeholder,  director, contractor, or other third-party with authority to act on [company names] behalf.</w:t>
      </w:r>
    </w:p>
    <w:p w:rsidR="00000000" w:rsidDel="00000000" w:rsidP="00000000" w:rsidRDefault="00000000" w:rsidRPr="00000000" w14:paraId="00000014">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 Financial Interest </w:t>
      </w:r>
      <w:r w:rsidDel="00000000" w:rsidR="00000000" w:rsidRPr="00000000">
        <w:rPr>
          <w:rFonts w:ascii="Calibri" w:cs="Calibri" w:eastAsia="Calibri" w:hAnsi="Calibri"/>
          <w:sz w:val="26"/>
          <w:szCs w:val="26"/>
          <w:rtl w:val="0"/>
        </w:rPr>
        <w:t xml:space="preserve">- Any individual's financial interest in [company names] monetary transactions. In particular, any interest that could have a direct impact on the individual's financial gain or loss.</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PROCEDURES</w:t>
      </w:r>
    </w:p>
    <w:p w:rsidR="00000000" w:rsidDel="00000000" w:rsidP="00000000" w:rsidRDefault="00000000" w:rsidRPr="00000000" w14:paraId="00000018">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 Obligation to disclose</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Every [company name] employee/agent is required to report any known or perceived conflicts of interest as soon as they emerge. Failure to do so could result in your employment being terminated.</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 Looking into potential conflicts</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a potential conflict of interest develops, the board of directors will gather all relevant facts and may interview any parties involved. If the board concludes that there is a disagreement, efforts will be taken to resolve it. If there is no dispute, the investigation will be documented but no further action will be taken.</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 Dealing with potential conflicts of interest</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transactions that may have been affected will be evaluated retroactively if an actual conflict of interest is discovered. Affected individuals shall be contacted both inside and outside the company, including shareholders, directors, employees, and contractors. The board of directors will also conduct an inquiry to assess the scope of the conflict and the intentions of the people involved.</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 member or members of the board of directors are involved in the disagreement, they will be excused from the deliberations.</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DISCIPLINARY CONSEQUENCES</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Because all conflicts of interest will be assessed on a case-by-case basis, disciplinary action may be taken. The board of directors has complete authority over what disciplinary action, including suspension and/or termination of employment, is appropriate and required.</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