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Job Description - Graphic Designer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[CompanyX], we look at graphic design as a virtual way of storytelling that creatively conveys your message to the viewers. It engages, inspires, and informs people. We are looking for a highly creative graphic designer who can convert the conceptual ideas into a visual format. Our ideal candidate must have expert knowledge of trending design softwares and should have the understanding of every stage of the design process from concept to the final deliverable.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Collaborating with several teams of our company, the ideal candidate must have the ability to take concepts from written and spoken ideas and convert it into highly engaging visual designs. If you think that you have the ability to bring ideas to life with impactful visuals, we would like to hear from you.</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Graphic Designer Responsibilities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Ideating concepts by studying relevant written or spoken information and materials.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Schedule the projects and defining the budget constraints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Illustrating the ideas by creating the examples of art arrangement, type size, size, and style. Thereafter submitting them for approval.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Designing finalized art by using appropriate equipment and softwares.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Communicating with colleagues, art agencies, web designers, marketing team, and clients as and when required. </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Contributing in team efforts and accomplishing the project deadline as necessary.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Communicating with the clients to present the designs and layout.</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Creating a broad range of designs and layouts for company logos, product illustrations, and websites with various softwares like Photoshop.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Test the design across various media</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Reviewing the final designs and suggesting improvements, if any.</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Graphic Designer Requirements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Bachelor’s degree in graphic designing, art, or a similar field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Proven work experience in graphic designing or similar domain </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Presentable portfolio demonstrating your graphic designing skills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Expertise in graphic designing tools like Adobe, Illustrator, InDesign Quark.</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keen eye on visual composition</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Strong time management skills and the ability to meet the project deadlines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ideal candidate should be able to give and take constructive criticism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Exceptional creativity and Innovative designing skills </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Exceptional communication and presentation skills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