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Job Description - Python Developer</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looking for a skilful Python Developer to join our team of developers and help us develop dynamic software applications for our clients. In this position, you will be responsible for developing and dissecting scalable codes, creating back-end components, and integrating user-facing components collaboratively with front-end developers.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be a successful Python Developer, you should have in-depth knowledge of object-relational mapping, experience with server-side logic, and intermediate level knowledge of Python programming language. Typically, a top-tier Python developer should be able to develop responsive web applications that meet the client requirements perfectly.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Python Developer Responsibilities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Collaborating with development teams to identify application requirements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Writing effective codes using Python programming language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Testing and debugging applications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Creating back-end components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Integrating user-facing elements using server-side logic </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Client feature requests are evaluated and prioritized.</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Bringing data storage options together.</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Working with front-end devs to coordinate.</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Recreating current databases in order to enhance the functionality. </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Creating digital tools online traffic tracking.</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Python Developer Requirements </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bachelor's degree in computer science engineering or a similar domain.</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- 3-5 years of Python development experience</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Thorough understanding of Python and related frameworks such as Django and Flask.</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thorough understanding of Python's multi-process architecture and threading constraints.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Experience with server-side templating languages such as Jinja 2 and Mako is a plus.</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ability to combine data from various sources into a single system.</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Experience with testing software.</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Ability to work collaboratively on projects while still being able to work independently when necessary.</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