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सांतत्य एवं अवकलनीयता: सूत्र-पत्र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सांतत्य</w:t>
      </w:r>
    </w:p>
    <w:p>
      <w:pPr>
        <w:spacing w:before="0" w:after="50" w:line="252" w:lineRule="auto"/>
      </w:pPr>
      <m:oMath>
        <m:r>
          <m:t>a</m:t>
        </m:r>
      </m:oMath>
      <w:r>
        <w:rPr/>
        <w:t xml:space="preserve"> पर संतत: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</w:p>
    <w:p>
      <w:pPr>
        <w:spacing w:before="0" w:after="50" w:line="252" w:lineRule="auto"/>
      </w:pPr>
      <w:r>
        <w:rPr/>
        <w:t xml:space="preserve">बाएँ संतत: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</w:p>
    <w:p>
      <w:pPr>
        <w:spacing w:before="0" w:after="50" w:line="252" w:lineRule="auto"/>
      </w:pPr>
      <w:r>
        <w:rPr/>
        <w:t xml:space="preserve">दाएँ संतत: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</w:p>
    <w:p>
      <w:pPr>
        <w:spacing w:before="0" w:after="50" w:line="252" w:lineRule="auto"/>
      </w:pP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में: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में संतत,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जाँच-बिन्दु</w:t>
      </w:r>
    </w:p>
    <w:p>
      <w:pPr>
        <w:spacing w:before="0" w:after="50" w:line="252" w:lineRule="auto"/>
      </w:pP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,</m:t>
        </m:r>
        <m:r>
          <m:rPr>
            <m:sty m:val="p"/>
          </m:rPr>
          <m:t>{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}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∈</m:t>
        </m:r>
        <m:r>
          <m:t>I</m:t>
        </m:r>
      </m:oMath>
    </w:p>
    <w:p>
      <w:pPr>
        <w:spacing w:before="0" w:after="50" w:line="252" w:lineRule="auto"/>
      </w:pPr>
      <m:oMath>
        <m:r>
          <m:rPr>
            <m:sty m:val="p"/>
          </m:rPr>
          <m:t>sgn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(अवकलनीयता):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: </w:t>
      </w:r>
      <m:oMath>
        <m:r>
          <m:t>g</m:t>
        </m:r>
      </m:oMath>
      <w:r>
        <w:rPr/>
        <w:t xml:space="preserve"> असंतत,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</m:oMath>
      <w:r>
        <w:rPr/>
        <w:t xml:space="preserve"> के असांतत्य बिन्दु</w:t>
      </w:r>
    </w:p>
    <w:p>
      <w:pPr>
        <w:spacing w:before="0" w:after="50" w:line="252" w:lineRule="auto"/>
      </w:pPr>
      <w:r>
        <w:rPr/>
        <w:t xml:space="preserve">अन्तर्निहित: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&gt;</m:t>
        </m:r>
        <m:r>
          <m:t>1</m:t>
        </m:r>
      </m:oMath>
      <w:r>
        <w:rPr/>
        <w:t xml:space="preserve"> पर </w:t>
      </w:r>
      <m:oMath>
        <m:sSup>
          <m:e>
            <m:r>
              <m:t>x</m:t>
            </m:r>
          </m:e>
          <m:sup>
            <m:r>
              <m:t>2</m:t>
            </m:r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असांतत्य</w:t>
      </w:r>
    </w:p>
    <w:p>
      <w:pPr>
        <w:spacing w:before="0" w:after="50" w:line="252" w:lineRule="auto"/>
      </w:pPr>
      <w:r>
        <w:rPr/>
        <w:t xml:space="preserve">अपनेय: </w:t>
      </w:r>
      <m:oMath>
        <m:r>
          <m:rPr>
            <m:sty m:val="p"/>
          </m:rPr>
          <m:t>lim</m:t>
        </m:r>
        <m:r>
          <m:t>f</m:t>
        </m:r>
      </m:oMath>
      <w:r>
        <w:rPr/>
        <w:t xml:space="preserve"> विद्यमान, </w:t>
      </w:r>
      <m:oMath>
        <m:r>
          <m:rPr>
            <m:sty m:val="p"/>
          </m:rPr>
          <m:t>≠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या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अपरिभाषित</w:t>
      </w:r>
    </w:p>
    <w:p>
      <w:pPr>
        <w:spacing w:before="0" w:after="50" w:line="252" w:lineRule="auto"/>
      </w:pPr>
      <w:r>
        <w:rPr/>
        <w:t xml:space="preserve">लुप्त बिन्दु: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अपरिभाषित</w:t>
      </w:r>
    </w:p>
    <w:p>
      <w:pPr>
        <w:spacing w:before="0" w:after="50" w:line="252" w:lineRule="auto"/>
      </w:pPr>
      <w:r>
        <w:rPr/>
        <w:t xml:space="preserve">विलगित बिन्दु: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rPr>
            <m:sty m:val="p"/>
          </m:rPr>
          <m:t>lim</m:t>
        </m:r>
        <m:r>
          <m:t>f</m:t>
        </m:r>
      </m:oMath>
    </w:p>
    <w:p>
      <w:pPr>
        <w:spacing w:before="0" w:after="50" w:line="252" w:lineRule="auto"/>
      </w:pPr>
      <w:r>
        <w:rPr/>
        <w:t xml:space="preserve">उछाल: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</m:e>
            </m:d>
          </m:e>
        </m:d>
      </m:oMath>
    </w:p>
    <w:p>
      <w:pPr>
        <w:spacing w:before="0" w:after="50" w:line="252" w:lineRule="auto"/>
      </w:pPr>
      <w:r>
        <w:rPr/>
        <w:t xml:space="preserve">अनन्त: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±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; दोलनी: </w:t>
      </w:r>
      <m:oMath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प्रमेय</w:t>
      </w:r>
    </w:p>
    <w:p>
      <w:pPr>
        <w:spacing w:before="0" w:after="50" w:line="252" w:lineRule="auto"/>
      </w:pPr>
      <w:r>
        <w:rPr/>
        <w:t xml:space="preserve">चरम मान प्रमेय: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पर संतत </w:t>
      </w:r>
      <m:oMath>
        <m:r>
          <m:rPr>
            <m:sty m:val="p"/>
          </m:rPr>
          <m:t>⇒</m:t>
        </m:r>
        <m:r>
          <m:t>m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≤</m:t>
        </m:r>
        <m:r>
          <m:t>M</m:t>
        </m:r>
      </m:oMath>
      <w:r>
        <w:rPr/>
        <w:t xml:space="preserve"> प्राप्त</w:t>
      </w:r>
    </w:p>
    <w:p>
      <w:pPr>
        <w:keepNext/>
        <w:spacing w:before="0" w:after="0" w:line="252" w:lineRule="auto"/>
      </w:pPr>
      <w:r>
        <w:rPr/>
        <w:t xml:space="preserve">IMVT: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&lt;</m:t>
          </m:r>
          <m:r>
            <m:t>0</m:t>
          </m:r>
          <m:r>
            <m:rPr>
              <m:sty m:val="p"/>
            </m:rPr>
            <m:t>⇒</m:t>
          </m:r>
          <m:r>
            <m:rPr>
              <m:sty m:val="p"/>
            </m:rPr>
            <m:t>∃</m:t>
          </m:r>
          <m:r>
            <m:t>c</m:t>
          </m:r>
          <m:r>
            <m:rPr>
              <m:sty m:val="p"/>
            </m:rPr>
            <m:t>∈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स्थिर बिन्दु: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x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अवकलनीयता</w:t>
      </w:r>
    </w:p>
    <w:p>
      <w:pPr>
        <w:keepNext/>
        <w:spacing w:before="0" w:after="0" w:line="252" w:lineRule="auto"/>
      </w:pPr>
      <m:oMath>
        <m:r>
          <m:rPr>
            <m:nor/>
          </m:rPr>
          <m:t>RHD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h</m:t>
              </m:r>
            </m:den>
          </m:f>
        </m:oMath>
      </m:oMathPara>
    </w:p>
    <w:p>
      <w:pPr>
        <w:keepNext/>
        <w:spacing w:before="0" w:after="0" w:line="252" w:lineRule="auto"/>
      </w:pPr>
      <m:oMath>
        <m:r>
          <m:rPr>
            <m:nor/>
          </m:rPr>
          <m:t>LHD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rPr>
                  <m:sty m:val="p"/>
                </m:rPr>
                <m:t>−</m:t>
              </m:r>
              <m:r>
                <m:t>h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अन्य रूप: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a</m:t>
              </m:r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q</m:t>
                  </m:r>
                  <m:r>
                    <m:t>h</m:t>
                  </m:r>
                </m:e>
              </m:d>
            </m:num>
            <m:den>
              <m:r>
                <m:t>h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−</m:t>
              </m:r>
              <m:r>
                <m:t>q</m:t>
              </m:r>
            </m:e>
          </m:d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अवकलनीय: </w:t>
      </w:r>
      <m:oMath>
        <m:r>
          <m:rPr>
            <m:nor/>
          </m:rPr>
          <m:t>LHD</m:t>
        </m:r>
        <m:r>
          <m:rPr>
            <m:sty m:val="p"/>
          </m:rPr>
          <m:t>=</m:t>
        </m:r>
        <m:r>
          <m:rPr>
            <m:nor/>
          </m:rPr>
          <m:t>RHD</m:t>
        </m:r>
        <m:r>
          <m:rPr>
            <m:sty m:val="p"/>
          </m:rPr>
          <m:t>=</m:t>
        </m:r>
      </m:oMath>
      <w:r>
        <w:rPr/>
        <w:t xml:space="preserve"> परिमित</w:t>
      </w:r>
    </w:p>
    <w:p>
      <w:pPr>
        <w:spacing w:before="0" w:after="50" w:line="252" w:lineRule="auto"/>
      </w:pPr>
      <w:r>
        <w:rPr/>
        <w:t xml:space="preserve">त्वरित अवधारणा: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±</m:t>
                </m:r>
              </m:sup>
            </m:sSup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±</m:t>
                </m:r>
              </m:sup>
            </m:sSup>
          </m:sub>
        </m:sSub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m:oMath>
        <m:r>
          <m:rPr>
            <m:nor/>
          </m:rPr>
          <m:t>LHD</m:t>
        </m:r>
      </m:oMath>
      <w:r>
        <w:rPr>
          <w:b/>
          <w:color w:val="1F3864"/>
          <w:sz w:val="22"/>
        </w:rPr>
        <w:t xml:space="preserve">, </w:t>
      </w:r>
      <m:oMath>
        <m:r>
          <m:rPr>
            <m:nor/>
          </m:rPr>
          <m:t>RHD</m:t>
        </m:r>
      </m:oMath>
      <w:r>
        <w:rPr>
          <w:b/>
          <w:color w:val="1F3864"/>
          <w:sz w:val="22"/>
        </w:rPr>
        <w:t xml:space="preserve"> व सांतत्य</w:t>
      </w:r>
    </w:p>
    <w:p>
      <w:pPr>
        <w:spacing w:before="0" w:after="50" w:line="252" w:lineRule="auto"/>
      </w:pPr>
      <w:r>
        <w:rPr/>
        <w:t xml:space="preserve">बराबर, परिमित: अवकलनीय</w:t>
      </w:r>
    </w:p>
    <w:p>
      <w:pPr>
        <w:spacing w:before="0" w:after="50" w:line="252" w:lineRule="auto"/>
      </w:pPr>
      <w:r>
        <w:rPr/>
        <w:t xml:space="preserve">परिमित, असमान: संतत, नुकीला कोना</w:t>
      </w:r>
    </w:p>
    <w:p>
      <w:pPr>
        <w:spacing w:before="0" w:after="50" w:line="252" w:lineRule="auto"/>
      </w:pPr>
      <w:r>
        <w:rPr/>
        <w:t xml:space="preserve">एक अनन्त: अवकलनीय नहीं, सांतत्य जाँचें</w:t>
      </w:r>
    </w:p>
    <w:p>
      <w:pPr>
        <w:spacing w:before="0" w:after="50" w:line="252" w:lineRule="auto"/>
      </w:pPr>
      <w:r>
        <w:rPr/>
        <w:t xml:space="preserve">अवकलनीय </w:t>
      </w:r>
      <m:oMath>
        <m:r>
          <m:rPr>
            <m:sty m:val="p"/>
          </m:rPr>
          <m:t>⇒</m:t>
        </m:r>
      </m:oMath>
      <w:r>
        <w:rPr/>
        <w:t xml:space="preserve"> संतत</w:t>
      </w: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मानक परिणाम</w:t>
      </w:r>
    </w:p>
    <w:p>
      <w:pPr>
        <w:spacing w:before="0" w:after="50" w:line="252" w:lineRule="auto"/>
      </w:pPr>
      <m:oMath>
        <m:sSup>
          <m:e>
            <m:r>
              <m:t>x</m:t>
            </m:r>
          </m:e>
          <m:sup>
            <m:r>
              <m:t>p</m:t>
            </m:r>
          </m:sup>
        </m:sSup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: संतत </w:t>
      </w:r>
      <m:oMath>
        <m:r>
          <m:t>p</m:t>
        </m:r>
        <m:r>
          <m:rPr>
            <m:sty m:val="p"/>
          </m:rPr>
          <m:t>&gt;</m:t>
        </m:r>
        <m:r>
          <m:t>0</m:t>
        </m:r>
      </m:oMath>
      <w:r>
        <w:rPr/>
        <w:t xml:space="preserve">, अवकलनीय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संतत </w:t>
      </w:r>
      <m:oMath>
        <m:r>
          <m:t>p</m:t>
        </m:r>
        <m:r>
          <m:rPr>
            <m:sty m:val="p"/>
          </m:rPr>
          <m:t>&gt;</m:t>
        </m:r>
        <m:r>
          <m:t>2</m:t>
        </m:r>
      </m:oMath>
    </w:p>
    <w:p>
      <w:pPr>
        <w:spacing w:before="0" w:after="50" w:line="252" w:lineRule="auto"/>
      </w:pPr>
      <m:oMath>
        <m:r>
          <m:t>g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: अवकलनीय </w:t>
      </w:r>
      <m:oMath>
        <m:r>
          <m:rPr>
            <m:sty m:val="p"/>
          </m:rPr>
          <m:t>⇔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m:oMath>
        <m:r>
          <m:t>Q</m:t>
        </m:r>
        <m:r>
          <m:rPr>
            <m:sty m:val="p"/>
          </m:rPr>
          <m:t>/</m:t>
        </m:r>
        <m:r>
          <m:t>Q</m:t>
        </m:r>
        <m:r>
          <m:rPr>
            <m:sty m:val="p"/>
          </m:rPr>
          <m:t>′</m:t>
        </m:r>
      </m:oMath>
      <w:r>
        <w:rPr/>
        <w:t xml:space="preserve">: संतत जहाँ </w:t>
      </w:r>
      <m:oMath>
        <m:r>
          <m:t>g</m:t>
        </m:r>
        <m:r>
          <m:rPr>
            <m:sty m:val="p"/>
          </m:rPr>
          <m:t>=</m:t>
        </m:r>
        <m:r>
          <m:t>h</m:t>
        </m:r>
      </m:oMath>
      <w:r>
        <w:rPr/>
        <w:t xml:space="preserve">; अवकलनीय जहाँ </w:t>
      </w:r>
      <m:oMath>
        <m:r>
          <m:t>g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′</m:t>
        </m:r>
      </m:oMath>
      <w:r>
        <w:rPr/>
        <w:t xml:space="preserve"> भी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r>
          <m:t>0</m:t>
        </m:r>
      </m:oMath>
      <w:r>
        <w:rPr/>
        <w:t xml:space="preserve"> पर कोना; </w:t>
      </w:r>
      <m:oMath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: ऊर्ध्वाधर स्पर्शरेखा</w:t>
      </w:r>
    </w:p>
    <w:p>
      <w:pPr>
        <w:spacing w:before="0" w:after="50" w:line="252" w:lineRule="auto"/>
      </w:pPr>
      <m:oMath>
        <m:r>
          <m:rPr>
            <m:sty m:val="p"/>
          </m:rPr>
          <m:t>∑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rPr/>
        <w:t xml:space="preserve">: प्रत्येक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rPr/>
        <w:t xml:space="preserve"> पर अनवकलनीय</w:t>
      </w: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फलनिक समीकरण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: </w:t>
      </w:r>
      <m:oMath>
        <m:r>
          <m:t>f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x</m:t>
        </m:r>
      </m:oMath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: </w:t>
      </w:r>
      <m:oMath>
        <m:r>
          <m:t>f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f</m:t>
            </m:r>
            <m:r>
              <m:rPr>
                <m:sty m:val="p"/>
              </m:rPr>
              <m:t>′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</m:e>
            </m:d>
            <m:r>
              <m:t>x</m:t>
            </m:r>
          </m:sup>
        </m:sSup>
      </m:oMath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: </w:t>
      </w:r>
      <m:oMath>
        <m:r>
          <m:t>f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ln</m:t>
        </m:r>
        <m:r>
          <m:t>x</m:t>
        </m:r>
      </m:oMath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: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f</m:t>
            </m:r>
            <m:r>
              <m:rPr>
                <m:sty m:val="p"/>
              </m:rPr>
              <m:t>′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</m:sup>
        </m:sSup>
      </m:oMath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+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4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