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d8d48e12975e0035d4cb2020f6df216b1d83ff"/>
    <w:p>
      <w:pPr>
        <w:pStyle w:val="Heading1"/>
      </w:pPr>
      <w:r>
        <w:t xml:space="preserve">Aadit Technologies — Next Implementation Pack</w:t>
      </w:r>
    </w:p>
    <w:p>
      <w:pPr>
        <w:pStyle w:val="FirstParagraph"/>
      </w:pPr>
      <w:r>
        <w:rPr>
          <w:bCs/>
          <w:b/>
        </w:rPr>
        <w:t xml:space="preserve">Prepared by Digipuush · October 2026</w:t>
      </w:r>
    </w:p>
    <w:p>
      <w:pPr>
        <w:pStyle w:val="BodyText"/>
      </w:pPr>
      <w:r>
        <w:t xml:space="preserve">Verified against the live site on 6 October 2026. The previous on-page and technical fix list has been implemented almost in full — hub pages now run 1,247–1,527 words, all eight glossary pages are between 811 and 869 words, the 13 titles and 4 descriptions are corrected, the SOC redirects are live, attachment URLs return 410, the author page exists and the sitemap is clean at 79 URLs.</w:t>
      </w:r>
    </w:p>
    <w:p>
      <w:pPr>
        <w:pStyle w:val="BodyText"/>
      </w:pPr>
      <w:r>
        <w:t xml:space="preserve">Four items from that list did not land, and one section was not started. Both are covered below, with everything ready to paste.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What it covers</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Four leftovers from the last pack</w:t>
            </w:r>
          </w:p>
        </w:tc>
        <w:tc>
          <w:tcPr/>
          <w:p>
            <w:pPr>
              <w:pStyle w:val="Compact"/>
              <w:jc w:val="left"/>
            </w:pPr>
            <w:r>
              <w:t xml:space="preserve">Developer</w:t>
            </w:r>
          </w:p>
        </w:tc>
      </w:tr>
      <w:tr>
        <w:tc>
          <w:tcPr/>
          <w:p>
            <w:pPr>
              <w:pStyle w:val="Compact"/>
              <w:jc w:val="left"/>
            </w:pPr>
            <w:r>
              <w:t xml:space="preserve">2</w:t>
            </w:r>
          </w:p>
        </w:tc>
        <w:tc>
          <w:tcPr/>
          <w:p>
            <w:pPr>
              <w:pStyle w:val="Compact"/>
              <w:jc w:val="left"/>
            </w:pPr>
            <w:r>
              <w:t xml:space="preserve">FAQ blocks for 16 blog posts — full copy</w:t>
            </w:r>
          </w:p>
        </w:tc>
        <w:tc>
          <w:tcPr/>
          <w:p>
            <w:pPr>
              <w:pStyle w:val="Compact"/>
              <w:jc w:val="left"/>
            </w:pPr>
            <w:r>
              <w:t xml:space="preserve">CMS / Content</w:t>
            </w:r>
          </w:p>
        </w:tc>
      </w:tr>
      <w:tr>
        <w:tc>
          <w:tcPr/>
          <w:p>
            <w:pPr>
              <w:pStyle w:val="Compact"/>
              <w:jc w:val="left"/>
            </w:pPr>
            <w:r>
              <w:t xml:space="preserve">3</w:t>
            </w:r>
          </w:p>
        </w:tc>
        <w:tc>
          <w:tcPr/>
          <w:p>
            <w:pPr>
              <w:pStyle w:val="Compact"/>
              <w:jc w:val="left"/>
            </w:pPr>
            <w:r>
              <w:t xml:space="preserve">Two new pages — full copy</w:t>
            </w:r>
          </w:p>
        </w:tc>
        <w:tc>
          <w:tcPr/>
          <w:p>
            <w:pPr>
              <w:pStyle w:val="Compact"/>
              <w:jc w:val="left"/>
            </w:pPr>
            <w:r>
              <w:t xml:space="preserve">CMS / Content</w:t>
            </w:r>
          </w:p>
        </w:tc>
      </w:tr>
    </w:tbl>
    <w:p>
      <w:r>
        <w:pict>
          <v:rect style="width:0;height:1.5pt" o:hralign="center" o:hrstd="t" o:hr="t"/>
        </w:pict>
      </w:r>
    </w:p>
    <w:bookmarkEnd w:id="20"/>
    <w:bookmarkStart w:id="28" w:name="part-1-the-four-leftovers"/>
    <w:p>
      <w:pPr>
        <w:pStyle w:val="Heading1"/>
      </w:pPr>
      <w:r>
        <w:t xml:space="preserve">PART 1 — THE FOUR LEFTOVERS</w:t>
      </w:r>
    </w:p>
    <w:bookmarkStart w:id="21" w:name="httpwww.aadit.net-still-takes-two-hops"/>
    <w:p>
      <w:pPr>
        <w:pStyle w:val="Heading2"/>
      </w:pPr>
      <w:r>
        <w:t xml:space="preserve">1.1</w:t>
      </w:r>
      <w:r>
        <w:t xml:space="preserve"> </w:t>
      </w:r>
      <w:r>
        <w:rPr>
          <w:rStyle w:val="VerbatimChar"/>
        </w:rPr>
        <w:t xml:space="preserve">http://www.aadit.net</w:t>
      </w:r>
      <w:r>
        <w:t xml:space="preserve"> </w:t>
      </w:r>
      <w:r>
        <w:t xml:space="preserve">still takes two hops</w:t>
      </w:r>
    </w:p>
    <w:p>
      <w:pPr>
        <w:pStyle w:val="FirstParagraph"/>
      </w:pPr>
      <w:r>
        <w:t xml:space="preserve">Still unfixed. Current behaviour:</w:t>
      </w:r>
    </w:p>
    <w:p>
      <w:pPr>
        <w:pStyle w:val="SourceCode"/>
      </w:pPr>
      <w:r>
        <w:rPr>
          <w:rStyle w:val="VerbatimChar"/>
        </w:rPr>
        <w:t xml:space="preserve">http://www.aadit.net/  →  https://www.aadit.net/  →  https://aadit.net/</w:t>
      </w:r>
    </w:p>
    <w:p>
      <w:pPr>
        <w:pStyle w:val="FirstParagraph"/>
      </w:pPr>
      <w:r>
        <w:t xml:space="preserve">It needs to reach</w:t>
      </w:r>
      <w:r>
        <w:t xml:space="preserve"> </w:t>
      </w:r>
      <w:r>
        <w:rPr>
          <w:rStyle w:val="VerbatimChar"/>
        </w:rPr>
        <w:t xml:space="preserve">https://aadit.net/</w:t>
      </w:r>
      <w:r>
        <w:t xml:space="preserve"> </w:t>
      </w:r>
      <w:r>
        <w:t xml:space="preserve">in one hop. The reason this is still chaining is almost certainly rule order: the HTTPS-upgrade rule is being evaluated before the host-canonicalisation rule, so the request is upgraded first and then rewritten. Move the combined host-and-protocol rule above the HTTPS-upgrade rule, or match on both conditions in a single rule.</w:t>
      </w:r>
    </w:p>
    <w:p>
      <w:pPr>
        <w:pStyle w:val="BodyText"/>
      </w:pPr>
      <w:r>
        <w:t xml:space="preserve">Verify with:</w:t>
      </w:r>
    </w:p>
    <w:p>
      <w:pPr>
        <w:pStyle w:val="SourceCode"/>
      </w:pPr>
      <w:r>
        <w:rPr>
          <w:rStyle w:val="VerbatimChar"/>
        </w:rPr>
        <w:t xml:space="preserve">curl -sIL -o /dev/null -w "%{num_redirects} -&gt; %{url_effective}\n" http://www.aadit.net/</w:t>
      </w:r>
    </w:p>
    <w:p>
      <w:pPr>
        <w:pStyle w:val="FirstParagraph"/>
      </w:pPr>
      <w:r>
        <w:t xml:space="preserve">It must print</w:t>
      </w:r>
      <w:r>
        <w:t xml:space="preserve"> </w:t>
      </w:r>
      <w:r>
        <w:rPr>
          <w:rStyle w:val="VerbatimChar"/>
        </w:rPr>
        <w:t xml:space="preserve">1 -&gt; https://aadit.net/</w:t>
      </w:r>
      <w:r>
        <w:t xml:space="preserve">. It currently prints</w:t>
      </w:r>
      <w:r>
        <w:t xml:space="preserve"> </w:t>
      </w:r>
      <w:r>
        <w:rPr>
          <w:rStyle w:val="VerbatimChar"/>
        </w:rPr>
        <w:t xml:space="preserve">2</w:t>
      </w:r>
      <w:r>
        <w:t xml:space="preserve">.</w:t>
      </w:r>
    </w:p>
    <w:bookmarkEnd w:id="21"/>
    <w:bookmarkStart w:id="22" w:name="faqpage-schema-still-missing-on-one-post"/>
    <w:p>
      <w:pPr>
        <w:pStyle w:val="Heading2"/>
      </w:pPr>
      <w:r>
        <w:t xml:space="preserve">1.2 FAQPage schema still missing on one post</w:t>
      </w:r>
    </w:p>
    <w:p>
      <w:pPr>
        <w:pStyle w:val="FirstParagraph"/>
      </w:pPr>
      <w:r>
        <w:rPr>
          <w:rStyle w:val="VerbatimChar"/>
        </w:rPr>
        <w:t xml:space="preserve">/blog/vulnerability-scanning-tools-fix-security-gaps-before-hackers-do</w:t>
      </w:r>
      <w:r>
        <w:t xml:space="preserve"> </w:t>
      </w:r>
      <w:r>
        <w:t xml:space="preserve">still has no</w:t>
      </w:r>
      <w:r>
        <w:t xml:space="preserve"> </w:t>
      </w:r>
      <w:r>
        <w:rPr>
          <w:rStyle w:val="VerbatimChar"/>
        </w:rPr>
        <w:t xml:space="preserve">FAQPage</w:t>
      </w:r>
      <w:r>
        <w:t xml:space="preserve"> </w:t>
      </w:r>
      <w:r>
        <w:t xml:space="preserve">block. In the previous pack this was flagged as a page with a visible FAQ section but no schema. It now has neither — Part 2 of this document supplies the FAQ copy for it, and once that block is in the CMS the schema should generate the way it does everywhere else. If it does not, the bug is in this post’s template or content model and needs checking directly.</w:t>
      </w:r>
    </w:p>
    <w:bookmarkEnd w:id="22"/>
    <w:bookmarkStart w:id="23" w:name="two-profiles-are-missing-from-sameas"/>
    <w:p>
      <w:pPr>
        <w:pStyle w:val="Heading2"/>
      </w:pPr>
      <w:r>
        <w:t xml:space="preserve">1.3 Two profiles are missing from</w:t>
      </w:r>
      <w:r>
        <w:t xml:space="preserve"> </w:t>
      </w:r>
      <w:r>
        <w:rPr>
          <w:rStyle w:val="VerbatimChar"/>
        </w:rPr>
        <w:t xml:space="preserve">sameAs</w:t>
      </w:r>
    </w:p>
    <w:p>
      <w:pPr>
        <w:pStyle w:val="FirstParagraph"/>
      </w:pPr>
      <w:r>
        <w:t xml:space="preserve">The</w:t>
      </w:r>
      <w:r>
        <w:t xml:space="preserve"> </w:t>
      </w:r>
      <w:r>
        <w:rPr>
          <w:rStyle w:val="VerbatimChar"/>
        </w:rPr>
        <w:t xml:space="preserve">sameAs</w:t>
      </w:r>
      <w:r>
        <w:t xml:space="preserve"> </w:t>
      </w:r>
      <w:r>
        <w:t xml:space="preserve">array now reads:</w:t>
      </w:r>
    </w:p>
    <w:p>
      <w:pPr>
        <w:pStyle w:val="SourceCode"/>
      </w:pPr>
      <w:r>
        <w:rPr>
          <w:rStyle w:val="VerbatimChar"/>
        </w:rPr>
        <w:t xml:space="preserve">LinkedIn · Crunchbase · DesignRush · Sortlist · G2</w:t>
      </w:r>
    </w:p>
    <w:p>
      <w:pPr>
        <w:pStyle w:val="FirstParagraph"/>
      </w:pPr>
      <w:r>
        <w:t xml:space="preserve">Two are missing, and they are the two that matter most for local and AI visibility, because they are the listings that carry the address and the reviews.</w:t>
      </w:r>
    </w:p>
    <w:p>
      <w:pPr>
        <w:pStyle w:val="BodyText"/>
      </w:pPr>
      <w:r>
        <w:rPr>
          <w:bCs/>
          <w:b/>
        </w:rPr>
        <w:t xml:space="preserve">Add these to the existing array:</w:t>
      </w:r>
    </w:p>
    <w:p>
      <w:pPr>
        <w:pStyle w:val="SourceCode"/>
      </w:pPr>
      <w:r>
        <w:rPr>
          <w:rStyle w:val="ErrorTok"/>
        </w:rPr>
        <w:t xml:space="preserve">"https://www.google.com/maps/place/?q=place_id:PLACE_ID_FROM_GBP",</w:t>
      </w:r>
      <w:r>
        <w:br/>
      </w:r>
      <w:r>
        <w:rPr>
          <w:rStyle w:val="ErrorTok"/>
        </w:rPr>
        <w:t xml:space="preserve">"https://www.bing.com/maps?cp=BING_LISTING_ID"</w:t>
      </w:r>
    </w:p>
    <w:p>
      <w:pPr>
        <w:pStyle w:val="FirstParagraph"/>
      </w:pPr>
      <w:r>
        <w:t xml:space="preserve">Get the Google place ID from Google’s Place ID Finder or the Share link on the Maps listing. Add the Bing entry once the Bing Places listing is verified — leave it out until then rather than pointing at a listing that is not live.</w:t>
      </w:r>
    </w:p>
    <w:p>
      <w:pPr>
        <w:pStyle w:val="BodyText"/>
      </w:pPr>
      <w:r>
        <w:rPr>
          <w:bCs/>
          <w:b/>
        </w:rPr>
        <w:t xml:space="preserve">On</w:t>
      </w:r>
      <w:r>
        <w:rPr>
          <w:bCs/>
          <w:b/>
        </w:rPr>
        <w:t xml:space="preserve"> </w:t>
      </w:r>
      <w:r>
        <w:rPr>
          <w:rStyle w:val="VerbatimChar"/>
          <w:bCs/>
          <w:b/>
        </w:rPr>
        <w:t xml:space="preserve">aggregateRating</w:t>
      </w:r>
      <w:r>
        <w:rPr>
          <w:bCs/>
          <w:b/>
        </w:rPr>
        <w:t xml:space="preserve">:</w:t>
      </w:r>
      <w:r>
        <w:t xml:space="preserve"> </w:t>
      </w:r>
      <w:r>
        <w:t xml:space="preserve">it was not added, which is a defensible decision if the review count cannot be kept in sync automatically. Leave it out unless that sync exists. A stale rating is worse than no rating.</w:t>
      </w:r>
    </w:p>
    <w:bookmarkEnd w:id="23"/>
    <w:bookmarkStart w:id="24" w:name="the-author-page-is-thin"/>
    <w:p>
      <w:pPr>
        <w:pStyle w:val="Heading2"/>
      </w:pPr>
      <w:r>
        <w:t xml:space="preserve">1.4 The author page is thin</w:t>
      </w:r>
    </w:p>
    <w:p>
      <w:pPr>
        <w:pStyle w:val="FirstParagraph"/>
      </w:pPr>
      <w:r>
        <w:rPr>
          <w:rStyle w:val="VerbatimChar"/>
        </w:rPr>
        <w:t xml:space="preserve">/authors/suman-kv</w:t>
      </w:r>
      <w:r>
        <w:t xml:space="preserve"> </w:t>
      </w:r>
      <w:r>
        <w:t xml:space="preserve">is live with correct</w:t>
      </w:r>
      <w:r>
        <w:t xml:space="preserve"> </w:t>
      </w:r>
      <w:r>
        <w:rPr>
          <w:rStyle w:val="VerbatimChar"/>
        </w:rPr>
        <w:t xml:space="preserve">Person</w:t>
      </w:r>
      <w:r>
        <w:t xml:space="preserve"> </w:t>
      </w:r>
      <w:r>
        <w:t xml:space="preserve">and</w:t>
      </w:r>
      <w:r>
        <w:t xml:space="preserve"> </w:t>
      </w:r>
      <w:r>
        <w:rPr>
          <w:rStyle w:val="VerbatimChar"/>
        </w:rPr>
        <w:t xml:space="preserve">ProfilePage</w:t>
      </w:r>
      <w:r>
        <w:t xml:space="preserve"> </w:t>
      </w:r>
      <w:r>
        <w:t xml:space="preserve">schema, but carries 95 words. An author page with no substance does not do the E-E-A-T job it exists for.</w:t>
      </w:r>
    </w:p>
    <w:p>
      <w:pPr>
        <w:pStyle w:val="BodyText"/>
      </w:pPr>
      <w:r>
        <w:rPr>
          <w:bCs/>
          <w:b/>
        </w:rPr>
        <w:t xml:space="preserve">Paste this as the body:</w:t>
      </w:r>
    </w:p>
    <w:p>
      <w:pPr>
        <w:pStyle w:val="BodyText"/>
      </w:pPr>
      <w:r>
        <w:rPr>
          <w:bCs/>
          <w:b/>
        </w:rPr>
        <w:t xml:space="preserve">▼ COPY — paste everything between these markers</w:t>
      </w:r>
    </w:p>
    <w:bookmarkEnd w:id="24"/>
    <w:bookmarkStart w:id="27" w:name="suman-kv"/>
    <w:p>
      <w:pPr>
        <w:pStyle w:val="Heading2"/>
      </w:pPr>
      <w:r>
        <w:t xml:space="preserve">Suman KV</w:t>
      </w:r>
    </w:p>
    <w:p>
      <w:pPr>
        <w:pStyle w:val="FirstParagraph"/>
      </w:pPr>
      <w:r>
        <w:rPr>
          <w:bCs/>
          <w:b/>
        </w:rPr>
        <w:t xml:space="preserve">Sales &amp; Marketing, Aadit Technologies</w:t>
      </w:r>
    </w:p>
    <w:p>
      <w:pPr>
        <w:pStyle w:val="BodyText"/>
      </w:pPr>
      <w:r>
        <w:t xml:space="preserve">Suman KV works with companies going through cybersecurity and compliance programmes at Aadit Technologies, a cybersecurity, compliance and managed IT services company operating since 2017.</w:t>
      </w:r>
    </w:p>
    <w:p>
      <w:pPr>
        <w:pStyle w:val="BodyText"/>
      </w:pPr>
      <w:r>
        <w:t xml:space="preserve">His work spans the three questions buyers ask before they sign: whether a security programme will survive contact with an enterprise vendor review, what certification actually costs in time and internal effort, and which framework a given buyer will accept. That covers VAPT and penetration testing engagements, 24/7 managed SOC operations, and certification programmes across ISO 27001, SOC 2, PCI DSS, HIPAA, GDPR and India’s Digital Personal Data Protection Act.</w:t>
      </w:r>
    </w:p>
    <w:p>
      <w:pPr>
        <w:pStyle w:val="BodyText"/>
      </w:pPr>
      <w:r>
        <w:t xml:space="preserve">He writes about what happens after the certificate is issued — where security programmes decay once the auditor leaves, why controls with no named owner stop running, and how Indian businesses should prepare for DPDP enforcement rather than wait for it.</w:t>
      </w:r>
    </w:p>
    <w:p>
      <w:pPr>
        <w:pStyle w:val="BodyText"/>
      </w:pPr>
      <w:r>
        <w:t xml:space="preserve">Based in Bengaluru, India.</w:t>
      </w:r>
    </w:p>
    <w:bookmarkStart w:id="25" w:name="areas-of-focus"/>
    <w:p>
      <w:pPr>
        <w:pStyle w:val="Heading3"/>
      </w:pPr>
      <w:r>
        <w:t xml:space="preserve">Areas of focus</w:t>
      </w:r>
    </w:p>
    <w:p>
      <w:pPr>
        <w:numPr>
          <w:ilvl w:val="0"/>
          <w:numId w:val="1001"/>
        </w:numPr>
        <w:pStyle w:val="Compact"/>
      </w:pPr>
      <w:r>
        <w:t xml:space="preserve">Vulnerability assessment and penetration testing</w:t>
      </w:r>
    </w:p>
    <w:p>
      <w:pPr>
        <w:numPr>
          <w:ilvl w:val="0"/>
          <w:numId w:val="1001"/>
        </w:numPr>
        <w:pStyle w:val="Compact"/>
      </w:pPr>
      <w:r>
        <w:t xml:space="preserve">Security operations and managed SOC</w:t>
      </w:r>
    </w:p>
    <w:p>
      <w:pPr>
        <w:numPr>
          <w:ilvl w:val="0"/>
          <w:numId w:val="1001"/>
        </w:numPr>
        <w:pStyle w:val="Compact"/>
      </w:pPr>
      <w:r>
        <w:t xml:space="preserve">ISO 27001 and SOC 2 certification programmes</w:t>
      </w:r>
    </w:p>
    <w:p>
      <w:pPr>
        <w:numPr>
          <w:ilvl w:val="0"/>
          <w:numId w:val="1001"/>
        </w:numPr>
        <w:pStyle w:val="Compact"/>
      </w:pPr>
      <w:r>
        <w:t xml:space="preserve">GDPR and India’s DPDP Act</w:t>
      </w:r>
    </w:p>
    <w:p>
      <w:pPr>
        <w:numPr>
          <w:ilvl w:val="0"/>
          <w:numId w:val="1001"/>
        </w:numPr>
        <w:pStyle w:val="Compact"/>
      </w:pPr>
      <w:r>
        <w:t xml:space="preserve">Managed IT services and cloud operations</w:t>
      </w:r>
    </w:p>
    <w:bookmarkEnd w:id="25"/>
    <w:bookmarkStart w:id="26" w:name="published-articles"/>
    <w:p>
      <w:pPr>
        <w:pStyle w:val="Heading3"/>
      </w:pPr>
      <w:r>
        <w:t xml:space="preserve">Published articles</w:t>
      </w:r>
    </w:p>
    <w:p>
      <w:pPr>
        <w:pStyle w:val="FirstParagraph"/>
      </w:pPr>
      <w:r>
        <w:rPr>
          <w:iCs/>
          <w:i/>
        </w:rPr>
        <w:t xml:space="preserve">(list the articles here, newest first)</w:t>
      </w:r>
    </w:p>
    <w:p>
      <w:pPr>
        <w:pStyle w:val="BodyText"/>
      </w:pPr>
      <w:r>
        <w:rPr>
          <w:bCs/>
          <w:b/>
        </w:rPr>
        <w:t xml:space="preserve">▲ END OF COPY</w:t>
      </w:r>
    </w:p>
    <w:p>
      <w:pPr>
        <w:pStyle w:val="BodyText"/>
      </w:pPr>
      <w:r>
        <w:t xml:space="preserve">Add a professional headshot and a LinkedIn link, and make sure</w:t>
      </w:r>
      <w:r>
        <w:t xml:space="preserve"> </w:t>
      </w:r>
      <w:r>
        <w:rPr>
          <w:rStyle w:val="VerbatimChar"/>
        </w:rPr>
        <w:t xml:space="preserve">sameAs</w:t>
      </w:r>
      <w:r>
        <w:t xml:space="preserve"> </w:t>
      </w:r>
      <w:r>
        <w:t xml:space="preserve">on the</w:t>
      </w:r>
      <w:r>
        <w:t xml:space="preserve"> </w:t>
      </w:r>
      <w:r>
        <w:rPr>
          <w:rStyle w:val="VerbatimChar"/>
        </w:rPr>
        <w:t xml:space="preserve">Person</w:t>
      </w:r>
      <w:r>
        <w:t xml:space="preserve"> </w:t>
      </w:r>
      <w:r>
        <w:t xml:space="preserve">block points at the real LinkedIn profile URL rather than a placeholder.</w:t>
      </w:r>
    </w:p>
    <w:p>
      <w:r>
        <w:pict>
          <v:rect style="width:0;height:1.5pt" o:hralign="center" o:hrstd="t" o:hr="t"/>
        </w:pict>
      </w:r>
    </w:p>
    <w:bookmarkEnd w:id="26"/>
    <w:bookmarkEnd w:id="27"/>
    <w:bookmarkEnd w:id="28"/>
    <w:bookmarkStart w:id="46" w:name="part-2-faq-blocks-for-16-blog-posts"/>
    <w:p>
      <w:pPr>
        <w:pStyle w:val="Heading1"/>
      </w:pPr>
      <w:r>
        <w:t xml:space="preserve">PART 2 — FAQ BLOCKS FOR 16 BLOG POSTS</w:t>
      </w:r>
    </w:p>
    <w:p>
      <w:pPr>
        <w:pStyle w:val="FirstParagraph"/>
      </w:pPr>
      <w:r>
        <w:t xml:space="preserve">None of the blog posts have an FAQ section. Every service and glossary page does, which is why those pages are eligible for rich results and easy for an AI engine to quote, and these are not.</w:t>
      </w:r>
    </w:p>
    <w:p>
      <w:pPr>
        <w:pStyle w:val="BodyText"/>
      </w:pPr>
      <w:r>
        <w:rPr>
          <w:bCs/>
          <w:b/>
        </w:rPr>
        <w:t xml:space="preserve">How to use this part.</w:t>
      </w:r>
      <w:r>
        <w:t xml:space="preserve"> </w:t>
      </w:r>
      <w:r>
        <w:t xml:space="preserve">For each post below, add an H2 reading</w:t>
      </w:r>
      <w:r>
        <w:t xml:space="preserve"> </w:t>
      </w:r>
      <w:r>
        <w:rPr>
          <w:bCs/>
          <w:b/>
        </w:rPr>
        <w:t xml:space="preserve">Frequently asked questions</w:t>
      </w:r>
      <w:r>
        <w:t xml:space="preserve"> </w:t>
      </w:r>
      <w:r>
        <w:t xml:space="preserve">at the end of the article, then the questions as H3 and the answers as paragraphs. The</w:t>
      </w:r>
      <w:r>
        <w:t xml:space="preserve"> </w:t>
      </w:r>
      <w:r>
        <w:rPr>
          <w:rStyle w:val="VerbatimChar"/>
        </w:rPr>
        <w:t xml:space="preserve">FAQPage</w:t>
      </w:r>
      <w:r>
        <w:t xml:space="preserve"> </w:t>
      </w:r>
      <w:r>
        <w:t xml:space="preserve">schema generates automatically from that structure, as it does on every service page.</w:t>
      </w:r>
    </w:p>
    <w:p>
      <w:pPr>
        <w:pStyle w:val="BodyText"/>
      </w:pPr>
      <w:r>
        <w:t xml:space="preserve">Answers are written answer-first, 40–60 words, which is the format both featured snippets and AI engines pull from. Do not pad them.</w:t>
      </w:r>
    </w:p>
    <w:p>
      <w:r>
        <w:pict>
          <v:rect style="width:0;height:1.5pt" o:hralign="center" o:hrstd="t" o:hr="t"/>
        </w:pict>
      </w:r>
    </w:p>
    <w:bookmarkStart w:id="29" w:name="Xede6105020fa306ee68fa4e27e9c23919b98dbe"/>
    <w:p>
      <w:pPr>
        <w:pStyle w:val="Heading2"/>
      </w:pPr>
      <w:r>
        <w:t xml:space="preserve">/blog/cloud-cost-optimization-indian-businesses</w:t>
      </w:r>
    </w:p>
    <w:p>
      <w:pPr>
        <w:pStyle w:val="FirstParagraph"/>
      </w:pPr>
      <w:r>
        <w:rPr>
          <w:bCs/>
          <w:b/>
        </w:rPr>
        <w:t xml:space="preserve">What is cloud cost optimization?</w:t>
      </w:r>
      <w:r>
        <w:t xml:space="preserve"> </w:t>
      </w:r>
      <w:r>
        <w:t xml:space="preserve">Cloud cost optimization is the practice of reducing cloud spend without reducing capability — by right-sizing instances, removing idle resources, choosing the correct pricing model, and making teams accountable for what they provision. It is continuous work, not a one-off cleanup, because spend grows back as soon as attention moves elsewhere.</w:t>
      </w:r>
    </w:p>
    <w:p>
      <w:pPr>
        <w:pStyle w:val="BodyText"/>
      </w:pPr>
      <w:r>
        <w:rPr>
          <w:bCs/>
          <w:b/>
        </w:rPr>
        <w:t xml:space="preserve">Why do cloud bills grow faster than expected?</w:t>
      </w:r>
      <w:r>
        <w:t xml:space="preserve"> </w:t>
      </w:r>
      <w:r>
        <w:t xml:space="preserve">Because provisioning is easy and de-provisioning is nobody’s job. Test environments stay running, storage snapshots accumulate, instances are sized for peak load that never arrives, and data transfer charges appear in places nobody modelled. None of it is visible until someone attributes cost back to the team that created it.</w:t>
      </w:r>
    </w:p>
    <w:p>
      <w:pPr>
        <w:pStyle w:val="BodyText"/>
      </w:pPr>
      <w:r>
        <w:rPr>
          <w:bCs/>
          <w:b/>
        </w:rPr>
        <w:t xml:space="preserve">What is the fastest way to reduce cloud costs?</w:t>
      </w:r>
      <w:r>
        <w:t xml:space="preserve"> </w:t>
      </w:r>
      <w:r>
        <w:t xml:space="preserve">Start by finding and shutting down what nobody is using — idle instances, unattached storage volumes, old snapshots and orphaned load balancers. That typically takes days, not months, and needs no architectural change. Right-sizing and commitment-based pricing come next, once you know what your steady-state usage actually is.</w:t>
      </w:r>
    </w:p>
    <w:p>
      <w:pPr>
        <w:pStyle w:val="BodyText"/>
      </w:pPr>
      <w:r>
        <w:rPr>
          <w:bCs/>
          <w:b/>
        </w:rPr>
        <w:t xml:space="preserve">Does cost optimization affect performance or security?</w:t>
      </w:r>
      <w:r>
        <w:t xml:space="preserve"> </w:t>
      </w:r>
      <w:r>
        <w:t xml:space="preserve">It should not. Removing idle resources and correcting over-provisioning has no performance impact. The risk comes from cutting redundancy, backups, logging or monitoring to save money — those are the first things people target and the ones that cost most when something fails.</w:t>
      </w:r>
    </w:p>
    <w:p>
      <w:r>
        <w:pict>
          <v:rect style="width:0;height:1.5pt" o:hralign="center" o:hrstd="t" o:hr="t"/>
        </w:pict>
      </w:r>
    </w:p>
    <w:bookmarkEnd w:id="29"/>
    <w:bookmarkStart w:id="30" w:name="Xd4c568c144ba921c252b23c0c0ce903a8c65be8"/>
    <w:p>
      <w:pPr>
        <w:pStyle w:val="Heading2"/>
      </w:pPr>
      <w:r>
        <w:t xml:space="preserve">/blog/cloud-migration-services-in-india-strategy-benefits-best-practices</w:t>
      </w:r>
    </w:p>
    <w:p>
      <w:pPr>
        <w:pStyle w:val="FirstParagraph"/>
      </w:pPr>
      <w:r>
        <w:rPr>
          <w:bCs/>
          <w:b/>
        </w:rPr>
        <w:t xml:space="preserve">How long does a cloud migration take?</w:t>
      </w:r>
      <w:r>
        <w:t xml:space="preserve"> </w:t>
      </w:r>
      <w:r>
        <w:t xml:space="preserve">It depends on what is moving. A single application with a clean architecture can move in weeks. A full data centre exit with legacy systems, licence dependencies and regulated data takes months to over a year. The assessment phase is what tells you which one you are facing.</w:t>
      </w:r>
    </w:p>
    <w:p>
      <w:pPr>
        <w:pStyle w:val="BodyText"/>
      </w:pPr>
      <w:r>
        <w:rPr>
          <w:bCs/>
          <w:b/>
        </w:rPr>
        <w:t xml:space="preserve">What is the biggest risk in a cloud migration?</w:t>
      </w:r>
      <w:r>
        <w:t xml:space="preserve"> </w:t>
      </w:r>
      <w:r>
        <w:t xml:space="preserve">Discovering dependencies late. Applications that nobody documented turn out to depend on a shared file server, a hard-coded IP address or a database nobody owns. A dependency mapping exercise before the first workload moves costs days and prevents the failures that cost weeks.</w:t>
      </w:r>
    </w:p>
    <w:p>
      <w:pPr>
        <w:pStyle w:val="BodyText"/>
      </w:pPr>
      <w:r>
        <w:rPr>
          <w:bCs/>
          <w:b/>
        </w:rPr>
        <w:t xml:space="preserve">Should we lift and shift, or re-architect?</w:t>
      </w:r>
      <w:r>
        <w:t xml:space="preserve"> </w:t>
      </w:r>
      <w:r>
        <w:t xml:space="preserve">Lift and shift is faster and lower risk, but carries your existing inefficiencies into the cloud along with their cost. Re-architecting delivers better economics and resilience but takes longer. Most organisations do both: lift and shift to meet a deadline, then re-architect the workloads where the cost or performance case is clearest.</w:t>
      </w:r>
    </w:p>
    <w:p>
      <w:pPr>
        <w:pStyle w:val="BodyText"/>
      </w:pPr>
      <w:r>
        <w:rPr>
          <w:bCs/>
          <w:b/>
        </w:rPr>
        <w:t xml:space="preserve">How do we keep data secure during migration?</w:t>
      </w:r>
      <w:r>
        <w:t xml:space="preserve"> </w:t>
      </w:r>
      <w:r>
        <w:t xml:space="preserve">Encrypt data in transit and at rest throughout, keep access to migration tooling under least privilege, log every action taken during the move, and verify data integrity on arrival rather than assuming it. For regulated data, confirm data residency requirements before choosing a region.</w:t>
      </w:r>
    </w:p>
    <w:p>
      <w:r>
        <w:pict>
          <v:rect style="width:0;height:1.5pt" o:hralign="center" o:hrstd="t" o:hr="t"/>
        </w:pict>
      </w:r>
    </w:p>
    <w:bookmarkEnd w:id="30"/>
    <w:bookmarkStart w:id="31" w:name="blogcommon-computer-attacks-guide"/>
    <w:p>
      <w:pPr>
        <w:pStyle w:val="Heading2"/>
      </w:pPr>
      <w:r>
        <w:t xml:space="preserve">/blog/common-computer-attacks-guide</w:t>
      </w:r>
    </w:p>
    <w:p>
      <w:pPr>
        <w:pStyle w:val="FirstParagraph"/>
      </w:pPr>
      <w:r>
        <w:rPr>
          <w:bCs/>
          <w:b/>
        </w:rPr>
        <w:t xml:space="preserve">What are the most common types of computer attacks?</w:t>
      </w:r>
      <w:r>
        <w:t xml:space="preserve"> </w:t>
      </w:r>
      <w:r>
        <w:t xml:space="preserve">Phishing and social engineering, malware including ransomware, credential theft and password attacks, man-in-the-middle interception, denial-of-service, SQL injection and other injection attacks, and exploitation of unpatched software. Most real-world incidents start with one of the first three, not with a sophisticated technical exploit.</w:t>
      </w:r>
    </w:p>
    <w:p>
      <w:pPr>
        <w:pStyle w:val="BodyText"/>
      </w:pPr>
      <w:r>
        <w:rPr>
          <w:bCs/>
          <w:b/>
        </w:rPr>
        <w:t xml:space="preserve">How do most attacks actually begin?</w:t>
      </w:r>
      <w:r>
        <w:t xml:space="preserve"> </w:t>
      </w:r>
      <w:r>
        <w:t xml:space="preserve">With a person, not a system. A phishing email, a reused password exposed in someone else’s breach, or a malicious attachment opened by someone who had no reason to be suspicious. Technical exploitation usually comes after that initial access, not before it.</w:t>
      </w:r>
    </w:p>
    <w:p>
      <w:pPr>
        <w:pStyle w:val="BodyText"/>
      </w:pPr>
      <w:r>
        <w:rPr>
          <w:bCs/>
          <w:b/>
        </w:rPr>
        <w:t xml:space="preserve">What is the single most effective defence?</w:t>
      </w:r>
      <w:r>
        <w:t xml:space="preserve"> </w:t>
      </w:r>
      <w:r>
        <w:t xml:space="preserve">Multi-factor authentication on every account that supports it. It stops the large majority of credential-based attacks, including those using passwords already exposed elsewhere. After that: patching on a schedule, least-privilege access, and tested backups that are isolated from the systems they protect.</w:t>
      </w:r>
    </w:p>
    <w:p>
      <w:pPr>
        <w:pStyle w:val="BodyText"/>
      </w:pPr>
      <w:r>
        <w:rPr>
          <w:bCs/>
          <w:b/>
        </w:rPr>
        <w:t xml:space="preserve">How do we know if we have been attacked?</w:t>
      </w:r>
      <w:r>
        <w:t xml:space="preserve"> </w:t>
      </w:r>
      <w:r>
        <w:t xml:space="preserve">You need somewhere to look. Centralised logging from endpoints, network and cloud, with someone reviewing alerts, is the minimum. Without it, intrusions are typically discovered by a third party — a customer, a partner, or the attacker themselves.</w:t>
      </w:r>
    </w:p>
    <w:p>
      <w:r>
        <w:pict>
          <v:rect style="width:0;height:1.5pt" o:hralign="center" o:hrstd="t" o:hr="t"/>
        </w:pict>
      </w:r>
    </w:p>
    <w:bookmarkEnd w:id="31"/>
    <w:bookmarkStart w:id="32" w:name="Xdbafe425c2faa18dc75332e867d93cf94885328"/>
    <w:p>
      <w:pPr>
        <w:pStyle w:val="Heading2"/>
      </w:pPr>
      <w:r>
        <w:t xml:space="preserve">/blog/cross-domain-attacks-threats-mitigation</w:t>
      </w:r>
    </w:p>
    <w:p>
      <w:pPr>
        <w:pStyle w:val="FirstParagraph"/>
      </w:pPr>
      <w:r>
        <w:rPr>
          <w:bCs/>
          <w:b/>
        </w:rPr>
        <w:t xml:space="preserve">What is a cross-domain attack?</w:t>
      </w:r>
      <w:r>
        <w:t xml:space="preserve"> </w:t>
      </w:r>
      <w:r>
        <w:t xml:space="preserve">A cross-domain attack is one where an attacker moves between separate environments — identity, endpoint, cloud, network — using the access gained in one to reach another. The individual steps often look unremarkable in isolation, which is why they are missed by tools that monitor each domain separately.</w:t>
      </w:r>
    </w:p>
    <w:p>
      <w:pPr>
        <w:pStyle w:val="BodyText"/>
      </w:pPr>
      <w:r>
        <w:rPr>
          <w:bCs/>
          <w:b/>
        </w:rPr>
        <w:t xml:space="preserve">Why are cross-domain attacks hard to detect?</w:t>
      </w:r>
      <w:r>
        <w:t xml:space="preserve"> </w:t>
      </w:r>
      <w:r>
        <w:t xml:space="preserve">Because detection is usually siloed. The endpoint tool sees a legitimate process, the identity system sees a valid login, and the cloud log sees an authorised API call. No single tool sees the sequence. Detection requires correlating signals across all of them, which is what a SOC with a properly configured SIEM does.</w:t>
      </w:r>
    </w:p>
    <w:p>
      <w:pPr>
        <w:pStyle w:val="BodyText"/>
      </w:pPr>
      <w:r>
        <w:rPr>
          <w:bCs/>
          <w:b/>
        </w:rPr>
        <w:t xml:space="preserve">What makes an organisation vulnerable to them?</w:t>
      </w:r>
      <w:r>
        <w:t xml:space="preserve"> </w:t>
      </w:r>
      <w:r>
        <w:t xml:space="preserve">Over-permissioned identities, flat networks with no segmentation, shared credentials between environments, and monitoring that covers some domains but not others. Cloud and on-premises environments connected by a trust relationship that nobody has reviewed are a recurring weak point.</w:t>
      </w:r>
    </w:p>
    <w:p>
      <w:pPr>
        <w:pStyle w:val="BodyText"/>
      </w:pPr>
      <w:r>
        <w:rPr>
          <w:bCs/>
          <w:b/>
        </w:rPr>
        <w:t xml:space="preserve">How do we defend against them?</w:t>
      </w:r>
      <w:r>
        <w:t xml:space="preserve"> </w:t>
      </w:r>
      <w:r>
        <w:t xml:space="preserve">Reduce standing privilege so a compromised account reaches less. Segment networks so lateral movement is visible and constrained. Centralise logs from identity, endpoint, network and cloud into one place. And test the path end to end with a penetration test that is scoped to attempt lateral movement, not just to find vulnerabilities.</w:t>
      </w:r>
    </w:p>
    <w:p>
      <w:r>
        <w:pict>
          <v:rect style="width:0;height:1.5pt" o:hralign="center" o:hrstd="t" o:hr="t"/>
        </w:pict>
      </w:r>
    </w:p>
    <w:bookmarkEnd w:id="32"/>
    <w:bookmarkStart w:id="33" w:name="Xb5f0d02e545cbfbbd1424fc7657ab2930d3e01a"/>
    <w:p>
      <w:pPr>
        <w:pStyle w:val="Heading2"/>
      </w:pPr>
      <w:r>
        <w:t xml:space="preserve">/blog/cscrf-cybersecurity-and-cyber-resilience-framework-india</w:t>
      </w:r>
    </w:p>
    <w:p>
      <w:pPr>
        <w:pStyle w:val="FirstParagraph"/>
      </w:pPr>
      <w:r>
        <w:rPr>
          <w:bCs/>
          <w:b/>
        </w:rPr>
        <w:t xml:space="preserve">What is CSCRF?</w:t>
      </w:r>
      <w:r>
        <w:t xml:space="preserve"> </w:t>
      </w:r>
      <w:r>
        <w:t xml:space="preserve">CSCRF is SEBI’s Cybersecurity and Cyber Resilience Framework, which sets cybersecurity and resilience requirements for SEBI-regulated entities in India. It consolidates earlier circulars into a single framework covering governance, identification, protection, detection, response and recovery.</w:t>
      </w:r>
    </w:p>
    <w:p>
      <w:pPr>
        <w:pStyle w:val="BodyText"/>
      </w:pPr>
      <w:r>
        <w:rPr>
          <w:bCs/>
          <w:b/>
        </w:rPr>
        <w:t xml:space="preserve">Who does CSCRF apply to?</w:t>
      </w:r>
      <w:r>
        <w:t xml:space="preserve"> </w:t>
      </w:r>
      <w:r>
        <w:t xml:space="preserve">SEBI-regulated entities, with obligations scaled by category and size. Larger and more systemically important entities carry heavier requirements. Check your specific category against SEBI’s own circular rather than assuming, because the requirement set differs materially between categories.</w:t>
      </w:r>
    </w:p>
    <w:p>
      <w:pPr>
        <w:pStyle w:val="BodyText"/>
      </w:pPr>
      <w:r>
        <w:rPr>
          <w:bCs/>
          <w:b/>
        </w:rPr>
        <w:t xml:space="preserve">How does CSCRF relate to ISO 27001?</w:t>
      </w:r>
      <w:r>
        <w:t xml:space="preserve"> </w:t>
      </w:r>
      <w:r>
        <w:t xml:space="preserve">They overlap substantially but are not interchangeable. An existing ISO 27001 management system covers much of the governance, risk and control work CSCRF expects, and gives you the documentation discipline. CSCRF adds India-specific obligations on reporting, audit and resilience testing that ISO 27001 does not address.</w:t>
      </w:r>
    </w:p>
    <w:p>
      <w:pPr>
        <w:pStyle w:val="BodyText"/>
      </w:pPr>
      <w:r>
        <w:rPr>
          <w:bCs/>
          <w:b/>
        </w:rPr>
        <w:t xml:space="preserve">What does CSCRF require operationally?</w:t>
      </w:r>
      <w:r>
        <w:t xml:space="preserve"> </w:t>
      </w:r>
      <w:r>
        <w:t xml:space="preserve">A governance structure with named accountability, asset and risk identification, protective controls, continuous monitoring and detection capability, a tested incident response plan, defined reporting to SEBI, and periodic audit and resilience testing. The monitoring and reporting obligations are what most entities find they are least prepared for.</w:t>
      </w:r>
    </w:p>
    <w:p>
      <w:r>
        <w:pict>
          <v:rect style="width:0;height:1.5pt" o:hralign="center" o:hrstd="t" o:hr="t"/>
        </w:pict>
      </w:r>
    </w:p>
    <w:bookmarkEnd w:id="33"/>
    <w:bookmarkStart w:id="34" w:name="X908c36aa0d1a646414b1e7dc08cd26cb275048b"/>
    <w:p>
      <w:pPr>
        <w:pStyle w:val="Heading2"/>
      </w:pPr>
      <w:r>
        <w:t xml:space="preserve">/blog/cyber-security-in-india-trends-challenges-growth</w:t>
      </w:r>
    </w:p>
    <w:p>
      <w:pPr>
        <w:pStyle w:val="FirstParagraph"/>
      </w:pPr>
      <w:r>
        <w:rPr>
          <w:bCs/>
          <w:b/>
        </w:rPr>
        <w:t xml:space="preserve">What are the main cybersecurity challenges facing Indian organisations?</w:t>
      </w:r>
      <w:r>
        <w:t xml:space="preserve"> </w:t>
      </w:r>
      <w:r>
        <w:t xml:space="preserve">A shortage of experienced security staff, rapid cloud adoption outpacing security governance, a widening regulatory surface across SEBI, RBI and the DPDP Act, and supply chain exposure through third parties. The skills shortage is what drives most organisations toward managed services rather than building in-house.</w:t>
      </w:r>
    </w:p>
    <w:p>
      <w:pPr>
        <w:pStyle w:val="BodyText"/>
      </w:pPr>
      <w:r>
        <w:rPr>
          <w:bCs/>
          <w:b/>
        </w:rPr>
        <w:t xml:space="preserve">How is Indian cybersecurity regulation changing?</w:t>
      </w:r>
      <w:r>
        <w:t xml:space="preserve"> </w:t>
      </w:r>
      <w:r>
        <w:t xml:space="preserve">It is becoming more specific and more enforceable. The DPDP Act creates statutory data protection obligations, SEBI’s CSCRF sets detailed requirements for market intermediaries, and RBI guidelines govern regulated financial entities. The direction is consistent: documented controls, demonstrable monitoring, and defined incident reporting.</w:t>
      </w:r>
    </w:p>
    <w:p>
      <w:pPr>
        <w:pStyle w:val="BodyText"/>
      </w:pPr>
      <w:r>
        <w:rPr>
          <w:bCs/>
          <w:b/>
        </w:rPr>
        <w:t xml:space="preserve">Why do Indian companies pursue ISO 27001 and SOC 2?</w:t>
      </w:r>
      <w:r>
        <w:t xml:space="preserve"> </w:t>
      </w:r>
      <w:r>
        <w:t xml:space="preserve">Because buyers ask for them. For companies selling to global enterprises, a security questionnaire or vendor review arrives before the contract does, and certification is the fastest way to answer it. Regulation drives a second wave of demand, but customer requirements drive most of it.</w:t>
      </w:r>
    </w:p>
    <w:p>
      <w:pPr>
        <w:pStyle w:val="BodyText"/>
      </w:pPr>
      <w:r>
        <w:rPr>
          <w:bCs/>
          <w:b/>
        </w:rPr>
        <w:t xml:space="preserve">Should security be built in-house or outsourced?</w:t>
      </w:r>
      <w:r>
        <w:t xml:space="preserve"> </w:t>
      </w:r>
      <w:r>
        <w:t xml:space="preserve">It depends on scale and on whether you need 24/7 coverage. Round-the-clock monitoring requires enough staff to cover shifts, which is difficult to justify below a certain size. Most mid-sized Indian organisations keep security governance in-house and outsource monitoring and specialist testing.</w:t>
      </w:r>
    </w:p>
    <w:p>
      <w:r>
        <w:pict>
          <v:rect style="width:0;height:1.5pt" o:hralign="center" o:hrstd="t" o:hr="t"/>
        </w:pict>
      </w:r>
    </w:p>
    <w:bookmarkEnd w:id="34"/>
    <w:bookmarkStart w:id="35" w:name="X891ef510bda52d5119085bd218648e43d399541"/>
    <w:p>
      <w:pPr>
        <w:pStyle w:val="Heading2"/>
      </w:pPr>
      <w:r>
        <w:t xml:space="preserve">/blog/cybersecurity-compliance-next-gen-soc-2025</w:t>
      </w:r>
    </w:p>
    <w:p>
      <w:pPr>
        <w:pStyle w:val="FirstParagraph"/>
      </w:pPr>
      <w:r>
        <w:rPr>
          <w:bCs/>
          <w:b/>
        </w:rPr>
        <w:t xml:space="preserve">What is the difference between cybersecurity and compliance?</w:t>
      </w:r>
      <w:r>
        <w:t xml:space="preserve"> </w:t>
      </w:r>
      <w:r>
        <w:t xml:space="preserve">Cybersecurity is whether you can detect and stop an attack. Compliance is whether you can demonstrate that defined controls exist and operate. They overlap heavily but are not the same, and an organisation can be compliant on paper while being poorly defended in practice.</w:t>
      </w:r>
    </w:p>
    <w:p>
      <w:pPr>
        <w:pStyle w:val="BodyText"/>
      </w:pPr>
      <w:r>
        <w:rPr>
          <w:bCs/>
          <w:b/>
        </w:rPr>
        <w:t xml:space="preserve">How does a SOC support compliance?</w:t>
      </w:r>
      <w:r>
        <w:t xml:space="preserve"> </w:t>
      </w:r>
      <w:r>
        <w:t xml:space="preserve">A SOC produces the evidence most frameworks require: continuous monitoring, alert triage records, incident response documentation, and reporting that demonstrates controls operated over a period. For SOC 2 Type II in particular, that evidence trail is the deliverable auditors examine.</w:t>
      </w:r>
    </w:p>
    <w:p>
      <w:pPr>
        <w:pStyle w:val="BodyText"/>
      </w:pPr>
      <w:r>
        <w:rPr>
          <w:bCs/>
          <w:b/>
        </w:rPr>
        <w:t xml:space="preserve">What should a modern SOC provide beyond monitoring?</w:t>
      </w:r>
      <w:r>
        <w:t xml:space="preserve"> </w:t>
      </w:r>
      <w:r>
        <w:t xml:space="preserve">Detection engineering tuned to your environment rather than vendor defaults, threat intelligence that informs those detections, incident response with defined escalation, vulnerability management feeding back into detection, and reporting that satisfies both leadership and auditors without separate work.</w:t>
      </w:r>
    </w:p>
    <w:p>
      <w:pPr>
        <w:pStyle w:val="BodyText"/>
      </w:pPr>
      <w:r>
        <w:rPr>
          <w:bCs/>
          <w:b/>
        </w:rPr>
        <w:t xml:space="preserve">Does compliance require 24/7 monitoring?</w:t>
      </w:r>
      <w:r>
        <w:t xml:space="preserve"> </w:t>
      </w:r>
      <w:r>
        <w:t xml:space="preserve">Frameworks rarely mandate 24/7 explicitly, but they do require that security events are detected and responded to. In practice, an organisation that only reviews alerts during office hours struggles to evidence that, and attackers are aware of when nobody is watching.</w:t>
      </w:r>
    </w:p>
    <w:p>
      <w:r>
        <w:pict>
          <v:rect style="width:0;height:1.5pt" o:hralign="center" o:hrstd="t" o:hr="t"/>
        </w:pict>
      </w:r>
    </w:p>
    <w:bookmarkEnd w:id="35"/>
    <w:bookmarkStart w:id="36" w:name="X7c4608e2ccfd99fa9c9f53ac224eb2c648091b5"/>
    <w:p>
      <w:pPr>
        <w:pStyle w:val="Heading2"/>
      </w:pPr>
      <w:r>
        <w:t xml:space="preserve">/blog/data-migration-for-indian-enterprises</w:t>
      </w:r>
    </w:p>
    <w:p>
      <w:pPr>
        <w:pStyle w:val="FirstParagraph"/>
      </w:pPr>
      <w:r>
        <w:rPr>
          <w:bCs/>
          <w:b/>
        </w:rPr>
        <w:t xml:space="preserve">What is the difference between data migration and cloud migration?</w:t>
      </w:r>
      <w:r>
        <w:t xml:space="preserve"> </w:t>
      </w:r>
      <w:r>
        <w:t xml:space="preserve">Cloud migration moves workloads and infrastructure. Data migration moves the data itself — between databases, storage platforms, or application systems. A cloud migration usually contains a data migration, but data migrations also happen entirely on-premises, for example during an ERP or CRM replacement.</w:t>
      </w:r>
    </w:p>
    <w:p>
      <w:pPr>
        <w:pStyle w:val="BodyText"/>
      </w:pPr>
      <w:r>
        <w:rPr>
          <w:bCs/>
          <w:b/>
        </w:rPr>
        <w:t xml:space="preserve">What causes data migrations to fail?</w:t>
      </w:r>
      <w:r>
        <w:t xml:space="preserve"> </w:t>
      </w:r>
      <w:r>
        <w:t xml:space="preserve">Underestimating data quality problems in the source. Duplicate records, inconsistent formats, missing mandatory fields and undocumented business rules only surface when the data hits the target system’s validation. Profiling the source data before the migration plan is written is what prevents this.</w:t>
      </w:r>
    </w:p>
    <w:p>
      <w:pPr>
        <w:pStyle w:val="BodyText"/>
      </w:pPr>
      <w:r>
        <w:rPr>
          <w:bCs/>
          <w:b/>
        </w:rPr>
        <w:t xml:space="preserve">How do we validate a migration was successful?</w:t>
      </w:r>
      <w:r>
        <w:t xml:space="preserve"> </w:t>
      </w:r>
      <w:r>
        <w:t xml:space="preserve">Reconcile before and after: record counts, checksums or hashes on critical fields, referential integrity checks, and business-level validation by the people who use the data daily. Automated counts alone miss transformation errors where the right number of rows carry the wrong values.</w:t>
      </w:r>
    </w:p>
    <w:p>
      <w:pPr>
        <w:pStyle w:val="BodyText"/>
      </w:pPr>
      <w:r>
        <w:rPr>
          <w:bCs/>
          <w:b/>
        </w:rPr>
        <w:t xml:space="preserve">What are the compliance considerations in a data migration?</w:t>
      </w:r>
      <w:r>
        <w:t xml:space="preserve"> </w:t>
      </w:r>
      <w:r>
        <w:t xml:space="preserve">Know what personal data is moving, where it will reside, and who can reach it in the target environment. Under India’s DPDP Act, migration is a good moment to apply retention limits rather than carrying forward data you should no longer hold. Encrypt in transit and at rest, and log the migration itself.</w:t>
      </w:r>
    </w:p>
    <w:p>
      <w:r>
        <w:pict>
          <v:rect style="width:0;height:1.5pt" o:hralign="center" o:hrstd="t" o:hr="t"/>
        </w:pict>
      </w:r>
    </w:p>
    <w:bookmarkEnd w:id="36"/>
    <w:bookmarkStart w:id="37" w:name="Xee620e83a4d74442dc6c7fcc14c619c079e7410"/>
    <w:p>
      <w:pPr>
        <w:pStyle w:val="Heading2"/>
      </w:pPr>
      <w:r>
        <w:t xml:space="preserve">/blog/it-systems-management-monitoring-support-guide</w:t>
      </w:r>
    </w:p>
    <w:p>
      <w:pPr>
        <w:pStyle w:val="FirstParagraph"/>
      </w:pPr>
      <w:r>
        <w:rPr>
          <w:bCs/>
          <w:b/>
        </w:rPr>
        <w:t xml:space="preserve">What does IT systems management cover?</w:t>
      </w:r>
      <w:r>
        <w:t xml:space="preserve"> </w:t>
      </w:r>
      <w:r>
        <w:t xml:space="preserve">The day-to-day operation of an organisation’s IT: monitoring infrastructure health, patching, managing user accounts and devices, backup operation, capacity planning, vendor coordination, and user support. It is the function that keeps systems running, distinct from the projects that change them.</w:t>
      </w:r>
    </w:p>
    <w:p>
      <w:pPr>
        <w:pStyle w:val="BodyText"/>
      </w:pPr>
      <w:r>
        <w:rPr>
          <w:bCs/>
          <w:b/>
        </w:rPr>
        <w:t xml:space="preserve">What is the difference between monitoring and management?</w:t>
      </w:r>
      <w:r>
        <w:t xml:space="preserve"> </w:t>
      </w:r>
      <w:r>
        <w:t xml:space="preserve">Monitoring tells you something is wrong. Management is the process that fixes it and prevents recurrence. Many organisations have monitoring tools producing alerts that nobody owns, which is why alert volume grows while availability does not improve.</w:t>
      </w:r>
    </w:p>
    <w:p>
      <w:pPr>
        <w:pStyle w:val="BodyText"/>
      </w:pPr>
      <w:r>
        <w:rPr>
          <w:bCs/>
          <w:b/>
        </w:rPr>
        <w:t xml:space="preserve">What should IT monitoring actually cover?</w:t>
      </w:r>
      <w:r>
        <w:t xml:space="preserve"> </w:t>
      </w:r>
      <w:r>
        <w:t xml:space="preserve">Infrastructure health such as CPU, memory, disk and network; application availability and response time; backup success and restore testing; patch status; security events; and certificate and licence expiry. The last two cause more outages than their profile suggests.</w:t>
      </w:r>
    </w:p>
    <w:p>
      <w:pPr>
        <w:pStyle w:val="BodyText"/>
      </w:pPr>
      <w:r>
        <w:rPr>
          <w:bCs/>
          <w:b/>
        </w:rPr>
        <w:t xml:space="preserve">When should IT systems management be outsourced?</w:t>
      </w:r>
      <w:r>
        <w:t xml:space="preserve"> </w:t>
      </w:r>
      <w:r>
        <w:t xml:space="preserve">When you need coverage outside office hours and cannot staff shifts, when the internal team spends more time on operations than on work that moves the business, or when specialist depth is needed occasionally rather than constantly. Most organisations outsource operations and keep architecture and strategy in-house.</w:t>
      </w:r>
    </w:p>
    <w:p>
      <w:r>
        <w:pict>
          <v:rect style="width:0;height:1.5pt" o:hralign="center" o:hrstd="t" o:hr="t"/>
        </w:pict>
      </w:r>
    </w:p>
    <w:bookmarkEnd w:id="37"/>
    <w:bookmarkStart w:id="38" w:name="blogmanaged-it-service-providers-india"/>
    <w:p>
      <w:pPr>
        <w:pStyle w:val="Heading2"/>
      </w:pPr>
      <w:r>
        <w:t xml:space="preserve">/blog/managed-it-service-providers-india</w:t>
      </w:r>
    </w:p>
    <w:p>
      <w:pPr>
        <w:pStyle w:val="FirstParagraph"/>
      </w:pPr>
      <w:r>
        <w:rPr>
          <w:bCs/>
          <w:b/>
        </w:rPr>
        <w:t xml:space="preserve">What are managed IT services?</w:t>
      </w:r>
      <w:r>
        <w:t xml:space="preserve"> </w:t>
      </w:r>
      <w:r>
        <w:t xml:space="preserve">Managed IT services means outsourcing the day-to-day running of IT — monitoring, user support, patching, device and account management, backup and infrastructure operations — to a provider under an ongoing agreement with defined service levels, rather than paying per incident.</w:t>
      </w:r>
    </w:p>
    <w:p>
      <w:pPr>
        <w:pStyle w:val="BodyText"/>
      </w:pPr>
      <w:r>
        <w:rPr>
          <w:bCs/>
          <w:b/>
        </w:rPr>
        <w:t xml:space="preserve">How do I choose a managed IT service provider in India?</w:t>
      </w:r>
      <w:r>
        <w:t xml:space="preserve"> </w:t>
      </w:r>
      <w:r>
        <w:t xml:space="preserve">Compare on service levels and how they are measured, coverage hours and whether support is genuinely 24/7, the escalation path and who you reach at 2am, security practices including how they protect their own access to your systems, reporting, and the exit terms. Price per user matters less than what is excluded.</w:t>
      </w:r>
    </w:p>
    <w:p>
      <w:pPr>
        <w:pStyle w:val="BodyText"/>
      </w:pPr>
      <w:r>
        <w:rPr>
          <w:bCs/>
          <w:b/>
        </w:rPr>
        <w:t xml:space="preserve">What should be in a managed IT services agreement?</w:t>
      </w:r>
      <w:r>
        <w:t xml:space="preserve"> </w:t>
      </w:r>
      <w:r>
        <w:t xml:space="preserve">Scope of systems covered, response and resolution targets by severity, coverage hours, escalation path, reporting cadence, security and access controls, data ownership, change and onboarding process, and termination terms including how your data and documentation are returned.</w:t>
      </w:r>
    </w:p>
    <w:p>
      <w:pPr>
        <w:pStyle w:val="BodyText"/>
      </w:pPr>
      <w:r>
        <w:rPr>
          <w:bCs/>
          <w:b/>
        </w:rPr>
        <w:t xml:space="preserve">Does managed IT replace an internal IT team?</w:t>
      </w:r>
      <w:r>
        <w:t xml:space="preserve"> </w:t>
      </w:r>
      <w:r>
        <w:t xml:space="preserve">Usually not. The common model is co-managed: the provider runs monitoring, help desk and routine operations, while the internal team keeps architecture, vendor strategy and the work specific to the business. That gives coverage without losing institutional knowledge.</w:t>
      </w:r>
    </w:p>
    <w:p>
      <w:r>
        <w:pict>
          <v:rect style="width:0;height:1.5pt" o:hralign="center" o:hrstd="t" o:hr="t"/>
        </w:pict>
      </w:r>
    </w:p>
    <w:bookmarkEnd w:id="38"/>
    <w:bookmarkStart w:id="39" w:name="Xd8abc24bc6dd1a80e04077dd5c5397f4f68915c"/>
    <w:p>
      <w:pPr>
        <w:pStyle w:val="Heading2"/>
      </w:pPr>
      <w:r>
        <w:t xml:space="preserve">/blog/soc-1-vs-soc-2-key-differences-for-indian-businesses</w:t>
      </w:r>
    </w:p>
    <w:p>
      <w:pPr>
        <w:pStyle w:val="FirstParagraph"/>
      </w:pPr>
      <w:r>
        <w:rPr>
          <w:bCs/>
          <w:b/>
        </w:rPr>
        <w:t xml:space="preserve">What is the difference between SOC 1 and SOC 2?</w:t>
      </w:r>
      <w:r>
        <w:t xml:space="preserve"> </w:t>
      </w:r>
      <w:r>
        <w:t xml:space="preserve">SOC 1 reports on controls relevant to a client’s financial reporting. SOC 2 reports on controls relevant to security, availability, processing integrity, confidentiality and privacy. If your service affects your client’s financial statements, they will ask for SOC 1. If it affects their data security, they will ask for SOC 2.</w:t>
      </w:r>
    </w:p>
    <w:p>
      <w:pPr>
        <w:pStyle w:val="BodyText"/>
      </w:pPr>
      <w:r>
        <w:rPr>
          <w:bCs/>
          <w:b/>
        </w:rPr>
        <w:t xml:space="preserve">Which one does my company need?</w:t>
      </w:r>
      <w:r>
        <w:t xml:space="preserve"> </w:t>
      </w:r>
      <w:r>
        <w:t xml:space="preserve">Ask the customer who requested it. Payroll processors, transaction processors and companies whose service feeds a client’s financial reporting are usually asked for SOC 1. SaaS platforms, hosting providers and anyone handling customer data are usually asked for SOC 2. Some organisations need both.</w:t>
      </w:r>
    </w:p>
    <w:p>
      <w:pPr>
        <w:pStyle w:val="BodyText"/>
      </w:pPr>
      <w:r>
        <w:rPr>
          <w:bCs/>
          <w:b/>
        </w:rPr>
        <w:t xml:space="preserve">What is the difference between Type I and Type II?</w:t>
      </w:r>
      <w:r>
        <w:t xml:space="preserve"> </w:t>
      </w:r>
      <w:r>
        <w:t xml:space="preserve">Type I assesses whether controls are suitably designed at a point in time. Type II assesses whether they operated effectively across a period, commonly three to twelve months. Type II is what most enterprise buyers mean, and the observation window cannot be compressed.</w:t>
      </w:r>
    </w:p>
    <w:p>
      <w:pPr>
        <w:pStyle w:val="BodyText"/>
      </w:pPr>
      <w:r>
        <w:rPr>
          <w:bCs/>
          <w:b/>
        </w:rPr>
        <w:t xml:space="preserve">Can we use ISO 27001 instead?</w:t>
      </w:r>
      <w:r>
        <w:t xml:space="preserve"> </w:t>
      </w:r>
      <w:r>
        <w:t xml:space="preserve">Only if your buyer accepts it. SOC 1 has no ISO equivalent at all. For SOC 2, ISO 27001 covers much of the same control ground but produces a different artefact, and US buyers in particular usually ask for SOC 2 specifically.</w:t>
      </w:r>
    </w:p>
    <w:p>
      <w:r>
        <w:pict>
          <v:rect style="width:0;height:1.5pt" o:hralign="center" o:hrstd="t" o:hr="t"/>
        </w:pict>
      </w:r>
    </w:p>
    <w:bookmarkEnd w:id="39"/>
    <w:bookmarkStart w:id="40" w:name="X30c721903d674758a8935c5624ec83a8c1e8028"/>
    <w:p>
      <w:pPr>
        <w:pStyle w:val="Heading2"/>
      </w:pPr>
      <w:r>
        <w:t xml:space="preserve">/blog/soc-as-a-service-for-indian-organizations</w:t>
      </w:r>
    </w:p>
    <w:p>
      <w:pPr>
        <w:pStyle w:val="FirstParagraph"/>
      </w:pPr>
      <w:r>
        <w:rPr>
          <w:bCs/>
          <w:b/>
        </w:rPr>
        <w:t xml:space="preserve">What is SOC as a Service?</w:t>
      </w:r>
      <w:r>
        <w:t xml:space="preserve"> </w:t>
      </w:r>
      <w:r>
        <w:t xml:space="preserve">SOC as a Service is a fully managed security operations centre delivered as a subscription — monitoring, detection, alert triage and incident escalation run by a provider’s analysts using their platform, rather than you building the team and tooling yourself.</w:t>
      </w:r>
    </w:p>
    <w:p>
      <w:pPr>
        <w:pStyle w:val="BodyText"/>
      </w:pPr>
      <w:r>
        <w:rPr>
          <w:bCs/>
          <w:b/>
        </w:rPr>
        <w:t xml:space="preserve">How is it different from a managed SOC?</w:t>
      </w:r>
      <w:r>
        <w:t xml:space="preserve"> </w:t>
      </w:r>
      <w:r>
        <w:t xml:space="preserve">The terms are often used interchangeably. In practice, managed SOC usually means a provider operating technology you own, while SOC as a Service means the provider supplies both the platform and the people. The practical difference is who owns the SIEM licence and the data.</w:t>
      </w:r>
    </w:p>
    <w:p>
      <w:pPr>
        <w:pStyle w:val="BodyText"/>
      </w:pPr>
      <w:r>
        <w:rPr>
          <w:bCs/>
          <w:b/>
        </w:rPr>
        <w:t xml:space="preserve">What does SOC as a Service include?</w:t>
      </w:r>
      <w:r>
        <w:t xml:space="preserve"> </w:t>
      </w:r>
      <w:r>
        <w:t xml:space="preserve">Log collection across endpoints, network and cloud; detection rules maintained by the provider; 24/7 alert triage by analysts; escalation to your team with context and recommended actions; incident response support; and reporting for leadership and auditors.</w:t>
      </w:r>
    </w:p>
    <w:p>
      <w:pPr>
        <w:pStyle w:val="BodyText"/>
      </w:pPr>
      <w:r>
        <w:rPr>
          <w:bCs/>
          <w:b/>
        </w:rPr>
        <w:t xml:space="preserve">Is it suitable for mid-sized companies?</w:t>
      </w:r>
      <w:r>
        <w:t xml:space="preserve"> </w:t>
      </w:r>
      <w:r>
        <w:t xml:space="preserve">It is usually the only realistic route to 24/7 coverage below a certain size. Staffing a round-the-clock in-house SOC requires enough analysts to cover every shift plus leave and attrition, which is difficult to justify for most mid-sized organisations.</w:t>
      </w:r>
    </w:p>
    <w:p>
      <w:r>
        <w:pict>
          <v:rect style="width:0;height:1.5pt" o:hralign="center" o:hrstd="t" o:hr="t"/>
        </w:pict>
      </w:r>
    </w:p>
    <w:bookmarkEnd w:id="40"/>
    <w:bookmarkStart w:id="41" w:name="X9bae48ccbb7ee4edbf491b39bd8b5bf3a1d2c86"/>
    <w:p>
      <w:pPr>
        <w:pStyle w:val="Heading2"/>
      </w:pPr>
      <w:r>
        <w:t xml:space="preserve">/blog/top-10-cybersecurity-strategies-to-strengthen-your-enterprise-security</w:t>
      </w:r>
    </w:p>
    <w:p>
      <w:pPr>
        <w:pStyle w:val="FirstParagraph"/>
      </w:pPr>
      <w:r>
        <w:rPr>
          <w:bCs/>
          <w:b/>
        </w:rPr>
        <w:t xml:space="preserve">What is the most important cybersecurity control for an enterprise?</w:t>
      </w:r>
      <w:r>
        <w:t xml:space="preserve"> </w:t>
      </w:r>
      <w:r>
        <w:t xml:space="preserve">Multi-factor authentication across every account that supports it, including administrative and service accounts. It defeats the credential-based attacks that begin most incidents, including those using passwords exposed in other organisations’ breaches.</w:t>
      </w:r>
    </w:p>
    <w:p>
      <w:pPr>
        <w:pStyle w:val="BodyText"/>
      </w:pPr>
      <w:r>
        <w:rPr>
          <w:bCs/>
          <w:b/>
        </w:rPr>
        <w:t xml:space="preserve">How should we prioritise security investment?</w:t>
      </w:r>
      <w:r>
        <w:t xml:space="preserve"> </w:t>
      </w:r>
      <w:r>
        <w:t xml:space="preserve">By what reduces the most risk per rupee, which is usually not the newest tool. Identity controls, patching discipline, network segmentation, logging with someone reviewing it, and tested backups outperform additional detection products in most environments that lack them.</w:t>
      </w:r>
    </w:p>
    <w:p>
      <w:pPr>
        <w:pStyle w:val="BodyText"/>
      </w:pPr>
      <w:r>
        <w:rPr>
          <w:bCs/>
          <w:b/>
        </w:rPr>
        <w:t xml:space="preserve">How often should security controls be tested?</w:t>
      </w:r>
      <w:r>
        <w:t xml:space="preserve"> </w:t>
      </w:r>
      <w:r>
        <w:t xml:space="preserve">Penetration testing at least annually and after significant architectural change. Backup restoration quarterly. Incident response through a tabletop exercise at least annually. Access reviews quarterly. Controls that are never tested are assumptions, not controls.</w:t>
      </w:r>
    </w:p>
    <w:p>
      <w:pPr>
        <w:pStyle w:val="BodyText"/>
      </w:pPr>
      <w:r>
        <w:rPr>
          <w:bCs/>
          <w:b/>
        </w:rPr>
        <w:t xml:space="preserve">Who should own cybersecurity in an organisation?</w:t>
      </w:r>
      <w:r>
        <w:t xml:space="preserve"> </w:t>
      </w:r>
      <w:r>
        <w:t xml:space="preserve">A named individual with authority and budget, reporting into leadership. Distributed ownership across IT, engineering and compliance reliably produces gaps, because every control that is everyone’s responsibility is nobody’s.</w:t>
      </w:r>
    </w:p>
    <w:p>
      <w:r>
        <w:pict>
          <v:rect style="width:0;height:1.5pt" o:hralign="center" o:hrstd="t" o:hr="t"/>
        </w:pict>
      </w:r>
    </w:p>
    <w:bookmarkEnd w:id="41"/>
    <w:bookmarkStart w:id="42" w:name="X7a031b5e0edf811def75f78d8049dcbc32f9b49"/>
    <w:p>
      <w:pPr>
        <w:pStyle w:val="Heading2"/>
      </w:pPr>
      <w:r>
        <w:t xml:space="preserve">/blog/top-cyber-security-companies-in-india-safeguarding-digital-future</w:t>
      </w:r>
    </w:p>
    <w:p>
      <w:pPr>
        <w:pStyle w:val="FirstParagraph"/>
      </w:pPr>
      <w:r>
        <w:rPr>
          <w:bCs/>
          <w:b/>
        </w:rPr>
        <w:t xml:space="preserve">How do I choose a cyber security company in India?</w:t>
      </w:r>
      <w:r>
        <w:t xml:space="preserve"> </w:t>
      </w:r>
      <w:r>
        <w:t xml:space="preserve">Match the provider to the problem. Testing, 24/7 monitoring, compliance certification and managed IT are different capabilities and few firms are strong at all of them. Then check depth: who does the work, what certifications they hold, what their reporting looks like, and whether they stay through remediation.</w:t>
      </w:r>
    </w:p>
    <w:p>
      <w:pPr>
        <w:pStyle w:val="BodyText"/>
      </w:pPr>
      <w:r>
        <w:rPr>
          <w:bCs/>
          <w:b/>
        </w:rPr>
        <w:t xml:space="preserve">What should I ask a cyber security provider before signing?</w:t>
      </w:r>
      <w:r>
        <w:t xml:space="preserve"> </w:t>
      </w:r>
      <w:r>
        <w:t xml:space="preserve">Ask who performs the work and their credentials, for a redacted sample report, what response times are contractually committed, whether retesting and remediation support are included, how they secure their own access to your systems, and what happens at the end of the contract.</w:t>
      </w:r>
    </w:p>
    <w:p>
      <w:pPr>
        <w:pStyle w:val="BodyText"/>
      </w:pPr>
      <w:r>
        <w:rPr>
          <w:bCs/>
          <w:b/>
        </w:rPr>
        <w:t xml:space="preserve">What is the difference between a large firm and a specialist provider?</w:t>
      </w:r>
      <w:r>
        <w:t xml:space="preserve"> </w:t>
      </w:r>
      <w:r>
        <w:t xml:space="preserve">Large firms offer breadth and brand recognition that satisfies procurement. Specialists usually offer more senior attention per engagement and faster response. The question worth asking either is who specifically will be on your account, because that is what determines the outcome.</w:t>
      </w:r>
    </w:p>
    <w:p>
      <w:pPr>
        <w:pStyle w:val="BodyText"/>
      </w:pPr>
      <w:r>
        <w:rPr>
          <w:bCs/>
          <w:b/>
        </w:rPr>
        <w:t xml:space="preserve">Should we use one provider for security, compliance and IT?</w:t>
      </w:r>
      <w:r>
        <w:t xml:space="preserve"> </w:t>
      </w:r>
      <w:r>
        <w:t xml:space="preserve">There is a real advantage in doing so, because the three overlap constantly — compliance evidence comes from security operations, and security controls are implemented by IT. One accountable party removes the gaps between them. The condition is that the provider is genuinely capable in all three, not just willing to sell all three.</w:t>
      </w:r>
    </w:p>
    <w:p>
      <w:r>
        <w:pict>
          <v:rect style="width:0;height:1.5pt" o:hralign="center" o:hrstd="t" o:hr="t"/>
        </w:pict>
      </w:r>
    </w:p>
    <w:bookmarkEnd w:id="42"/>
    <w:bookmarkStart w:id="43" w:name="X96d755cf68bd2cb816833363389a936ab5aed05"/>
    <w:p>
      <w:pPr>
        <w:pStyle w:val="Heading2"/>
      </w:pPr>
      <w:r>
        <w:t xml:space="preserve">/blog/vulnerability-scanning-tools-fix-security-gaps-before-hackers-do</w:t>
      </w:r>
    </w:p>
    <w:p>
      <w:pPr>
        <w:pStyle w:val="FirstParagraph"/>
      </w:pPr>
      <w:r>
        <w:rPr>
          <w:bCs/>
          <w:b/>
        </w:rPr>
        <w:t xml:space="preserve">What is a vulnerability scanner?</w:t>
      </w:r>
      <w:r>
        <w:t xml:space="preserve"> </w:t>
      </w:r>
      <w:r>
        <w:t xml:space="preserve">A vulnerability scanner is software that checks systems, applications or networks against a database of known weaknesses — missing patches, misconfigurations, outdated components and exposed services — and reports what it finds with a severity rating.</w:t>
      </w:r>
    </w:p>
    <w:p>
      <w:pPr>
        <w:pStyle w:val="BodyText"/>
      </w:pPr>
      <w:r>
        <w:rPr>
          <w:bCs/>
          <w:b/>
        </w:rPr>
        <w:t xml:space="preserve">Is vulnerability scanning the same as penetration testing?</w:t>
      </w:r>
      <w:r>
        <w:t xml:space="preserve"> </w:t>
      </w:r>
      <w:r>
        <w:t xml:space="preserve">No. A scanner identifies known weaknesses automatically and gives you breadth. A penetration test manually attempts to exploit them and gives you depth and proof of impact. Scanners cannot find business logic flaws, and they cannot chain two medium findings into a critical one. Both are needed.</w:t>
      </w:r>
    </w:p>
    <w:p>
      <w:pPr>
        <w:pStyle w:val="BodyText"/>
      </w:pPr>
      <w:r>
        <w:rPr>
          <w:bCs/>
          <w:b/>
        </w:rPr>
        <w:t xml:space="preserve">How often should we run vulnerability scans?</w:t>
      </w:r>
      <w:r>
        <w:t xml:space="preserve"> </w:t>
      </w:r>
      <w:r>
        <w:t xml:space="preserve">Continuously or at least weekly for internet-facing systems, and after every significant change. Monthly is the minimum for internal systems. The value is in the trend — whether findings are being closed faster than new ones appear — not in any single scan.</w:t>
      </w:r>
    </w:p>
    <w:p>
      <w:pPr>
        <w:pStyle w:val="BodyText"/>
      </w:pPr>
      <w:r>
        <w:rPr>
          <w:bCs/>
          <w:b/>
        </w:rPr>
        <w:t xml:space="preserve">What do we do with the results?</w:t>
      </w:r>
      <w:r>
        <w:t xml:space="preserve"> </w:t>
      </w:r>
      <w:r>
        <w:t xml:space="preserve">Prioritise by exploitability and exposure, not by raw severity score. An internet-facing issue needing no credentials outranks a higher-scored flaw on an internal system behind authentication. Assign each item to a named person with a date, and verify the fix rather than accepting that it was deployed.</w:t>
      </w:r>
    </w:p>
    <w:p>
      <w:pPr>
        <w:pStyle w:val="BodyText"/>
      </w:pPr>
      <w:r>
        <w:rPr>
          <w:bCs/>
          <w:b/>
        </w:rPr>
        <w:t xml:space="preserve">Which scanner should we use?</w:t>
      </w:r>
      <w:r>
        <w:t xml:space="preserve"> </w:t>
      </w:r>
      <w:r>
        <w:t xml:space="preserve">The one your team will actually act on. Coverage of your technology stack, integration with your issue tracker, and the quality of remediation guidance matter more than the raw number of checks. A scanner whose output nobody triages provides no security benefit at all.</w:t>
      </w:r>
    </w:p>
    <w:p>
      <w:r>
        <w:pict>
          <v:rect style="width:0;height:1.5pt" o:hralign="center" o:hrstd="t" o:hr="t"/>
        </w:pict>
      </w:r>
    </w:p>
    <w:bookmarkEnd w:id="43"/>
    <w:bookmarkStart w:id="44" w:name="X20c09538f01a47e92dc6705ed37b4604f10f0a5"/>
    <w:p>
      <w:pPr>
        <w:pStyle w:val="Heading2"/>
      </w:pPr>
      <w:r>
        <w:t xml:space="preserve">/blog/what-is-a-security-operations-center-soc-a-comprehensive-guide-to-protecting-your-organization</w:t>
      </w:r>
    </w:p>
    <w:p>
      <w:pPr>
        <w:pStyle w:val="FirstParagraph"/>
      </w:pPr>
      <w:r>
        <w:rPr>
          <w:bCs/>
          <w:b/>
        </w:rPr>
        <w:t xml:space="preserve">What is a Security Operations Centre?</w:t>
      </w:r>
      <w:r>
        <w:t xml:space="preserve"> </w:t>
      </w:r>
      <w:r>
        <w:t xml:space="preserve">A Security Operations Centre is the team and technology that monitors an organisation’s systems for security threats, investigates alerts and responds to incidents. It typically runs 24/7, combining a SIEM or detection platform with analysts who triage what it produces.</w:t>
      </w:r>
    </w:p>
    <w:p>
      <w:pPr>
        <w:pStyle w:val="BodyText"/>
      </w:pPr>
      <w:r>
        <w:rPr>
          <w:bCs/>
          <w:b/>
        </w:rPr>
        <w:t xml:space="preserve">Is a SOC the same as SOC 2?</w:t>
      </w:r>
      <w:r>
        <w:t xml:space="preserve"> </w:t>
      </w:r>
      <w:r>
        <w:t xml:space="preserve">No, and the name collision causes constant confusion. A Security Operations Centre is an operational security function. SOC 2 is an attestation report on an organisation’s controls, issued by a CPA firm. The two are unrelated beyond the acronym.</w:t>
      </w:r>
    </w:p>
    <w:p>
      <w:pPr>
        <w:pStyle w:val="BodyText"/>
      </w:pPr>
      <w:r>
        <w:rPr>
          <w:bCs/>
          <w:b/>
        </w:rPr>
        <w:t xml:space="preserve">What does a SOC team actually do?</w:t>
      </w:r>
      <w:r>
        <w:t xml:space="preserve"> </w:t>
      </w:r>
      <w:r>
        <w:t xml:space="preserve">Monitors log and alert data across endpoints, network, cloud and identity; triages alerts to separate real threats from noise; investigates confirmed incidents; coordinates containment and recovery; tunes detection rules so the same false positives do not recur; and reports to leadership and auditors.</w:t>
      </w:r>
    </w:p>
    <w:p>
      <w:pPr>
        <w:pStyle w:val="BodyText"/>
      </w:pPr>
      <w:r>
        <w:rPr>
          <w:bCs/>
          <w:b/>
        </w:rPr>
        <w:t xml:space="preserve">Should we build a SOC or outsource one?</w:t>
      </w:r>
      <w:r>
        <w:t xml:space="preserve"> </w:t>
      </w:r>
      <w:r>
        <w:t xml:space="preserve">Building in-house requires enough analysts to staff every shift including leave and attrition, plus platform licensing and detection engineering capability. Below a certain scale that is difficult to justify, which is why most mid-sized organisations use a managed SOC or SOC as a Service and keep governance in-house.</w:t>
      </w:r>
    </w:p>
    <w:p>
      <w:pPr>
        <w:pStyle w:val="BodyText"/>
      </w:pPr>
      <w:r>
        <w:rPr>
          <w:bCs/>
          <w:b/>
        </w:rPr>
        <w:t xml:space="preserve">What is the difference between a SOC and a NOC?</w:t>
      </w:r>
      <w:r>
        <w:t xml:space="preserve"> </w:t>
      </w:r>
      <w:r>
        <w:t xml:space="preserve">A Network Operations Centre watches for availability and performance problems. A Security Operations Centre watches for malicious activity. They use overlapping data and sometimes sit in the same room, but they are looking for different things and escalate to different people.</w:t>
      </w:r>
    </w:p>
    <w:p>
      <w:r>
        <w:pict>
          <v:rect style="width:0;height:1.5pt" o:hralign="center" o:hrstd="t" o:hr="t"/>
        </w:pict>
      </w:r>
    </w:p>
    <w:bookmarkEnd w:id="44"/>
    <w:bookmarkStart w:id="45" w:name="blogwelcome-to-aadit-technologies"/>
    <w:p>
      <w:pPr>
        <w:pStyle w:val="Heading2"/>
      </w:pPr>
      <w:r>
        <w:t xml:space="preserve">/blog/welcome-to-aadit-technologies</w:t>
      </w:r>
    </w:p>
    <w:p>
      <w:pPr>
        <w:pStyle w:val="FirstParagraph"/>
      </w:pPr>
      <w:r>
        <w:t xml:space="preserve">Skip this one. It is a 319-word announcement post and does not warrant an FAQ. Consider removing it from the sitemap, or expanding it into a proper About-style post if it is worth keeping indexed.</w:t>
      </w:r>
    </w:p>
    <w:p>
      <w:r>
        <w:pict>
          <v:rect style="width:0;height:1.5pt" o:hralign="center" o:hrstd="t" o:hr="t"/>
        </w:pict>
      </w:r>
    </w:p>
    <w:bookmarkEnd w:id="45"/>
    <w:bookmarkEnd w:id="46"/>
    <w:bookmarkStart w:id="48" w:name="part-3-two-new-pages"/>
    <w:p>
      <w:pPr>
        <w:pStyle w:val="Heading1"/>
      </w:pPr>
      <w:r>
        <w:t xml:space="preserve">PART 3 — TWO NEW PAGES</w:t>
      </w:r>
    </w:p>
    <w:p>
      <w:pPr>
        <w:pStyle w:val="FirstParagraph"/>
      </w:pPr>
      <w:r>
        <w:t xml:space="preserve">Of the eight new pages planned, none exist yet. Full copy for the three highest-value pages —</w:t>
      </w:r>
      <w:r>
        <w:t xml:space="preserve"> </w:t>
      </w:r>
      <w:r>
        <w:rPr>
          <w:rStyle w:val="VerbatimChar"/>
        </w:rPr>
        <w:t xml:space="preserve">/resources/vapt-report-sample</w:t>
      </w:r>
      <w:r>
        <w:t xml:space="preserve">,</w:t>
      </w:r>
      <w:r>
        <w:t xml:space="preserve"> </w:t>
      </w:r>
      <w:r>
        <w:rPr>
          <w:rStyle w:val="VerbatimChar"/>
        </w:rPr>
        <w:t xml:space="preserve">/compliance/iso-27001/india</w:t>
      </w:r>
      <w:r>
        <w:t xml:space="preserve"> </w:t>
      </w:r>
      <w:r>
        <w:t xml:space="preserve">and</w:t>
      </w:r>
      <w:r>
        <w:t xml:space="preserve"> </w:t>
      </w:r>
      <w:r>
        <w:rPr>
          <w:rStyle w:val="VerbatimChar"/>
        </w:rPr>
        <w:t xml:space="preserve">/compliance/iso-27001/cost</w:t>
      </w:r>
      <w:r>
        <w:t xml:space="preserve"> </w:t>
      </w:r>
      <w:r>
        <w:t xml:space="preserve">— is in the previous implementation pack and does not need repeating here. Below is the copy for two more that were only outlined before.</w:t>
      </w:r>
    </w:p>
    <w:p>
      <w:r>
        <w:pict>
          <v:rect style="width:0;height:1.5pt" o:hralign="center" o:hrstd="t" o:hr="t"/>
        </w:pict>
      </w:r>
    </w:p>
    <w:bookmarkStart w:id="47" w:name="page-glossarymanaged-it-services"/>
    <w:p>
      <w:pPr>
        <w:pStyle w:val="Heading2"/>
      </w:pPr>
      <w:r>
        <w:t xml:space="preserve">PAGE — /glossary/managed-it-services</w:t>
      </w:r>
    </w:p>
    <w:p>
      <w:pPr>
        <w:pStyle w:val="FirstParagraph"/>
      </w:pPr>
      <w:r>
        <w:rPr>
          <w:bCs/>
          <w:b/>
        </w:rPr>
        <w:t xml:space="preserve">Meta title (48 chars):</w:t>
      </w:r>
      <w:r>
        <w:t xml:space="preserve"> </w:t>
      </w:r>
      <w:r>
        <w:t xml:space="preserve">What Are Managed IT Services? | Aadit Technologies</w:t>
      </w:r>
      <w:r>
        <w:t xml:space="preserve"> </w:t>
      </w:r>
      <w:r>
        <w:rPr>
          <w:bCs/>
          <w:b/>
        </w:rPr>
        <w:t xml:space="preserve">Meta description (147 chars):</w:t>
      </w:r>
      <w:r>
        <w:t xml:space="preserve"> </w:t>
      </w:r>
      <w:r>
        <w:t xml:space="preserve">Managed IT services explained: what is included, how pricing works, how it differs from break-fix support, and when outsourcing IT makes sense.</w:t>
      </w:r>
      <w:r>
        <w:t xml:space="preserve"> </w:t>
      </w:r>
      <w:r>
        <w:rPr>
          <w:bCs/>
          <w:b/>
        </w:rPr>
        <w:t xml:space="preserve">Target keyword:</w:t>
      </w:r>
      <w:r>
        <w:t xml:space="preserve"> </w:t>
      </w:r>
      <w:r>
        <w:t xml:space="preserve">what is managed it services (170), KD 32</w:t>
      </w:r>
      <w:r>
        <w:t xml:space="preserve"> </w:t>
      </w:r>
      <w:r>
        <w:rPr>
          <w:bCs/>
          <w:b/>
        </w:rPr>
        <w:t xml:space="preserve">Internal links:</w:t>
      </w:r>
      <w:r>
        <w:t xml:space="preserve"> </w:t>
      </w:r>
      <w:r>
        <w:t xml:space="preserve">/it-managed-services/managed-it-services · /it-managed-services/helpdesk-support · /glossary/soc · /it-managed-services</w:t>
      </w:r>
      <w:r>
        <w:t xml:space="preserve"> </w:t>
      </w:r>
      <w:r>
        <w:rPr>
          <w:bCs/>
          <w:b/>
        </w:rPr>
        <w:t xml:space="preserve">Schema:</w:t>
      </w:r>
      <w:r>
        <w:t xml:space="preserve"> </w:t>
      </w:r>
      <w:r>
        <w:t xml:space="preserve">DefinedTerm + FAQPage + BreadcrumbList — same template as the other glossary pages</w:t>
      </w:r>
    </w:p>
    <w:p>
      <w:pPr>
        <w:pStyle w:val="BodyText"/>
      </w:pPr>
      <w:r>
        <w:rPr>
          <w:bCs/>
          <w:b/>
        </w:rPr>
        <w:t xml:space="preserve">▼ COPY — paste everything between these markers</w:t>
      </w:r>
    </w:p>
    <w:bookmarkEnd w:id="47"/>
    <w:bookmarkEnd w:id="48"/>
    <w:bookmarkStart w:id="60" w:name="what-are-managed-it-services"/>
    <w:p>
      <w:pPr>
        <w:pStyle w:val="Heading1"/>
      </w:pPr>
      <w:r>
        <w:t xml:space="preserve">What Are Managed IT Services?</w:t>
      </w:r>
    </w:p>
    <w:p>
      <w:pPr>
        <w:pStyle w:val="FirstParagraph"/>
      </w:pPr>
      <w:r>
        <w:t xml:space="preserve">Managed IT services means outsourcing the day-to-day running of an organisation’s IT — monitoring, user support, patching, account and device management, backup and infrastructure operations — to a provider under an ongoing agreement with defined service levels, rather than paying for help each time something breaks.</w:t>
      </w:r>
    </w:p>
    <w:p>
      <w:pPr>
        <w:pStyle w:val="BodyText"/>
      </w:pPr>
      <w:r>
        <w:t xml:space="preserve">The defining characteristic is the commercial model. A managed service provider is paid a recurring fee to keep systems working, which means their incentive is to prevent problems. A break-fix provider is paid when something fails, which means their incentive runs the other way. That difference shapes everything about how the two operate.</w:t>
      </w:r>
    </w:p>
    <w:bookmarkStart w:id="50" w:name="what-is-included"/>
    <w:p>
      <w:pPr>
        <w:pStyle w:val="Heading2"/>
      </w:pPr>
      <w:r>
        <w:t xml:space="preserve">What is included</w:t>
      </w:r>
    </w:p>
    <w:p>
      <w:pPr>
        <w:pStyle w:val="FirstParagraph"/>
      </w:pPr>
      <w:r>
        <w:t xml:space="preserve">Scope varies by agreement, but a full managed IT service usually covers:</w:t>
      </w:r>
    </w:p>
    <w:p>
      <w:pPr>
        <w:numPr>
          <w:ilvl w:val="0"/>
          <w:numId w:val="1002"/>
        </w:numPr>
        <w:pStyle w:val="Compact"/>
      </w:pPr>
      <w:r>
        <w:rPr>
          <w:bCs/>
          <w:b/>
        </w:rPr>
        <w:t xml:space="preserve">Monitoring</w:t>
      </w:r>
      <w:r>
        <w:t xml:space="preserve"> </w:t>
      </w:r>
      <w:r>
        <w:t xml:space="preserve">— infrastructure health, application availability, backup success, certificate and licence expiry, with alerting to the provider rather than to you</w:t>
      </w:r>
    </w:p>
    <w:p>
      <w:pPr>
        <w:numPr>
          <w:ilvl w:val="0"/>
          <w:numId w:val="1002"/>
        </w:numPr>
        <w:pStyle w:val="Compact"/>
      </w:pPr>
      <w:r>
        <w:rPr>
          <w:bCs/>
          <w:b/>
        </w:rPr>
        <w:t xml:space="preserve">Help desk</w:t>
      </w:r>
      <w:r>
        <w:t xml:space="preserve"> </w:t>
      </w:r>
      <w:r>
        <w:t xml:space="preserve">— user support across devices, applications, access and connectivity, within defined response targets</w:t>
      </w:r>
    </w:p>
    <w:p>
      <w:pPr>
        <w:numPr>
          <w:ilvl w:val="0"/>
          <w:numId w:val="1002"/>
        </w:numPr>
        <w:pStyle w:val="Compact"/>
      </w:pPr>
      <w:r>
        <w:rPr>
          <w:bCs/>
          <w:b/>
        </w:rPr>
        <w:t xml:space="preserve">Patch and update management</w:t>
      </w:r>
      <w:r>
        <w:t xml:space="preserve"> </w:t>
      </w:r>
      <w:r>
        <w:t xml:space="preserve">— operating systems, applications and firmware on a schedule, with testing before deployment</w:t>
      </w:r>
    </w:p>
    <w:p>
      <w:pPr>
        <w:numPr>
          <w:ilvl w:val="0"/>
          <w:numId w:val="1002"/>
        </w:numPr>
        <w:pStyle w:val="Compact"/>
      </w:pPr>
      <w:r>
        <w:rPr>
          <w:bCs/>
          <w:b/>
        </w:rPr>
        <w:t xml:space="preserve">Identity and device management</w:t>
      </w:r>
      <w:r>
        <w:t xml:space="preserve"> </w:t>
      </w:r>
      <w:r>
        <w:t xml:space="preserve">— account provisioning and de-provisioning, access reviews, device enrolment and configuration</w:t>
      </w:r>
    </w:p>
    <w:p>
      <w:pPr>
        <w:numPr>
          <w:ilvl w:val="0"/>
          <w:numId w:val="1002"/>
        </w:numPr>
        <w:pStyle w:val="Compact"/>
      </w:pPr>
      <w:r>
        <w:rPr>
          <w:bCs/>
          <w:b/>
        </w:rPr>
        <w:t xml:space="preserve">Backup and recovery</w:t>
      </w:r>
      <w:r>
        <w:t xml:space="preserve"> </w:t>
      </w:r>
      <w:r>
        <w:t xml:space="preserve">— backup operation, monitoring, and periodic restore testing</w:t>
      </w:r>
    </w:p>
    <w:p>
      <w:pPr>
        <w:numPr>
          <w:ilvl w:val="0"/>
          <w:numId w:val="1002"/>
        </w:numPr>
        <w:pStyle w:val="Compact"/>
      </w:pPr>
      <w:r>
        <w:rPr>
          <w:bCs/>
          <w:b/>
        </w:rPr>
        <w:t xml:space="preserve">Infrastructure operations</w:t>
      </w:r>
      <w:r>
        <w:t xml:space="preserve"> </w:t>
      </w:r>
      <w:r>
        <w:t xml:space="preserve">— servers, networks and cloud resources, including capacity management</w:t>
      </w:r>
    </w:p>
    <w:p>
      <w:pPr>
        <w:numPr>
          <w:ilvl w:val="0"/>
          <w:numId w:val="1002"/>
        </w:numPr>
        <w:pStyle w:val="Compact"/>
      </w:pPr>
      <w:r>
        <w:rPr>
          <w:bCs/>
          <w:b/>
        </w:rPr>
        <w:t xml:space="preserve">Vendor coordination</w:t>
      </w:r>
      <w:r>
        <w:t xml:space="preserve"> </w:t>
      </w:r>
      <w:r>
        <w:t xml:space="preserve">— dealing with software and hardware vendors on your behalf</w:t>
      </w:r>
    </w:p>
    <w:p>
      <w:pPr>
        <w:numPr>
          <w:ilvl w:val="0"/>
          <w:numId w:val="1002"/>
        </w:numPr>
        <w:pStyle w:val="Compact"/>
      </w:pPr>
      <w:r>
        <w:rPr>
          <w:bCs/>
          <w:b/>
        </w:rPr>
        <w:t xml:space="preserve">Reporting</w:t>
      </w:r>
      <w:r>
        <w:t xml:space="preserve"> </w:t>
      </w:r>
      <w:r>
        <w:t xml:space="preserve">— service level performance, ticket volumes and trends, risks and recommendations</w:t>
      </w:r>
    </w:p>
    <w:p>
      <w:pPr>
        <w:pStyle w:val="FirstParagraph"/>
      </w:pPr>
      <w:r>
        <w:t xml:space="preserve">Security monitoring is a separate discipline. Some providers include basic security hygiene; detection and response belongs with a</w:t>
      </w:r>
      <w:r>
        <w:t xml:space="preserve"> </w:t>
      </w:r>
      <w:hyperlink r:id="rId49">
        <w:r>
          <w:rPr>
            <w:rStyle w:val="Hyperlink"/>
          </w:rPr>
          <w:t xml:space="preserve">security operations centre</w:t>
        </w:r>
      </w:hyperlink>
      <w:r>
        <w:t xml:space="preserve">, not a help desk.</w:t>
      </w:r>
    </w:p>
    <w:bookmarkEnd w:id="50"/>
    <w:bookmarkStart w:id="51" w:name="X5ad31c4698a56e0d8a1b1aee022c59b54e29d28"/>
    <w:p>
      <w:pPr>
        <w:pStyle w:val="Heading2"/>
      </w:pPr>
      <w:r>
        <w:t xml:space="preserve">How managed IT differs from the alternatives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Break-fix</w:t>
            </w:r>
          </w:p>
        </w:tc>
        <w:tc>
          <w:tcPr/>
          <w:p>
            <w:pPr>
              <w:pStyle w:val="Compact"/>
              <w:jc w:val="left"/>
            </w:pPr>
            <w:r>
              <w:t xml:space="preserve">Staff augmentation</w:t>
            </w:r>
          </w:p>
        </w:tc>
        <w:tc>
          <w:tcPr/>
          <w:p>
            <w:pPr>
              <w:pStyle w:val="Compact"/>
              <w:jc w:val="left"/>
            </w:pPr>
            <w:r>
              <w:t xml:space="preserve">Managed IT services</w:t>
            </w:r>
          </w:p>
        </w:tc>
      </w:tr>
      <w:tr>
        <w:tc>
          <w:tcPr/>
          <w:p>
            <w:pPr>
              <w:pStyle w:val="Compact"/>
              <w:jc w:val="left"/>
            </w:pPr>
            <w:r>
              <w:t xml:space="preserve">Commercial model</w:t>
            </w:r>
          </w:p>
        </w:tc>
        <w:tc>
          <w:tcPr/>
          <w:p>
            <w:pPr>
              <w:pStyle w:val="Compact"/>
              <w:jc w:val="left"/>
            </w:pPr>
            <w:r>
              <w:t xml:space="preserve">Per incident or hourly</w:t>
            </w:r>
          </w:p>
        </w:tc>
        <w:tc>
          <w:tcPr/>
          <w:p>
            <w:pPr>
              <w:pStyle w:val="Compact"/>
              <w:jc w:val="left"/>
            </w:pPr>
            <w:r>
              <w:t xml:space="preserve">Per person per month</w:t>
            </w:r>
          </w:p>
        </w:tc>
        <w:tc>
          <w:tcPr/>
          <w:p>
            <w:pPr>
              <w:pStyle w:val="Compact"/>
              <w:jc w:val="left"/>
            </w:pPr>
            <w:r>
              <w:t xml:space="preserve">Recurring fee for defined scope</w:t>
            </w:r>
          </w:p>
        </w:tc>
      </w:tr>
      <w:tr>
        <w:tc>
          <w:tcPr/>
          <w:p>
            <w:pPr>
              <w:pStyle w:val="Compact"/>
              <w:jc w:val="left"/>
            </w:pPr>
            <w:r>
              <w:t xml:space="preserve">Provider’s incentive</w:t>
            </w:r>
          </w:p>
        </w:tc>
        <w:tc>
          <w:tcPr/>
          <w:p>
            <w:pPr>
              <w:pStyle w:val="Compact"/>
              <w:jc w:val="left"/>
            </w:pPr>
            <w:r>
              <w:t xml:space="preserve">More incidents</w:t>
            </w:r>
          </w:p>
        </w:tc>
        <w:tc>
          <w:tcPr/>
          <w:p>
            <w:pPr>
              <w:pStyle w:val="Compact"/>
              <w:jc w:val="left"/>
            </w:pPr>
            <w:r>
              <w:t xml:space="preserve">Longer placement</w:t>
            </w:r>
          </w:p>
        </w:tc>
        <w:tc>
          <w:tcPr/>
          <w:p>
            <w:pPr>
              <w:pStyle w:val="Compact"/>
              <w:jc w:val="left"/>
            </w:pPr>
            <w:r>
              <w:t xml:space="preserve">Fewer incidents</w:t>
            </w:r>
          </w:p>
        </w:tc>
      </w:tr>
      <w:tr>
        <w:tc>
          <w:tcPr/>
          <w:p>
            <w:pPr>
              <w:pStyle w:val="Compact"/>
              <w:jc w:val="left"/>
            </w:pPr>
            <w:r>
              <w:t xml:space="preserve">Coverage</w:t>
            </w:r>
          </w:p>
        </w:tc>
        <w:tc>
          <w:tcPr/>
          <w:p>
            <w:pPr>
              <w:pStyle w:val="Compact"/>
              <w:jc w:val="left"/>
            </w:pPr>
            <w:r>
              <w:t xml:space="preserve">When you call</w:t>
            </w:r>
          </w:p>
        </w:tc>
        <w:tc>
          <w:tcPr/>
          <w:p>
            <w:pPr>
              <w:pStyle w:val="Compact"/>
              <w:jc w:val="left"/>
            </w:pPr>
            <w:r>
              <w:t xml:space="preserve">Working hours of the individual</w:t>
            </w:r>
          </w:p>
        </w:tc>
        <w:tc>
          <w:tcPr/>
          <w:p>
            <w:pPr>
              <w:pStyle w:val="Compact"/>
              <w:jc w:val="left"/>
            </w:pPr>
            <w:r>
              <w:t xml:space="preserve">Defined, often 24/7</w:t>
            </w:r>
          </w:p>
        </w:tc>
      </w:tr>
      <w:tr>
        <w:tc>
          <w:tcPr/>
          <w:p>
            <w:pPr>
              <w:pStyle w:val="Compact"/>
              <w:jc w:val="left"/>
            </w:pPr>
            <w:r>
              <w:t xml:space="preserve">Accountability</w:t>
            </w:r>
          </w:p>
        </w:tc>
        <w:tc>
          <w:tcPr/>
          <w:p>
            <w:pPr>
              <w:pStyle w:val="Compact"/>
              <w:jc w:val="left"/>
            </w:pPr>
            <w:r>
              <w:t xml:space="preserve">For the ticket</w:t>
            </w:r>
          </w:p>
        </w:tc>
        <w:tc>
          <w:tcPr/>
          <w:p>
            <w:pPr>
              <w:pStyle w:val="Compact"/>
              <w:jc w:val="left"/>
            </w:pPr>
            <w:r>
              <w:t xml:space="preserve">For the hours worked</w:t>
            </w:r>
          </w:p>
        </w:tc>
        <w:tc>
          <w:tcPr/>
          <w:p>
            <w:pPr>
              <w:pStyle w:val="Compact"/>
              <w:jc w:val="left"/>
            </w:pPr>
            <w:r>
              <w:t xml:space="preserve">For the service level</w:t>
            </w:r>
          </w:p>
        </w:tc>
      </w:tr>
      <w:tr>
        <w:tc>
          <w:tcPr/>
          <w:p>
            <w:pPr>
              <w:pStyle w:val="Compact"/>
              <w:jc w:val="left"/>
            </w:pPr>
            <w:r>
              <w:t xml:space="preserve">Best for</w:t>
            </w:r>
          </w:p>
        </w:tc>
        <w:tc>
          <w:tcPr/>
          <w:p>
            <w:pPr>
              <w:pStyle w:val="Compact"/>
              <w:jc w:val="left"/>
            </w:pPr>
            <w:r>
              <w:t xml:space="preserve">Very small environments</w:t>
            </w:r>
          </w:p>
        </w:tc>
        <w:tc>
          <w:tcPr/>
          <w:p>
            <w:pPr>
              <w:pStyle w:val="Compact"/>
              <w:jc w:val="left"/>
            </w:pPr>
            <w:r>
              <w:t xml:space="preserve">Filling a specific skills gap</w:t>
            </w:r>
          </w:p>
        </w:tc>
        <w:tc>
          <w:tcPr/>
          <w:p>
            <w:pPr>
              <w:pStyle w:val="Compact"/>
              <w:jc w:val="left"/>
            </w:pPr>
            <w:r>
              <w:t xml:space="preserve">Ongoing operations at scale</w:t>
            </w:r>
          </w:p>
        </w:tc>
      </w:tr>
    </w:tbl>
    <w:bookmarkEnd w:id="51"/>
    <w:bookmarkStart w:id="52" w:name="who-needs-managed-it-services"/>
    <w:p>
      <w:pPr>
        <w:pStyle w:val="Heading2"/>
      </w:pPr>
      <w:r>
        <w:t xml:space="preserve">Who needs managed IT services</w:t>
      </w:r>
    </w:p>
    <w:p>
      <w:pPr>
        <w:numPr>
          <w:ilvl w:val="0"/>
          <w:numId w:val="1003"/>
        </w:numPr>
        <w:pStyle w:val="Compact"/>
      </w:pPr>
      <w:r>
        <w:rPr>
          <w:bCs/>
          <w:b/>
        </w:rPr>
        <w:t xml:space="preserve">Organisations that need coverage outside office hours</w:t>
      </w:r>
      <w:r>
        <w:t xml:space="preserve"> </w:t>
      </w:r>
      <w:r>
        <w:t xml:space="preserve">but cannot justify staffing shifts internally</w:t>
      </w:r>
    </w:p>
    <w:p>
      <w:pPr>
        <w:numPr>
          <w:ilvl w:val="0"/>
          <w:numId w:val="1003"/>
        </w:numPr>
        <w:pStyle w:val="Compact"/>
      </w:pPr>
      <w:r>
        <w:rPr>
          <w:bCs/>
          <w:b/>
        </w:rPr>
        <w:t xml:space="preserve">Growing companies</w:t>
      </w:r>
      <w:r>
        <w:t xml:space="preserve"> </w:t>
      </w:r>
      <w:r>
        <w:t xml:space="preserve">whose internal IT spends more time on operations than on work that moves the business</w:t>
      </w:r>
    </w:p>
    <w:p>
      <w:pPr>
        <w:numPr>
          <w:ilvl w:val="0"/>
          <w:numId w:val="1003"/>
        </w:numPr>
        <w:pStyle w:val="Compact"/>
      </w:pPr>
      <w:r>
        <w:rPr>
          <w:bCs/>
          <w:b/>
        </w:rPr>
        <w:t xml:space="preserve">Companies with compliance obligations</w:t>
      </w:r>
      <w:r>
        <w:t xml:space="preserve"> </w:t>
      </w:r>
      <w:r>
        <w:t xml:space="preserve">that require evidenced patching, access control and backup testing</w:t>
      </w:r>
    </w:p>
    <w:p>
      <w:pPr>
        <w:numPr>
          <w:ilvl w:val="0"/>
          <w:numId w:val="1003"/>
        </w:numPr>
        <w:pStyle w:val="Compact"/>
      </w:pPr>
      <w:r>
        <w:rPr>
          <w:bCs/>
          <w:b/>
        </w:rPr>
        <w:t xml:space="preserve">Distributed organisations</w:t>
      </w:r>
      <w:r>
        <w:t xml:space="preserve"> </w:t>
      </w:r>
      <w:r>
        <w:t xml:space="preserve">where users across multiple sites or countries need consistent support</w:t>
      </w:r>
    </w:p>
    <w:p>
      <w:pPr>
        <w:numPr>
          <w:ilvl w:val="0"/>
          <w:numId w:val="1003"/>
        </w:numPr>
        <w:pStyle w:val="Compact"/>
      </w:pPr>
      <w:r>
        <w:rPr>
          <w:bCs/>
          <w:b/>
        </w:rPr>
        <w:t xml:space="preserve">Companies in transition</w:t>
      </w:r>
      <w:r>
        <w:t xml:space="preserve"> </w:t>
      </w:r>
      <w:r>
        <w:t xml:space="preserve">— post-acquisition, mid-migration, or between internal IT leaders</w:t>
      </w:r>
    </w:p>
    <w:bookmarkEnd w:id="52"/>
    <w:bookmarkStart w:id="53" w:name="how-managed-it-services-are-priced"/>
    <w:p>
      <w:pPr>
        <w:pStyle w:val="Heading2"/>
      </w:pPr>
      <w:r>
        <w:t xml:space="preserve">How managed IT services are priced</w:t>
      </w:r>
    </w:p>
    <w:p>
      <w:pPr>
        <w:pStyle w:val="FirstParagraph"/>
      </w:pPr>
      <w:r>
        <w:t xml:space="preserve">Most agreements price per user or per device per month, sometimes with a separate charge for servers and infrastructure. Watch for what sits outside the recurring fee: project work, onboarding, after-hours support if the base tier is business hours only, and on-site visits. A per-user price is only comparable between providers when the exclusions are the same.</w:t>
      </w:r>
    </w:p>
    <w:bookmarkEnd w:id="53"/>
    <w:bookmarkStart w:id="54" w:name="what-to-check-before-signing"/>
    <w:p>
      <w:pPr>
        <w:pStyle w:val="Heading2"/>
      </w:pPr>
      <w:r>
        <w:t xml:space="preserve">What to check before signing</w:t>
      </w:r>
    </w:p>
    <w:p>
      <w:pPr>
        <w:numPr>
          <w:ilvl w:val="0"/>
          <w:numId w:val="1004"/>
        </w:numPr>
        <w:pStyle w:val="Compact"/>
      </w:pPr>
      <w:r>
        <w:rPr>
          <w:bCs/>
          <w:b/>
        </w:rPr>
        <w:t xml:space="preserve">Service levels</w:t>
      </w:r>
      <w:r>
        <w:t xml:space="preserve"> </w:t>
      </w:r>
      <w:r>
        <w:t xml:space="preserve">— response and resolution targets by severity, and what happens when they are missed</w:t>
      </w:r>
    </w:p>
    <w:p>
      <w:pPr>
        <w:numPr>
          <w:ilvl w:val="0"/>
          <w:numId w:val="1004"/>
        </w:numPr>
        <w:pStyle w:val="Compact"/>
      </w:pPr>
      <w:r>
        <w:rPr>
          <w:bCs/>
          <w:b/>
        </w:rPr>
        <w:t xml:space="preserve">Coverage hours</w:t>
      </w:r>
      <w:r>
        <w:t xml:space="preserve"> </w:t>
      </w:r>
      <w:r>
        <w:t xml:space="preserve">— whether 24/7 means a staffed desk or an on-call engineer</w:t>
      </w:r>
    </w:p>
    <w:p>
      <w:pPr>
        <w:numPr>
          <w:ilvl w:val="0"/>
          <w:numId w:val="1004"/>
        </w:numPr>
        <w:pStyle w:val="Compact"/>
      </w:pPr>
      <w:r>
        <w:rPr>
          <w:bCs/>
          <w:b/>
        </w:rPr>
        <w:t xml:space="preserve">Escalation path</w:t>
      </w:r>
      <w:r>
        <w:t xml:space="preserve"> </w:t>
      </w:r>
      <w:r>
        <w:t xml:space="preserve">— who you reach at 2am and how quickly</w:t>
      </w:r>
    </w:p>
    <w:p>
      <w:pPr>
        <w:numPr>
          <w:ilvl w:val="0"/>
          <w:numId w:val="1004"/>
        </w:numPr>
        <w:pStyle w:val="Compact"/>
      </w:pPr>
      <w:r>
        <w:rPr>
          <w:bCs/>
          <w:b/>
        </w:rPr>
        <w:t xml:space="preserve">Security of their access</w:t>
      </w:r>
      <w:r>
        <w:t xml:space="preserve"> </w:t>
      </w:r>
      <w:r>
        <w:t xml:space="preserve">— a provider holds privileged access to your environment; ask how that access is controlled, logged and reviewed</w:t>
      </w:r>
    </w:p>
    <w:p>
      <w:pPr>
        <w:numPr>
          <w:ilvl w:val="0"/>
          <w:numId w:val="1004"/>
        </w:numPr>
        <w:pStyle w:val="Compact"/>
      </w:pPr>
      <w:r>
        <w:rPr>
          <w:bCs/>
          <w:b/>
        </w:rPr>
        <w:t xml:space="preserve">Reporting</w:t>
      </w:r>
      <w:r>
        <w:t xml:space="preserve"> </w:t>
      </w:r>
      <w:r>
        <w:t xml:space="preserve">— what you receive monthly, and whether it is useful to leadership</w:t>
      </w:r>
    </w:p>
    <w:p>
      <w:pPr>
        <w:numPr>
          <w:ilvl w:val="0"/>
          <w:numId w:val="1004"/>
        </w:numPr>
        <w:pStyle w:val="Compact"/>
      </w:pPr>
      <w:r>
        <w:rPr>
          <w:bCs/>
          <w:b/>
        </w:rPr>
        <w:t xml:space="preserve">Exit terms</w:t>
      </w:r>
      <w:r>
        <w:t xml:space="preserve"> </w:t>
      </w:r>
      <w:r>
        <w:t xml:space="preserve">— how documentation, credentials and data come back to you</w:t>
      </w:r>
    </w:p>
    <w:bookmarkEnd w:id="54"/>
    <w:bookmarkStart w:id="55" w:name="common-misconceptions"/>
    <w:p>
      <w:pPr>
        <w:pStyle w:val="Heading2"/>
      </w:pPr>
      <w:r>
        <w:t xml:space="preserve">Common misconceptions</w:t>
      </w:r>
    </w:p>
    <w:p>
      <w:pPr>
        <w:pStyle w:val="FirstParagraph"/>
      </w:pPr>
      <w:r>
        <w:rPr>
          <w:bCs/>
          <w:b/>
        </w:rPr>
        <w:t xml:space="preserve">“</w:t>
      </w:r>
      <w:r>
        <w:rPr>
          <w:bCs/>
          <w:b/>
        </w:rPr>
        <w:t xml:space="preserve">It means replacing our IT team.</w:t>
      </w:r>
      <w:r>
        <w:rPr>
          <w:bCs/>
          <w:b/>
        </w:rPr>
        <w:t xml:space="preserve">”</w:t>
      </w:r>
      <w:r>
        <w:t xml:space="preserve"> </w:t>
      </w:r>
      <w:r>
        <w:t xml:space="preserve">The usual model is co-managed: the provider runs monitoring, help desk and routine operations; the internal team keeps architecture, vendor strategy and business-specific work.</w:t>
      </w:r>
    </w:p>
    <w:p>
      <w:pPr>
        <w:pStyle w:val="BodyText"/>
      </w:pPr>
      <w:r>
        <w:rPr>
          <w:bCs/>
          <w:b/>
        </w:rPr>
        <w:t xml:space="preserve">“</w:t>
      </w:r>
      <w:r>
        <w:rPr>
          <w:bCs/>
          <w:b/>
        </w:rPr>
        <w:t xml:space="preserve">It’s only for companies without IT staff.</w:t>
      </w:r>
      <w:r>
        <w:rPr>
          <w:bCs/>
          <w:b/>
        </w:rPr>
        <w:t xml:space="preserve">”</w:t>
      </w:r>
      <w:r>
        <w:t xml:space="preserve"> </w:t>
      </w:r>
      <w:r>
        <w:t xml:space="preserve">Organisations with substantial internal teams use managed services precisely to free those teams from operational load.</w:t>
      </w:r>
    </w:p>
    <w:p>
      <w:pPr>
        <w:pStyle w:val="BodyText"/>
      </w:pPr>
      <w:r>
        <w:rPr>
          <w:bCs/>
          <w:b/>
        </w:rPr>
        <w:t xml:space="preserve">“</w:t>
      </w:r>
      <w:r>
        <w:rPr>
          <w:bCs/>
          <w:b/>
        </w:rPr>
        <w:t xml:space="preserve">It covers security.</w:t>
      </w:r>
      <w:r>
        <w:rPr>
          <w:bCs/>
          <w:b/>
        </w:rPr>
        <w:t xml:space="preserve">”</w:t>
      </w:r>
      <w:r>
        <w:t xml:space="preserve"> </w:t>
      </w:r>
      <w:r>
        <w:t xml:space="preserve">Managed IT and managed security are different services with different skills. Assume security monitoring is excluded unless the agreement says otherwise.</w:t>
      </w:r>
    </w:p>
    <w:p>
      <w:pPr>
        <w:pStyle w:val="BodyText"/>
      </w:pPr>
      <w:r>
        <w:rPr>
          <w:bCs/>
          <w:b/>
        </w:rPr>
        <w:t xml:space="preserve">“</w:t>
      </w:r>
      <w:r>
        <w:rPr>
          <w:bCs/>
          <w:b/>
        </w:rPr>
        <w:t xml:space="preserve">The cheapest per-user price wins.</w:t>
      </w:r>
      <w:r>
        <w:rPr>
          <w:bCs/>
          <w:b/>
        </w:rPr>
        <w:t xml:space="preserve">”</w:t>
      </w:r>
      <w:r>
        <w:t xml:space="preserve"> </w:t>
      </w:r>
      <w:r>
        <w:t xml:space="preserve">Per-user pricing is only comparable when scope, coverage hours and exclusions match. They rarely do.</w:t>
      </w:r>
    </w:p>
    <w:bookmarkEnd w:id="55"/>
    <w:bookmarkStart w:id="58" w:name="frequently-asked-questions"/>
    <w:p>
      <w:pPr>
        <w:pStyle w:val="Heading2"/>
      </w:pPr>
      <w:r>
        <w:t xml:space="preserve">Frequently asked questions</w:t>
      </w:r>
    </w:p>
    <w:p>
      <w:pPr>
        <w:pStyle w:val="FirstParagraph"/>
      </w:pPr>
      <w:r>
        <w:rPr>
          <w:bCs/>
          <w:b/>
        </w:rPr>
        <w:t xml:space="preserve">What is included in managed IT services?</w:t>
      </w:r>
      <w:r>
        <w:t xml:space="preserve"> </w:t>
      </w:r>
      <w:r>
        <w:t xml:space="preserve">Typically monitoring, help desk support, patch management, identity and device management, backup operation and testing, infrastructure operations, vendor coordination and reporting — all under defined service levels for a recurring fee.</w:t>
      </w:r>
    </w:p>
    <w:p>
      <w:pPr>
        <w:pStyle w:val="BodyText"/>
      </w:pPr>
      <w:r>
        <w:rPr>
          <w:bCs/>
          <w:b/>
        </w:rPr>
        <w:t xml:space="preserve">What is the difference between managed IT services and break-fix support?</w:t>
      </w:r>
      <w:r>
        <w:t xml:space="preserve"> </w:t>
      </w:r>
      <w:r>
        <w:t xml:space="preserve">Break-fix charges per incident, so the provider earns more when things go wrong. Managed services charge a recurring fee for a defined scope, so the provider earns more when things keep working. Coverage, accountability and reporting differ accordingly.</w:t>
      </w:r>
    </w:p>
    <w:p>
      <w:pPr>
        <w:pStyle w:val="BodyText"/>
      </w:pPr>
      <w:r>
        <w:rPr>
          <w:bCs/>
          <w:b/>
        </w:rPr>
        <w:t xml:space="preserve">How are managed IT services priced?</w:t>
      </w:r>
      <w:r>
        <w:t xml:space="preserve"> </w:t>
      </w:r>
      <w:r>
        <w:t xml:space="preserve">Usually per user or per device per month, sometimes with separate charges for servers and infrastructure. Project work, onboarding and after-hours support may sit outside the recurring fee, so compare exclusions rather than headline rates.</w:t>
      </w:r>
    </w:p>
    <w:p>
      <w:pPr>
        <w:pStyle w:val="BodyText"/>
      </w:pPr>
      <w:r>
        <w:rPr>
          <w:bCs/>
          <w:b/>
        </w:rPr>
        <w:t xml:space="preserve">Do managed IT services include cybersecurity?</w:t>
      </w:r>
      <w:r>
        <w:t xml:space="preserve"> </w:t>
      </w:r>
      <w:r>
        <w:t xml:space="preserve">Not by default. Managed IT covers operations; security monitoring and incident response are a separate discipline delivered by a security operations centre. Some providers offer both, but confirm what the agreement actually includes.</w:t>
      </w:r>
    </w:p>
    <w:p>
      <w:pPr>
        <w:pStyle w:val="BodyText"/>
      </w:pPr>
      <w:r>
        <w:rPr>
          <w:bCs/>
          <w:b/>
        </w:rPr>
        <w:t xml:space="preserve">Will we lose control of our IT?</w:t>
      </w:r>
      <w:r>
        <w:t xml:space="preserve"> </w:t>
      </w:r>
      <w:r>
        <w:t xml:space="preserve">No, if the agreement is structured properly. You retain ownership of systems, data and decisions. The provider operates within an agreed scope and reports against it. Exit terms covering documentation and credential handover are what protect this in practice.</w:t>
      </w:r>
    </w:p>
    <w:p>
      <w:pPr>
        <w:pStyle w:val="BodyText"/>
      </w:pPr>
      <w:r>
        <w:rPr>
          <w:bCs/>
          <w:b/>
        </w:rPr>
        <w:t xml:space="preserve">Related:</w:t>
      </w:r>
      <w:r>
        <w:t xml:space="preserve"> </w:t>
      </w:r>
      <w:hyperlink r:id="rId56">
        <w:r>
          <w:rPr>
            <w:rStyle w:val="Hyperlink"/>
          </w:rPr>
          <w:t xml:space="preserve">Managed IT services</w:t>
        </w:r>
      </w:hyperlink>
      <w:r>
        <w:t xml:space="preserve"> </w:t>
      </w:r>
      <w:r>
        <w:t xml:space="preserve">·</w:t>
      </w:r>
      <w:r>
        <w:t xml:space="preserve"> </w:t>
      </w:r>
      <w:hyperlink r:id="rId57">
        <w:r>
          <w:rPr>
            <w:rStyle w:val="Hyperlink"/>
          </w:rPr>
          <w:t xml:space="preserve">Help desk and support</w:t>
        </w:r>
      </w:hyperlink>
      <w:r>
        <w:t xml:space="preserve"> </w:t>
      </w:r>
      <w:r>
        <w:t xml:space="preserve">·</w:t>
      </w:r>
      <w:r>
        <w:t xml:space="preserve"> </w:t>
      </w:r>
      <w:hyperlink r:id="rId49">
        <w:r>
          <w:rPr>
            <w:rStyle w:val="Hyperlink"/>
          </w:rPr>
          <w:t xml:space="preserve">SOC</w:t>
        </w:r>
      </w:hyperlink>
    </w:p>
    <w:p>
      <w:pPr>
        <w:pStyle w:val="BodyText"/>
      </w:pPr>
      <w:r>
        <w:rPr>
          <w:bCs/>
          <w:b/>
        </w:rPr>
        <w:t xml:space="preserve">▲ END OF COPY</w:t>
      </w:r>
    </w:p>
    <w:p>
      <w:r>
        <w:pict>
          <v:rect style="width:0;height:1.5pt" o:hralign="center" o:hrstd="t" o:hr="t"/>
        </w:pict>
      </w:r>
    </w:p>
    <w:bookmarkEnd w:id="58"/>
    <w:bookmarkStart w:id="59" w:name="page-resourcessoc-2-checklist"/>
    <w:p>
      <w:pPr>
        <w:pStyle w:val="Heading2"/>
      </w:pPr>
      <w:r>
        <w:t xml:space="preserve">PAGE — /resources/soc-2-checklist</w:t>
      </w:r>
    </w:p>
    <w:p>
      <w:pPr>
        <w:pStyle w:val="FirstParagraph"/>
      </w:pPr>
      <w:r>
        <w:rPr>
          <w:bCs/>
          <w:b/>
        </w:rPr>
        <w:t xml:space="preserve">Meta title (46 chars):</w:t>
      </w:r>
      <w:r>
        <w:t xml:space="preserve"> </w:t>
      </w:r>
      <w:r>
        <w:t xml:space="preserve">SOC 2 Readiness Checklist | Aadit Technologies</w:t>
      </w:r>
      <w:r>
        <w:t xml:space="preserve"> </w:t>
      </w:r>
      <w:r>
        <w:rPr>
          <w:bCs/>
          <w:b/>
        </w:rPr>
        <w:t xml:space="preserve">Meta description (151 chars):</w:t>
      </w:r>
      <w:r>
        <w:t xml:space="preserve"> </w:t>
      </w:r>
      <w:r>
        <w:t xml:space="preserve">A practical SOC 2 readiness checklist: the controls auditors examine, the evidence you need to collect, and the sequence that avoids a failed audit.</w:t>
      </w:r>
      <w:r>
        <w:t xml:space="preserve"> </w:t>
      </w:r>
      <w:r>
        <w:rPr>
          <w:bCs/>
          <w:b/>
        </w:rPr>
        <w:t xml:space="preserve">Target keyword:</w:t>
      </w:r>
      <w:r>
        <w:t xml:space="preserve"> </w:t>
      </w:r>
      <w:r>
        <w:t xml:space="preserve">soc 2 compliance checklist (140), KD 33 — the only SOC 2 keyword under KD 40</w:t>
      </w:r>
      <w:r>
        <w:t xml:space="preserve"> </w:t>
      </w:r>
      <w:r>
        <w:rPr>
          <w:bCs/>
          <w:b/>
        </w:rPr>
        <w:t xml:space="preserve">Internal links:</w:t>
      </w:r>
      <w:r>
        <w:t xml:space="preserve"> </w:t>
      </w:r>
      <w:r>
        <w:t xml:space="preserve">/compliance/soc2 · /glossary/soc-2 · /compare/soc-2-vs-iso-27001 · /cybersecurity/vapt · /contact</w:t>
      </w:r>
      <w:r>
        <w:t xml:space="preserve"> </w:t>
      </w:r>
      <w:r>
        <w:rPr>
          <w:bCs/>
          <w:b/>
        </w:rPr>
        <w:t xml:space="preserve">Schema:</w:t>
      </w:r>
      <w:r>
        <w:t xml:space="preserve"> </w:t>
      </w:r>
      <w:r>
        <w:t xml:space="preserve">Article + FAQPage + BreadcrumbList</w:t>
      </w:r>
    </w:p>
    <w:p>
      <w:pPr>
        <w:pStyle w:val="BodyText"/>
      </w:pPr>
      <w:r>
        <w:rPr>
          <w:bCs/>
          <w:b/>
        </w:rPr>
        <w:t xml:space="preserve">▼ COPY — paste everything between these markers</w:t>
      </w:r>
    </w:p>
    <w:bookmarkEnd w:id="59"/>
    <w:bookmarkEnd w:id="60"/>
    <w:bookmarkStart w:id="79" w:name="soc-2-readiness-checklist"/>
    <w:p>
      <w:pPr>
        <w:pStyle w:val="Heading1"/>
      </w:pPr>
      <w:r>
        <w:t xml:space="preserve">SOC 2 Readiness Checklist</w:t>
      </w:r>
    </w:p>
    <w:p>
      <w:pPr>
        <w:pStyle w:val="FirstParagraph"/>
      </w:pPr>
      <w:r>
        <w:t xml:space="preserve">A SOC 2 audit examines whether your controls were designed appropriately and, in a Type II, whether they operated effectively across a defined period. Readiness is therefore two things: having the controls, and being able to evidence that they ran. Most organisations have more of the first than the second.</w:t>
      </w:r>
    </w:p>
    <w:p>
      <w:pPr>
        <w:pStyle w:val="BodyText"/>
      </w:pPr>
      <w:r>
        <w:t xml:space="preserve">This checklist covers what to put in place before an auditor arrives, in the order that avoids rework.</w:t>
      </w:r>
    </w:p>
    <w:bookmarkStart w:id="61" w:name="before-you-start-three-decisions"/>
    <w:p>
      <w:pPr>
        <w:pStyle w:val="Heading2"/>
      </w:pPr>
      <w:r>
        <w:t xml:space="preserve">Before you start: three decisions</w:t>
      </w:r>
    </w:p>
    <w:p>
      <w:pPr>
        <w:pStyle w:val="FirstParagraph"/>
      </w:pPr>
      <w:r>
        <w:rPr>
          <w:bCs/>
          <w:b/>
        </w:rPr>
        <w:t xml:space="preserve">1. Which Trust Services Criteria apply.</w:t>
      </w:r>
      <w:r>
        <w:t xml:space="preserve"> </w:t>
      </w:r>
      <w:r>
        <w:t xml:space="preserve">Security is mandatory. Availability, Processing Integrity, Confidentiality and Privacy are optional and each adds scope, controls and evidence. Include one only if a customer has asked for it or your service genuinely depends on it.</w:t>
      </w:r>
    </w:p>
    <w:p>
      <w:pPr>
        <w:pStyle w:val="BodyText"/>
      </w:pPr>
      <w:r>
        <w:rPr>
          <w:bCs/>
          <w:b/>
        </w:rPr>
        <w:t xml:space="preserve">2. Type I or Type II.</w:t>
      </w:r>
      <w:r>
        <w:t xml:space="preserve"> </w:t>
      </w:r>
      <w:r>
        <w:t xml:space="preserve">Type I tests design at a point in time. Type II tests operating effectiveness across a period, commonly three to twelve months. Type II is what enterprise buyers usually mean, and the observation window cannot be shortened.</w:t>
      </w:r>
    </w:p>
    <w:p>
      <w:pPr>
        <w:pStyle w:val="BodyText"/>
      </w:pPr>
      <w:r>
        <w:rPr>
          <w:bCs/>
          <w:b/>
        </w:rPr>
        <w:t xml:space="preserve">3. Scope.</w:t>
      </w:r>
      <w:r>
        <w:t xml:space="preserve"> </w:t>
      </w:r>
      <w:r>
        <w:t xml:space="preserve">Which systems, which environments, which team. Narrower scope means less evidence, fewer controls and a faster audit. Scope to the service your customer is buying.</w:t>
      </w:r>
    </w:p>
    <w:bookmarkEnd w:id="61"/>
    <w:bookmarkStart w:id="62" w:name="governance-and-risk"/>
    <w:p>
      <w:pPr>
        <w:pStyle w:val="Heading2"/>
      </w:pPr>
      <w:r>
        <w:t xml:space="preserve">Governance and risk</w:t>
      </w:r>
    </w:p>
    <w:p>
      <w:pPr>
        <w:numPr>
          <w:ilvl w:val="0"/>
          <w:numId w:val="1005"/>
        </w:numPr>
        <w:pStyle w:val="Compact"/>
      </w:pPr>
      <w:r>
        <w:t xml:space="preserve">☐ A named owner for the SOC 2 programme, with authority and budget</w:t>
      </w:r>
    </w:p>
    <w:p>
      <w:pPr>
        <w:numPr>
          <w:ilvl w:val="0"/>
          <w:numId w:val="1005"/>
        </w:numPr>
        <w:pStyle w:val="Compact"/>
      </w:pPr>
      <w:r>
        <w:t xml:space="preserve">☐ Information security policy, approved by management and reviewed annually</w:t>
      </w:r>
    </w:p>
    <w:p>
      <w:pPr>
        <w:numPr>
          <w:ilvl w:val="0"/>
          <w:numId w:val="1005"/>
        </w:numPr>
        <w:pStyle w:val="Compact"/>
      </w:pPr>
      <w:r>
        <w:t xml:space="preserve">☐ Risk assessment completed, documented, with treatment decisions recorded</w:t>
      </w:r>
    </w:p>
    <w:p>
      <w:pPr>
        <w:numPr>
          <w:ilvl w:val="0"/>
          <w:numId w:val="1005"/>
        </w:numPr>
        <w:pStyle w:val="Compact"/>
      </w:pPr>
      <w:r>
        <w:t xml:space="preserve">☐ Organisation chart and defined security responsibilities</w:t>
      </w:r>
    </w:p>
    <w:p>
      <w:pPr>
        <w:numPr>
          <w:ilvl w:val="0"/>
          <w:numId w:val="1005"/>
        </w:numPr>
        <w:pStyle w:val="Compact"/>
      </w:pPr>
      <w:r>
        <w:t xml:space="preserve">☐ Board or management oversight of security, with meeting records</w:t>
      </w:r>
    </w:p>
    <w:p>
      <w:pPr>
        <w:numPr>
          <w:ilvl w:val="0"/>
          <w:numId w:val="1005"/>
        </w:numPr>
        <w:pStyle w:val="Compact"/>
      </w:pPr>
      <w:r>
        <w:t xml:space="preserve">☐ Vendor risk management process, with assessments on record for critical vendors</w:t>
      </w:r>
    </w:p>
    <w:p>
      <w:pPr>
        <w:numPr>
          <w:ilvl w:val="0"/>
          <w:numId w:val="1005"/>
        </w:numPr>
        <w:pStyle w:val="Compact"/>
      </w:pPr>
      <w:r>
        <w:t xml:space="preserve">☐ Confidentiality agreements in place with employees and contractors</w:t>
      </w:r>
    </w:p>
    <w:bookmarkEnd w:id="62"/>
    <w:bookmarkStart w:id="63" w:name="access-control"/>
    <w:p>
      <w:pPr>
        <w:pStyle w:val="Heading2"/>
      </w:pPr>
      <w:r>
        <w:t xml:space="preserve">Access control</w:t>
      </w:r>
    </w:p>
    <w:p>
      <w:pPr>
        <w:numPr>
          <w:ilvl w:val="0"/>
          <w:numId w:val="1006"/>
        </w:numPr>
        <w:pStyle w:val="Compact"/>
      </w:pPr>
      <w:r>
        <w:t xml:space="preserve">☐ Single sign-on in place wherever supported</w:t>
      </w:r>
    </w:p>
    <w:p>
      <w:pPr>
        <w:numPr>
          <w:ilvl w:val="0"/>
          <w:numId w:val="1006"/>
        </w:numPr>
        <w:pStyle w:val="Compact"/>
      </w:pPr>
      <w:r>
        <w:t xml:space="preserve">☐ Multi-factor authentication enforced on all accounts, including administrative and service accounts</w:t>
      </w:r>
    </w:p>
    <w:p>
      <w:pPr>
        <w:numPr>
          <w:ilvl w:val="0"/>
          <w:numId w:val="1006"/>
        </w:numPr>
        <w:pStyle w:val="Compact"/>
      </w:pPr>
      <w:r>
        <w:t xml:space="preserve">☐ Documented joiner, mover and leaver process, with evidence of execution</w:t>
      </w:r>
    </w:p>
    <w:p>
      <w:pPr>
        <w:numPr>
          <w:ilvl w:val="0"/>
          <w:numId w:val="1006"/>
        </w:numPr>
        <w:pStyle w:val="Compact"/>
      </w:pPr>
      <w:r>
        <w:t xml:space="preserve">☐ Access granted on least privilege, with approval recorded</w:t>
      </w:r>
    </w:p>
    <w:p>
      <w:pPr>
        <w:numPr>
          <w:ilvl w:val="0"/>
          <w:numId w:val="1006"/>
        </w:numPr>
        <w:pStyle w:val="Compact"/>
      </w:pPr>
      <w:r>
        <w:t xml:space="preserve">☐ Quarterly access reviews, with evidence of what was reviewed and what changed</w:t>
      </w:r>
    </w:p>
    <w:p>
      <w:pPr>
        <w:numPr>
          <w:ilvl w:val="0"/>
          <w:numId w:val="1006"/>
        </w:numPr>
        <w:pStyle w:val="Compact"/>
      </w:pPr>
      <w:r>
        <w:t xml:space="preserve">☐ Privileged access separately controlled and logged</w:t>
      </w:r>
    </w:p>
    <w:p>
      <w:pPr>
        <w:numPr>
          <w:ilvl w:val="0"/>
          <w:numId w:val="1006"/>
        </w:numPr>
        <w:pStyle w:val="Compact"/>
      </w:pPr>
      <w:r>
        <w:t xml:space="preserve">☐ Password policy enforced technically, not just written down</w:t>
      </w:r>
    </w:p>
    <w:bookmarkEnd w:id="63"/>
    <w:bookmarkStart w:id="64" w:name="change-management"/>
    <w:p>
      <w:pPr>
        <w:pStyle w:val="Heading2"/>
      </w:pPr>
      <w:r>
        <w:t xml:space="preserve">Change management</w:t>
      </w:r>
    </w:p>
    <w:p>
      <w:pPr>
        <w:numPr>
          <w:ilvl w:val="0"/>
          <w:numId w:val="1007"/>
        </w:numPr>
        <w:pStyle w:val="Compact"/>
      </w:pPr>
      <w:r>
        <w:t xml:space="preserve">☐ Version control for all production code</w:t>
      </w:r>
    </w:p>
    <w:p>
      <w:pPr>
        <w:numPr>
          <w:ilvl w:val="0"/>
          <w:numId w:val="1007"/>
        </w:numPr>
        <w:pStyle w:val="Compact"/>
      </w:pPr>
      <w:r>
        <w:t xml:space="preserve">☐ Peer review required before merge, enforced by the tooling</w:t>
      </w:r>
    </w:p>
    <w:p>
      <w:pPr>
        <w:numPr>
          <w:ilvl w:val="0"/>
          <w:numId w:val="1007"/>
        </w:numPr>
        <w:pStyle w:val="Compact"/>
      </w:pPr>
      <w:r>
        <w:t xml:space="preserve">☐ Separate development, staging and production environments</w:t>
      </w:r>
    </w:p>
    <w:p>
      <w:pPr>
        <w:numPr>
          <w:ilvl w:val="0"/>
          <w:numId w:val="1007"/>
        </w:numPr>
        <w:pStyle w:val="Compact"/>
      </w:pPr>
      <w:r>
        <w:t xml:space="preserve">☐ Deployment approvals recorded</w:t>
      </w:r>
    </w:p>
    <w:p>
      <w:pPr>
        <w:numPr>
          <w:ilvl w:val="0"/>
          <w:numId w:val="1007"/>
        </w:numPr>
        <w:pStyle w:val="Compact"/>
      </w:pPr>
      <w:r>
        <w:t xml:space="preserve">☐ Rollback procedure documented and tested</w:t>
      </w:r>
    </w:p>
    <w:p>
      <w:pPr>
        <w:numPr>
          <w:ilvl w:val="0"/>
          <w:numId w:val="1007"/>
        </w:numPr>
        <w:pStyle w:val="Compact"/>
      </w:pPr>
      <w:r>
        <w:t xml:space="preserve">☐ Infrastructure changes tracked the same way as code changes</w:t>
      </w:r>
    </w:p>
    <w:bookmarkEnd w:id="64"/>
    <w:bookmarkStart w:id="65" w:name="system-operations-and-monitoring"/>
    <w:p>
      <w:pPr>
        <w:pStyle w:val="Heading2"/>
      </w:pPr>
      <w:r>
        <w:t xml:space="preserve">System operations and monitoring</w:t>
      </w:r>
    </w:p>
    <w:p>
      <w:pPr>
        <w:numPr>
          <w:ilvl w:val="0"/>
          <w:numId w:val="1008"/>
        </w:numPr>
        <w:pStyle w:val="Compact"/>
      </w:pPr>
      <w:r>
        <w:t xml:space="preserve">☐ Centralised logging from applications, infrastructure and cloud</w:t>
      </w:r>
    </w:p>
    <w:p>
      <w:pPr>
        <w:numPr>
          <w:ilvl w:val="0"/>
          <w:numId w:val="1008"/>
        </w:numPr>
        <w:pStyle w:val="Compact"/>
      </w:pPr>
      <w:r>
        <w:t xml:space="preserve">☐ Alerting configured with defined thresholds, routed to a named owner</w:t>
      </w:r>
    </w:p>
    <w:p>
      <w:pPr>
        <w:numPr>
          <w:ilvl w:val="0"/>
          <w:numId w:val="1008"/>
        </w:numPr>
        <w:pStyle w:val="Compact"/>
      </w:pPr>
      <w:r>
        <w:t xml:space="preserve">☐ Monitoring coverage for availability if Availability is in scope</w:t>
      </w:r>
    </w:p>
    <w:p>
      <w:pPr>
        <w:numPr>
          <w:ilvl w:val="0"/>
          <w:numId w:val="1008"/>
        </w:numPr>
        <w:pStyle w:val="Compact"/>
      </w:pPr>
      <w:r>
        <w:t xml:space="preserve">☐ Capacity monitoring with defined thresholds</w:t>
      </w:r>
    </w:p>
    <w:p>
      <w:pPr>
        <w:numPr>
          <w:ilvl w:val="0"/>
          <w:numId w:val="1008"/>
        </w:numPr>
        <w:pStyle w:val="Compact"/>
      </w:pPr>
      <w:r>
        <w:t xml:space="preserve">☐ Log retention meeting the audit period plus margin</w:t>
      </w:r>
    </w:p>
    <w:bookmarkEnd w:id="65"/>
    <w:bookmarkStart w:id="67" w:name="vulnerability-and-patch-management"/>
    <w:p>
      <w:pPr>
        <w:pStyle w:val="Heading2"/>
      </w:pPr>
      <w:r>
        <w:t xml:space="preserve">Vulnerability and patch management</w:t>
      </w:r>
    </w:p>
    <w:p>
      <w:pPr>
        <w:numPr>
          <w:ilvl w:val="0"/>
          <w:numId w:val="1009"/>
        </w:numPr>
        <w:pStyle w:val="Compact"/>
      </w:pPr>
      <w:r>
        <w:t xml:space="preserve">☐ Vulnerability scanning on a defined schedule, with results retained</w:t>
      </w:r>
    </w:p>
    <w:p>
      <w:pPr>
        <w:numPr>
          <w:ilvl w:val="0"/>
          <w:numId w:val="1009"/>
        </w:numPr>
        <w:pStyle w:val="Compact"/>
      </w:pPr>
      <w:r>
        <w:t xml:space="preserve">☐ Annual</w:t>
      </w:r>
      <w:r>
        <w:t xml:space="preserve"> </w:t>
      </w:r>
      <w:hyperlink r:id="rId66">
        <w:r>
          <w:rPr>
            <w:rStyle w:val="Hyperlink"/>
          </w:rPr>
          <w:t xml:space="preserve">penetration test</w:t>
        </w:r>
      </w:hyperlink>
      <w:r>
        <w:t xml:space="preserve"> </w:t>
      </w:r>
      <w:r>
        <w:t xml:space="preserve">with findings tracked to closure</w:t>
      </w:r>
    </w:p>
    <w:p>
      <w:pPr>
        <w:numPr>
          <w:ilvl w:val="0"/>
          <w:numId w:val="1009"/>
        </w:numPr>
        <w:pStyle w:val="Compact"/>
      </w:pPr>
      <w:r>
        <w:t xml:space="preserve">☐ Patch management policy with defined timelines by severity</w:t>
      </w:r>
    </w:p>
    <w:p>
      <w:pPr>
        <w:numPr>
          <w:ilvl w:val="0"/>
          <w:numId w:val="1009"/>
        </w:numPr>
        <w:pStyle w:val="Compact"/>
      </w:pPr>
      <w:r>
        <w:t xml:space="preserve">☐ Evidence that patches were applied within those timelines</w:t>
      </w:r>
    </w:p>
    <w:p>
      <w:pPr>
        <w:numPr>
          <w:ilvl w:val="0"/>
          <w:numId w:val="1009"/>
        </w:numPr>
        <w:pStyle w:val="Compact"/>
      </w:pPr>
      <w:r>
        <w:t xml:space="preserve">☐ Endpoint protection deployed and monitored across all devices</w:t>
      </w:r>
    </w:p>
    <w:bookmarkEnd w:id="67"/>
    <w:bookmarkStart w:id="68" w:name="incident-response"/>
    <w:p>
      <w:pPr>
        <w:pStyle w:val="Heading2"/>
      </w:pPr>
      <w:r>
        <w:t xml:space="preserve">Incident response</w:t>
      </w:r>
    </w:p>
    <w:p>
      <w:pPr>
        <w:numPr>
          <w:ilvl w:val="0"/>
          <w:numId w:val="1010"/>
        </w:numPr>
        <w:pStyle w:val="Compact"/>
      </w:pPr>
      <w:r>
        <w:t xml:space="preserve">☐ Documented incident response plan with roles and escalation</w:t>
      </w:r>
    </w:p>
    <w:p>
      <w:pPr>
        <w:numPr>
          <w:ilvl w:val="0"/>
          <w:numId w:val="1010"/>
        </w:numPr>
        <w:pStyle w:val="Compact"/>
      </w:pPr>
      <w:r>
        <w:t xml:space="preserve">☐ Incident log, including incidents that turned out to be nothing</w:t>
      </w:r>
    </w:p>
    <w:p>
      <w:pPr>
        <w:numPr>
          <w:ilvl w:val="0"/>
          <w:numId w:val="1010"/>
        </w:numPr>
        <w:pStyle w:val="Compact"/>
      </w:pPr>
      <w:r>
        <w:t xml:space="preserve">☐ At least one tabletop exercise conducted, with notes</w:t>
      </w:r>
    </w:p>
    <w:p>
      <w:pPr>
        <w:numPr>
          <w:ilvl w:val="0"/>
          <w:numId w:val="1010"/>
        </w:numPr>
        <w:pStyle w:val="Compact"/>
      </w:pPr>
      <w:r>
        <w:t xml:space="preserve">☐ Customer notification process defined</w:t>
      </w:r>
    </w:p>
    <w:p>
      <w:pPr>
        <w:numPr>
          <w:ilvl w:val="0"/>
          <w:numId w:val="1010"/>
        </w:numPr>
        <w:pStyle w:val="Compact"/>
      </w:pPr>
      <w:r>
        <w:t xml:space="preserve">☐ Post-incident review process, with records where incidents occurred</w:t>
      </w:r>
    </w:p>
    <w:bookmarkEnd w:id="68"/>
    <w:bookmarkStart w:id="69" w:name="business-continuity-and-backup"/>
    <w:p>
      <w:pPr>
        <w:pStyle w:val="Heading2"/>
      </w:pPr>
      <w:r>
        <w:t xml:space="preserve">Business continuity and backup</w:t>
      </w:r>
    </w:p>
    <w:p>
      <w:pPr>
        <w:numPr>
          <w:ilvl w:val="0"/>
          <w:numId w:val="1011"/>
        </w:numPr>
        <w:pStyle w:val="Compact"/>
      </w:pPr>
      <w:r>
        <w:t xml:space="preserve">☐ Backup running on a defined schedule across all critical systems</w:t>
      </w:r>
    </w:p>
    <w:p>
      <w:pPr>
        <w:numPr>
          <w:ilvl w:val="0"/>
          <w:numId w:val="1011"/>
        </w:numPr>
        <w:pStyle w:val="Compact"/>
      </w:pPr>
      <w:r>
        <w:t xml:space="preserve">☐ Restore testing performed and evidenced — not just backup success logs</w:t>
      </w:r>
    </w:p>
    <w:p>
      <w:pPr>
        <w:numPr>
          <w:ilvl w:val="0"/>
          <w:numId w:val="1011"/>
        </w:numPr>
        <w:pStyle w:val="Compact"/>
      </w:pPr>
      <w:r>
        <w:t xml:space="preserve">☐ Business continuity and disaster recovery plan documented</w:t>
      </w:r>
    </w:p>
    <w:p>
      <w:pPr>
        <w:numPr>
          <w:ilvl w:val="0"/>
          <w:numId w:val="1011"/>
        </w:numPr>
        <w:pStyle w:val="Compact"/>
      </w:pPr>
      <w:r>
        <w:t xml:space="preserve">☐ Recovery time and recovery point objectives defined and agreed</w:t>
      </w:r>
    </w:p>
    <w:p>
      <w:pPr>
        <w:numPr>
          <w:ilvl w:val="0"/>
          <w:numId w:val="1011"/>
        </w:numPr>
        <w:pStyle w:val="Compact"/>
      </w:pPr>
      <w:r>
        <w:t xml:space="preserve">☐ Annual continuity test with results recorded</w:t>
      </w:r>
    </w:p>
    <w:bookmarkEnd w:id="69"/>
    <w:bookmarkStart w:id="70" w:name="data-protection"/>
    <w:p>
      <w:pPr>
        <w:pStyle w:val="Heading2"/>
      </w:pPr>
      <w:r>
        <w:t xml:space="preserve">Data protection</w:t>
      </w:r>
    </w:p>
    <w:p>
      <w:pPr>
        <w:numPr>
          <w:ilvl w:val="0"/>
          <w:numId w:val="1012"/>
        </w:numPr>
        <w:pStyle w:val="Compact"/>
      </w:pPr>
      <w:r>
        <w:t xml:space="preserve">☐ Encryption in transit enforced across all external connections</w:t>
      </w:r>
    </w:p>
    <w:p>
      <w:pPr>
        <w:numPr>
          <w:ilvl w:val="0"/>
          <w:numId w:val="1012"/>
        </w:numPr>
        <w:pStyle w:val="Compact"/>
      </w:pPr>
      <w:r>
        <w:t xml:space="preserve">☐ Encryption at rest for databases, storage and backups</w:t>
      </w:r>
    </w:p>
    <w:p>
      <w:pPr>
        <w:numPr>
          <w:ilvl w:val="0"/>
          <w:numId w:val="1012"/>
        </w:numPr>
        <w:pStyle w:val="Compact"/>
      </w:pPr>
      <w:r>
        <w:t xml:space="preserve">☐ Key management process documented</w:t>
      </w:r>
    </w:p>
    <w:p>
      <w:pPr>
        <w:numPr>
          <w:ilvl w:val="0"/>
          <w:numId w:val="1012"/>
        </w:numPr>
        <w:pStyle w:val="Compact"/>
      </w:pPr>
      <w:r>
        <w:t xml:space="preserve">☐ Data classification applied, with handling rules per class</w:t>
      </w:r>
    </w:p>
    <w:p>
      <w:pPr>
        <w:numPr>
          <w:ilvl w:val="0"/>
          <w:numId w:val="1012"/>
        </w:numPr>
        <w:pStyle w:val="Compact"/>
      </w:pPr>
      <w:r>
        <w:t xml:space="preserve">☐ Data retention and secure deletion policy, actually running as jobs</w:t>
      </w:r>
    </w:p>
    <w:p>
      <w:pPr>
        <w:numPr>
          <w:ilvl w:val="0"/>
          <w:numId w:val="1012"/>
        </w:numPr>
        <w:pStyle w:val="Compact"/>
      </w:pPr>
      <w:r>
        <w:t xml:space="preserve">☐ Production data not used in non-production environments</w:t>
      </w:r>
    </w:p>
    <w:bookmarkEnd w:id="70"/>
    <w:bookmarkStart w:id="71" w:name="people"/>
    <w:p>
      <w:pPr>
        <w:pStyle w:val="Heading2"/>
      </w:pPr>
      <w:r>
        <w:t xml:space="preserve">People</w:t>
      </w:r>
    </w:p>
    <w:p>
      <w:pPr>
        <w:numPr>
          <w:ilvl w:val="0"/>
          <w:numId w:val="1013"/>
        </w:numPr>
        <w:pStyle w:val="Compact"/>
      </w:pPr>
      <w:r>
        <w:t xml:space="preserve">☐ Background checks where legally permitted and appropriate</w:t>
      </w:r>
    </w:p>
    <w:p>
      <w:pPr>
        <w:numPr>
          <w:ilvl w:val="0"/>
          <w:numId w:val="1013"/>
        </w:numPr>
        <w:pStyle w:val="Compact"/>
      </w:pPr>
      <w:r>
        <w:t xml:space="preserve">☐ Security awareness training on joining and annually, with completion records</w:t>
      </w:r>
    </w:p>
    <w:p>
      <w:pPr>
        <w:numPr>
          <w:ilvl w:val="0"/>
          <w:numId w:val="1013"/>
        </w:numPr>
        <w:pStyle w:val="Compact"/>
      </w:pPr>
      <w:r>
        <w:t xml:space="preserve">☐ Onboarding and offboarding checklists, with completed examples on file</w:t>
      </w:r>
    </w:p>
    <w:p>
      <w:pPr>
        <w:numPr>
          <w:ilvl w:val="0"/>
          <w:numId w:val="1013"/>
        </w:numPr>
        <w:pStyle w:val="Compact"/>
      </w:pPr>
      <w:r>
        <w:t xml:space="preserve">☐ Acceptable use policy acknowledged by all staff</w:t>
      </w:r>
    </w:p>
    <w:bookmarkEnd w:id="71"/>
    <w:bookmarkStart w:id="72" w:name="Xff960938e8179b042b1b104a8f98df1e44b5661"/>
    <w:p>
      <w:pPr>
        <w:pStyle w:val="Heading2"/>
      </w:pPr>
      <w:r>
        <w:t xml:space="preserve">Evidence collection — the part that fails audits</w:t>
      </w:r>
    </w:p>
    <w:p>
      <w:pPr>
        <w:pStyle w:val="FirstParagraph"/>
      </w:pPr>
      <w:r>
        <w:t xml:space="preserve">Controls existing is not the same as controls being evidenced. For every control above, decide now:</w:t>
      </w:r>
    </w:p>
    <w:p>
      <w:pPr>
        <w:numPr>
          <w:ilvl w:val="0"/>
          <w:numId w:val="1014"/>
        </w:numPr>
        <w:pStyle w:val="Compact"/>
      </w:pPr>
      <w:r>
        <w:rPr>
          <w:bCs/>
          <w:b/>
        </w:rPr>
        <w:t xml:space="preserve">What artefact proves it ran?</w:t>
      </w:r>
      <w:r>
        <w:t xml:space="preserve"> </w:t>
      </w:r>
      <w:r>
        <w:t xml:space="preserve">A ticket, an approval, a log export, a signed record, a screenshot with a timestamp.</w:t>
      </w:r>
    </w:p>
    <w:p>
      <w:pPr>
        <w:numPr>
          <w:ilvl w:val="0"/>
          <w:numId w:val="1014"/>
        </w:numPr>
        <w:pStyle w:val="Compact"/>
      </w:pPr>
      <w:r>
        <w:rPr>
          <w:bCs/>
          <w:b/>
        </w:rPr>
        <w:t xml:space="preserve">Who produces it, and when?</w:t>
      </w:r>
    </w:p>
    <w:p>
      <w:pPr>
        <w:numPr>
          <w:ilvl w:val="0"/>
          <w:numId w:val="1014"/>
        </w:numPr>
        <w:pStyle w:val="Compact"/>
      </w:pPr>
      <w:r>
        <w:rPr>
          <w:bCs/>
          <w:b/>
        </w:rPr>
        <w:t xml:space="preserve">Where is it stored,</w:t>
      </w:r>
      <w:r>
        <w:t xml:space="preserve"> </w:t>
      </w:r>
      <w:r>
        <w:t xml:space="preserve">and can it be produced quickly during the audit?</w:t>
      </w:r>
    </w:p>
    <w:p>
      <w:pPr>
        <w:pStyle w:val="FirstParagraph"/>
      </w:pPr>
      <w:r>
        <w:t xml:space="preserve">Start collecting on day one of the observation window, not at the end. Evidence that is reconstructed afterwards is the single most common cause of exceptions in a Type II report.</w:t>
      </w:r>
    </w:p>
    <w:bookmarkEnd w:id="72"/>
    <w:bookmarkStart w:id="73" w:name="suggested-sequence"/>
    <w:p>
      <w:pPr>
        <w:pStyle w:val="Heading2"/>
      </w:pPr>
      <w:r>
        <w:t xml:space="preserve">Suggested sequence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Work</w:t>
            </w:r>
          </w:p>
        </w:tc>
        <w:tc>
          <w:tcPr/>
          <w:p>
            <w:pPr>
              <w:pStyle w:val="Compact"/>
              <w:jc w:val="left"/>
            </w:pPr>
            <w:r>
              <w:t xml:space="preserve">Typical duration</w:t>
            </w:r>
          </w:p>
        </w:tc>
      </w:tr>
      <w:tr>
        <w:tc>
          <w:tcPr/>
          <w:p>
            <w:pPr>
              <w:pStyle w:val="Compact"/>
              <w:jc w:val="left"/>
            </w:pPr>
            <w:r>
              <w:t xml:space="preserve">1</w:t>
            </w:r>
          </w:p>
        </w:tc>
        <w:tc>
          <w:tcPr/>
          <w:p>
            <w:pPr>
              <w:pStyle w:val="Compact"/>
              <w:jc w:val="left"/>
            </w:pPr>
            <w:r>
              <w:t xml:space="preserve">Scope, criteria selection, gap assessment</w:t>
            </w:r>
          </w:p>
        </w:tc>
        <w:tc>
          <w:tcPr/>
          <w:p>
            <w:pPr>
              <w:pStyle w:val="Compact"/>
              <w:jc w:val="left"/>
            </w:pPr>
            <w:r>
              <w:t xml:space="preserve">2–4 weeks</w:t>
            </w:r>
          </w:p>
        </w:tc>
      </w:tr>
      <w:tr>
        <w:tc>
          <w:tcPr/>
          <w:p>
            <w:pPr>
              <w:pStyle w:val="Compact"/>
              <w:jc w:val="left"/>
            </w:pPr>
            <w:r>
              <w:t xml:space="preserve">2</w:t>
            </w:r>
          </w:p>
        </w:tc>
        <w:tc>
          <w:tcPr/>
          <w:p>
            <w:pPr>
              <w:pStyle w:val="Compact"/>
              <w:jc w:val="left"/>
            </w:pPr>
            <w:r>
              <w:t xml:space="preserve">Policy development and control implementation</w:t>
            </w:r>
          </w:p>
        </w:tc>
        <w:tc>
          <w:tcPr/>
          <w:p>
            <w:pPr>
              <w:pStyle w:val="Compact"/>
              <w:jc w:val="left"/>
            </w:pPr>
            <w:r>
              <w:t xml:space="preserve">8–16 weeks</w:t>
            </w:r>
          </w:p>
        </w:tc>
      </w:tr>
      <w:tr>
        <w:tc>
          <w:tcPr/>
          <w:p>
            <w:pPr>
              <w:pStyle w:val="Compact"/>
              <w:jc w:val="left"/>
            </w:pPr>
            <w:r>
              <w:t xml:space="preserve">3</w:t>
            </w:r>
          </w:p>
        </w:tc>
        <w:tc>
          <w:tcPr/>
          <w:p>
            <w:pPr>
              <w:pStyle w:val="Compact"/>
              <w:jc w:val="left"/>
            </w:pPr>
            <w:r>
              <w:t xml:space="preserve">Evidence collection begins — the observation window</w:t>
            </w:r>
          </w:p>
        </w:tc>
        <w:tc>
          <w:tcPr/>
          <w:p>
            <w:pPr>
              <w:pStyle w:val="Compact"/>
              <w:jc w:val="left"/>
            </w:pPr>
            <w:r>
              <w:t xml:space="preserve">3 months minimum for Type II</w:t>
            </w:r>
          </w:p>
        </w:tc>
      </w:tr>
      <w:tr>
        <w:tc>
          <w:tcPr/>
          <w:p>
            <w:pPr>
              <w:pStyle w:val="Compact"/>
              <w:jc w:val="left"/>
            </w:pPr>
            <w:r>
              <w:t xml:space="preserve">4</w:t>
            </w:r>
          </w:p>
        </w:tc>
        <w:tc>
          <w:tcPr/>
          <w:p>
            <w:pPr>
              <w:pStyle w:val="Compact"/>
              <w:jc w:val="left"/>
            </w:pPr>
            <w:r>
              <w:t xml:space="preserve">Readiness review before the auditor arrives</w:t>
            </w:r>
          </w:p>
        </w:tc>
        <w:tc>
          <w:tcPr/>
          <w:p>
            <w:pPr>
              <w:pStyle w:val="Compact"/>
              <w:jc w:val="left"/>
            </w:pPr>
            <w:r>
              <w:t xml:space="preserve">2 weeks</w:t>
            </w:r>
          </w:p>
        </w:tc>
      </w:tr>
      <w:tr>
        <w:tc>
          <w:tcPr/>
          <w:p>
            <w:pPr>
              <w:pStyle w:val="Compact"/>
              <w:jc w:val="left"/>
            </w:pPr>
            <w:r>
              <w:t xml:space="preserve">5</w:t>
            </w:r>
          </w:p>
        </w:tc>
        <w:tc>
          <w:tcPr/>
          <w:p>
            <w:pPr>
              <w:pStyle w:val="Compact"/>
              <w:jc w:val="left"/>
            </w:pPr>
            <w:r>
              <w:t xml:space="preserve">Audit fieldwork and report</w:t>
            </w:r>
          </w:p>
        </w:tc>
        <w:tc>
          <w:tcPr/>
          <w:p>
            <w:pPr>
              <w:pStyle w:val="Compact"/>
              <w:jc w:val="left"/>
            </w:pPr>
            <w:r>
              <w:t xml:space="preserve">3–6 weeks</w:t>
            </w:r>
          </w:p>
        </w:tc>
      </w:tr>
    </w:tbl>
    <w:p>
      <w:pPr>
        <w:pStyle w:val="BodyText"/>
      </w:pPr>
      <w:r>
        <w:t xml:space="preserve">Four to eight months from a standing start is realistic. Organisations already running version control, single sign-on, peer review and centralised logging reach the faster end.</w:t>
      </w:r>
    </w:p>
    <w:bookmarkEnd w:id="73"/>
    <w:bookmarkStart w:id="74" w:name="where-companies-get-caught-out"/>
    <w:p>
      <w:pPr>
        <w:pStyle w:val="Heading2"/>
      </w:pPr>
      <w:r>
        <w:t xml:space="preserve">Where companies get caught out</w:t>
      </w:r>
    </w:p>
    <w:p>
      <w:pPr>
        <w:pStyle w:val="FirstParagraph"/>
      </w:pPr>
      <w:r>
        <w:rPr>
          <w:bCs/>
          <w:b/>
        </w:rPr>
        <w:t xml:space="preserve">Starting evidence collection late.</w:t>
      </w:r>
      <w:r>
        <w:t xml:space="preserve"> </w:t>
      </w:r>
      <w:r>
        <w:t xml:space="preserve">The observation window is the window. You cannot evidence a quarterly access review that happened once, a week before the audit.</w:t>
      </w:r>
    </w:p>
    <w:p>
      <w:pPr>
        <w:pStyle w:val="BodyText"/>
      </w:pPr>
      <w:r>
        <w:rPr>
          <w:bCs/>
          <w:b/>
        </w:rPr>
        <w:t xml:space="preserve">Including criteria nobody asked for.</w:t>
      </w:r>
      <w:r>
        <w:t xml:space="preserve"> </w:t>
      </w:r>
      <w:r>
        <w:t xml:space="preserve">Adding Availability or Privacy because they sound thorough adds months. Ask the customer who requested SOC 2 what they need covered.</w:t>
      </w:r>
    </w:p>
    <w:p>
      <w:pPr>
        <w:pStyle w:val="BodyText"/>
      </w:pPr>
      <w:r>
        <w:rPr>
          <w:bCs/>
          <w:b/>
        </w:rPr>
        <w:t xml:space="preserve">Treating policies as the deliverable.</w:t>
      </w:r>
      <w:r>
        <w:t xml:space="preserve"> </w:t>
      </w:r>
      <w:r>
        <w:t xml:space="preserve">Auditors test whether policies are followed, not whether they exist. A policy the team has never read produces exceptions.</w:t>
      </w:r>
    </w:p>
    <w:p>
      <w:pPr>
        <w:pStyle w:val="BodyText"/>
      </w:pPr>
      <w:r>
        <w:rPr>
          <w:bCs/>
          <w:b/>
        </w:rPr>
        <w:t xml:space="preserve">Leaving vendor management until the end.</w:t>
      </w:r>
      <w:r>
        <w:t xml:space="preserve"> </w:t>
      </w:r>
      <w:r>
        <w:t xml:space="preserve">Critical vendor assessments take time because they depend on other companies responding.</w:t>
      </w:r>
    </w:p>
    <w:bookmarkEnd w:id="74"/>
    <w:bookmarkStart w:id="76" w:name="get-a-soc-2-readiness-assessment"/>
    <w:p>
      <w:pPr>
        <w:pStyle w:val="Heading2"/>
      </w:pPr>
      <w:r>
        <w:t xml:space="preserve">Get a SOC 2 readiness assessment</w:t>
      </w:r>
    </w:p>
    <w:p>
      <w:pPr>
        <w:pStyle w:val="FirstParagraph"/>
      </w:pPr>
      <w:r>
        <w:t xml:space="preserve">Aadit Technologies runs SOC 2 readiness as a structured engagement: scope and criteria selection, gap assessment against the Trust Services Criteria, control implementation support, evidence collection design, and audit support through fieldwork.</w:t>
      </w:r>
    </w:p>
    <w:p>
      <w:pPr>
        <w:pStyle w:val="BodyText"/>
      </w:pPr>
      <w:hyperlink r:id="rId75">
        <w:r>
          <w:rPr>
            <w:rStyle w:val="Hyperlink"/>
          </w:rPr>
          <w:t xml:space="preserve">Request a SOC 2 readiness assessment →</w:t>
        </w:r>
      </w:hyperlink>
    </w:p>
    <w:bookmarkEnd w:id="76"/>
    <w:bookmarkStart w:id="78" w:name="frequently-asked-questions-1"/>
    <w:p>
      <w:pPr>
        <w:pStyle w:val="Heading2"/>
      </w:pPr>
      <w:r>
        <w:t xml:space="preserve">Frequently asked questions</w:t>
      </w:r>
    </w:p>
    <w:p>
      <w:pPr>
        <w:pStyle w:val="FirstParagraph"/>
      </w:pPr>
      <w:r>
        <w:rPr>
          <w:bCs/>
          <w:b/>
        </w:rPr>
        <w:t xml:space="preserve">What is a SOC 2 readiness assessment?</w:t>
      </w:r>
      <w:r>
        <w:t xml:space="preserve"> </w:t>
      </w:r>
      <w:r>
        <w:t xml:space="preserve">A structured review of your current controls against the Trust Services Criteria in scope, producing a gap list, a remediation plan and an evidence collection design. It is done before the observation window starts, so that the controls being observed are the right ones.</w:t>
      </w:r>
    </w:p>
    <w:p>
      <w:pPr>
        <w:pStyle w:val="BodyText"/>
      </w:pPr>
      <w:r>
        <w:rPr>
          <w:bCs/>
          <w:b/>
        </w:rPr>
        <w:t xml:space="preserve">How long does SOC 2 take to prepare for?</w:t>
      </w:r>
      <w:r>
        <w:t xml:space="preserve"> </w:t>
      </w:r>
      <w:r>
        <w:t xml:space="preserve">Four to eight months from a standing start for a Type II, because the observation window alone is three months minimum. Organisations with mature engineering practices move faster, since much of the control work is already in place and only needs evidencing.</w:t>
      </w:r>
    </w:p>
    <w:p>
      <w:pPr>
        <w:pStyle w:val="BodyText"/>
      </w:pPr>
      <w:r>
        <w:rPr>
          <w:bCs/>
          <w:b/>
        </w:rPr>
        <w:t xml:space="preserve">What is the difference between SOC 2 Type I and Type II?</w:t>
      </w:r>
      <w:r>
        <w:t xml:space="preserve"> </w:t>
      </w:r>
      <w:r>
        <w:t xml:space="preserve">Type I assesses whether controls are suitably designed at a single point in time. Type II assesses whether they operated effectively over a period. Type II is what most enterprise buyers mean when they ask for a SOC 2 report.</w:t>
      </w:r>
    </w:p>
    <w:p>
      <w:pPr>
        <w:pStyle w:val="BodyText"/>
      </w:pPr>
      <w:r>
        <w:rPr>
          <w:bCs/>
          <w:b/>
        </w:rPr>
        <w:t xml:space="preserve">Do we need a penetration test for SOC 2?</w:t>
      </w:r>
      <w:r>
        <w:t xml:space="preserve"> </w:t>
      </w:r>
      <w:r>
        <w:t xml:space="preserve">SOC 2 does not name penetration testing explicitly, but auditors expect evidence of technical vulnerability testing, and a penetration test is the normal way to provide it. Plan for it within the programme rather than as a late addition.</w:t>
      </w:r>
    </w:p>
    <w:p>
      <w:pPr>
        <w:pStyle w:val="BodyText"/>
      </w:pPr>
      <w:r>
        <w:rPr>
          <w:bCs/>
          <w:b/>
        </w:rPr>
        <w:t xml:space="preserve">Can we fail a SOC 2 audit?</w:t>
      </w:r>
      <w:r>
        <w:t xml:space="preserve"> </w:t>
      </w:r>
      <w:r>
        <w:t xml:space="preserve">You do not fail in the sense of a pass or fail grade. The auditor issues a report that may contain exceptions where controls did not operate as described, and buyers read those exceptions. A readiness assessment beforehand is what prevents surprises.</w:t>
      </w:r>
    </w:p>
    <w:p>
      <w:pPr>
        <w:pStyle w:val="BodyText"/>
      </w:pPr>
      <w:r>
        <w:rPr>
          <w:bCs/>
          <w:b/>
        </w:rPr>
        <w:t xml:space="preserve">Is SOC 2 better than ISO 27001?</w:t>
      </w:r>
      <w:r>
        <w:t xml:space="preserve"> </w:t>
      </w:r>
      <w:r>
        <w:t xml:space="preserve">Neither is better — they answer different questions for different audiences. US buyers usually ask for SOC 2; European, Indian and Middle Eastern buyers usually ask for ISO 27001. See our</w:t>
      </w:r>
      <w:r>
        <w:t xml:space="preserve"> </w:t>
      </w:r>
      <w:hyperlink r:id="rId77">
        <w:r>
          <w:rPr>
            <w:rStyle w:val="Hyperlink"/>
          </w:rPr>
          <w:t xml:space="preserve">comparison of SOC 2 and ISO 27001</w:t>
        </w:r>
      </w:hyperlink>
      <w:r>
        <w:t xml:space="preserve">.</w:t>
      </w:r>
    </w:p>
    <w:p>
      <w:pPr>
        <w:pStyle w:val="BodyText"/>
      </w:pPr>
      <w:r>
        <w:rPr>
          <w:bCs/>
          <w:b/>
        </w:rPr>
        <w:t xml:space="preserve">▲ END OF COPY</w:t>
      </w:r>
    </w:p>
    <w:p>
      <w:r>
        <w:pict>
          <v:rect style="width:0;height:1.5pt" o:hralign="center" o:hrstd="t" o:hr="t"/>
        </w:pict>
      </w:r>
    </w:p>
    <w:bookmarkEnd w:id="78"/>
    <w:bookmarkEnd w:id="79"/>
    <w:bookmarkStart w:id="80" w:name="publishing-checklist-for-both-new-pages"/>
    <w:p>
      <w:pPr>
        <w:pStyle w:val="Heading1"/>
      </w:pPr>
      <w:r>
        <w:t xml:space="preserve">PUBLISHING CHECKLIST FOR BOTH NEW PAGES</w:t>
      </w:r>
    </w:p>
    <w:p>
      <w:pPr>
        <w:numPr>
          <w:ilvl w:val="0"/>
          <w:numId w:val="1015"/>
        </w:numPr>
        <w:pStyle w:val="Compact"/>
      </w:pPr>
      <w:r>
        <w:t xml:space="preserve">Build at the exact URLs given, with the meta title and description as written.</w:t>
      </w:r>
    </w:p>
    <w:p>
      <w:pPr>
        <w:numPr>
          <w:ilvl w:val="0"/>
          <w:numId w:val="1015"/>
        </w:numPr>
        <w:pStyle w:val="Compact"/>
      </w:pPr>
      <w:r>
        <w:t xml:space="preserve">Apply the schema types listed — the existing templates generate them from the page type and the FAQ block.</w:t>
      </w:r>
    </w:p>
    <w:p>
      <w:pPr>
        <w:numPr>
          <w:ilvl w:val="0"/>
          <w:numId w:val="1015"/>
        </w:numPr>
        <w:pStyle w:val="Compact"/>
      </w:pPr>
      <w:r>
        <w:t xml:space="preserve">Add an entry to</w:t>
      </w:r>
      <w:r>
        <w:t xml:space="preserve"> </w:t>
      </w:r>
      <w:r>
        <w:rPr>
          <w:rStyle w:val="VerbatimChar"/>
        </w:rPr>
        <w:t xml:space="preserve">llms.txt</w:t>
      </w:r>
      <w:r>
        <w:t xml:space="preserve"> </w:t>
      </w:r>
      <w:r>
        <w:t xml:space="preserve">under</w:t>
      </w:r>
      <w:r>
        <w:t xml:space="preserve"> </w:t>
      </w:r>
      <w:r>
        <w:t xml:space="preserve">“</w:t>
      </w:r>
      <w:r>
        <w:t xml:space="preserve">Common questions</w:t>
      </w:r>
      <w:r>
        <w:t xml:space="preserve">”</w:t>
      </w:r>
      <w:r>
        <w:t xml:space="preserve">:</w:t>
      </w:r>
    </w:p>
    <w:p>
      <w:pPr>
        <w:pStyle w:val="SourceCode"/>
      </w:pPr>
      <w:r>
        <w:rPr>
          <w:rStyle w:val="VerbatimChar"/>
        </w:rPr>
        <w:t xml:space="preserve">- What are managed IT services? See [managed IT services](https://aadit.net/glossary/managed-it-services).</w:t>
      </w:r>
      <w:r>
        <w:br/>
      </w:r>
      <w:r>
        <w:rPr>
          <w:rStyle w:val="VerbatimChar"/>
        </w:rPr>
        <w:t xml:space="preserve">- What do we need for SOC 2? See [SOC 2 readiness checklist](https://aadit.net/resources/soc-2-checklist).</w:t>
      </w:r>
    </w:p>
    <w:p>
      <w:pPr>
        <w:numPr>
          <w:ilvl w:val="0"/>
          <w:numId w:val="1016"/>
        </w:numPr>
        <w:pStyle w:val="Compact"/>
      </w:pPr>
      <w:r>
        <w:t xml:space="preserve">Add the full text of both to</w:t>
      </w:r>
      <w:r>
        <w:t xml:space="preserve"> </w:t>
      </w:r>
      <w:r>
        <w:rPr>
          <w:rStyle w:val="VerbatimChar"/>
        </w:rPr>
        <w:t xml:space="preserve">llms-full.txt</w:t>
      </w:r>
      <w:r>
        <w:t xml:space="preserve">.</w:t>
      </w:r>
    </w:p>
    <w:p>
      <w:pPr>
        <w:numPr>
          <w:ilvl w:val="0"/>
          <w:numId w:val="1016"/>
        </w:numPr>
        <w:pStyle w:val="Compact"/>
      </w:pPr>
      <w:r>
        <w:t xml:space="preserve">Add both to</w:t>
      </w:r>
      <w:r>
        <w:t xml:space="preserve"> </w:t>
      </w:r>
      <w:r>
        <w:rPr>
          <w:rStyle w:val="VerbatimChar"/>
        </w:rPr>
        <w:t xml:space="preserve">sitemap.xml</w:t>
      </w:r>
      <w:r>
        <w:t xml:space="preserve">.</w:t>
      </w:r>
    </w:p>
    <w:p>
      <w:pPr>
        <w:numPr>
          <w:ilvl w:val="0"/>
          <w:numId w:val="1016"/>
        </w:numPr>
        <w:pStyle w:val="Compact"/>
      </w:pPr>
      <w:r>
        <w:t xml:space="preserve">Link to them from their parents:</w:t>
      </w:r>
      <w:r>
        <w:t xml:space="preserve"> </w:t>
      </w:r>
      <w:r>
        <w:rPr>
          <w:rStyle w:val="VerbatimChar"/>
        </w:rPr>
        <w:t xml:space="preserve">/glossary</w:t>
      </w:r>
      <w:r>
        <w:t xml:space="preserve"> </w:t>
      </w:r>
      <w:r>
        <w:t xml:space="preserve">indexes the new glossary term,</w:t>
      </w:r>
      <w:r>
        <w:t xml:space="preserve"> </w:t>
      </w:r>
      <w:r>
        <w:rPr>
          <w:rStyle w:val="VerbatimChar"/>
        </w:rPr>
        <w:t xml:space="preserve">/compliance/soc2</w:t>
      </w:r>
      <w:r>
        <w:t xml:space="preserve"> </w:t>
      </w:r>
      <w:r>
        <w:t xml:space="preserve">links to the checklist,</w:t>
      </w:r>
      <w:r>
        <w:t xml:space="preserve"> </w:t>
      </w:r>
      <w:r>
        <w:rPr>
          <w:rStyle w:val="VerbatimChar"/>
        </w:rPr>
        <w:t xml:space="preserve">/it-managed-services/managed-it-services</w:t>
      </w:r>
      <w:r>
        <w:t xml:space="preserve"> </w:t>
      </w:r>
      <w:r>
        <w:t xml:space="preserve">links to the glossary entry.</w:t>
      </w:r>
    </w:p>
    <w:p>
      <w:pPr>
        <w:numPr>
          <w:ilvl w:val="0"/>
          <w:numId w:val="1016"/>
        </w:numPr>
        <w:pStyle w:val="Compact"/>
      </w:pPr>
      <w:r>
        <w:t xml:space="preserve">Submit both URLs in Search Console and Bing Webmaster Tools.</w:t>
      </w:r>
    </w:p>
    <w:p>
      <w:r>
        <w:pict>
          <v:rect style="width:0;height:1.5pt" o:hralign="center" o:hrstd="t" o:hr="t"/>
        </w:pict>
      </w:r>
    </w:p>
    <w:bookmarkEnd w:id="80"/>
    <w:bookmarkStart w:id="81" w:name="order-of-work"/>
    <w:p>
      <w:pPr>
        <w:pStyle w:val="Heading1"/>
      </w:pPr>
      <w:r>
        <w:t xml:space="preserve">ORDER OF WORK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Part</w:t>
            </w:r>
          </w:p>
        </w:tc>
        <w:tc>
          <w:tcPr/>
          <w:p>
            <w:pPr>
              <w:pStyle w:val="Compact"/>
              <w:jc w:val="left"/>
            </w:pPr>
            <w:r>
              <w:t xml:space="preserve">Owner</w:t>
            </w:r>
          </w:p>
        </w:tc>
        <w:tc>
          <w:tcPr/>
          <w:p>
            <w:pPr>
              <w:pStyle w:val="Compact"/>
              <w:jc w:val="left"/>
            </w:pPr>
            <w:r>
              <w:t xml:space="preserve">Effort</w:t>
            </w:r>
          </w:p>
        </w:tc>
      </w:tr>
      <w:tr>
        <w:tc>
          <w:tcPr/>
          <w:p>
            <w:pPr>
              <w:pStyle w:val="Compact"/>
              <w:jc w:val="left"/>
            </w:pPr>
            <w:r>
              <w:t xml:space="preserve">1</w:t>
            </w:r>
          </w:p>
        </w:tc>
        <w:tc>
          <w:tcPr/>
          <w:p>
            <w:pPr>
              <w:pStyle w:val="Compact"/>
              <w:jc w:val="left"/>
            </w:pPr>
            <w:r>
              <w:t xml:space="preserve">Fix the</w:t>
            </w:r>
            <w:r>
              <w:t xml:space="preserve"> </w:t>
            </w:r>
            <w:r>
              <w:rPr>
                <w:rStyle w:val="VerbatimChar"/>
              </w:rPr>
              <w:t xml:space="preserve">http://www</w:t>
            </w:r>
            <w:r>
              <w:t xml:space="preserve"> </w:t>
            </w:r>
            <w:r>
              <w:t xml:space="preserve">double hop</w:t>
            </w:r>
          </w:p>
        </w:tc>
        <w:tc>
          <w:tcPr/>
          <w:p>
            <w:pPr>
              <w:pStyle w:val="Compact"/>
              <w:jc w:val="left"/>
            </w:pPr>
            <w:r>
              <w:t xml:space="preserve">1.1</w:t>
            </w:r>
          </w:p>
        </w:tc>
        <w:tc>
          <w:tcPr/>
          <w:p>
            <w:pPr>
              <w:pStyle w:val="Compact"/>
              <w:jc w:val="left"/>
            </w:pPr>
            <w:r>
              <w:t xml:space="preserve">Developer</w:t>
            </w:r>
          </w:p>
        </w:tc>
        <w:tc>
          <w:tcPr/>
          <w:p>
            <w:pPr>
              <w:pStyle w:val="Compact"/>
              <w:jc w:val="left"/>
            </w:pPr>
            <w:r>
              <w:t xml:space="preserve">30 min</w:t>
            </w:r>
          </w:p>
        </w:tc>
      </w:tr>
      <w:tr>
        <w:tc>
          <w:tcPr/>
          <w:p>
            <w:pPr>
              <w:pStyle w:val="Compact"/>
              <w:jc w:val="left"/>
            </w:pPr>
            <w:r>
              <w:t xml:space="preserve">2</w:t>
            </w:r>
          </w:p>
        </w:tc>
        <w:tc>
          <w:tcPr/>
          <w:p>
            <w:pPr>
              <w:pStyle w:val="Compact"/>
              <w:jc w:val="left"/>
            </w:pPr>
            <w:r>
              <w:t xml:space="preserve">Add Google Business Profile to</w:t>
            </w:r>
            <w:r>
              <w:t xml:space="preserve"> </w:t>
            </w:r>
            <w:r>
              <w:rPr>
                <w:rStyle w:val="VerbatimChar"/>
              </w:rPr>
              <w:t xml:space="preserve">sameAs</w:t>
            </w:r>
          </w:p>
        </w:tc>
        <w:tc>
          <w:tcPr/>
          <w:p>
            <w:pPr>
              <w:pStyle w:val="Compact"/>
              <w:jc w:val="left"/>
            </w:pPr>
            <w:r>
              <w:t xml:space="preserve">1.3</w:t>
            </w:r>
          </w:p>
        </w:tc>
        <w:tc>
          <w:tcPr/>
          <w:p>
            <w:pPr>
              <w:pStyle w:val="Compact"/>
              <w:jc w:val="left"/>
            </w:pPr>
            <w:r>
              <w:t xml:space="preserve">Developer</w:t>
            </w:r>
          </w:p>
        </w:tc>
        <w:tc>
          <w:tcPr/>
          <w:p>
            <w:pPr>
              <w:pStyle w:val="Compact"/>
              <w:jc w:val="left"/>
            </w:pPr>
            <w:r>
              <w:t xml:space="preserve">30 min</w:t>
            </w:r>
          </w:p>
        </w:tc>
      </w:tr>
      <w:tr>
        <w:tc>
          <w:tcPr/>
          <w:p>
            <w:pPr>
              <w:pStyle w:val="Compact"/>
              <w:jc w:val="left"/>
            </w:pPr>
            <w:r>
              <w:t xml:space="preserve">3</w:t>
            </w:r>
          </w:p>
        </w:tc>
        <w:tc>
          <w:tcPr/>
          <w:p>
            <w:pPr>
              <w:pStyle w:val="Compact"/>
              <w:jc w:val="left"/>
            </w:pPr>
            <w:r>
              <w:t xml:space="preserve">Expand the author page</w:t>
            </w:r>
          </w:p>
        </w:tc>
        <w:tc>
          <w:tcPr/>
          <w:p>
            <w:pPr>
              <w:pStyle w:val="Compact"/>
              <w:jc w:val="left"/>
            </w:pPr>
            <w:r>
              <w:t xml:space="preserve">1.4</w:t>
            </w:r>
          </w:p>
        </w:tc>
        <w:tc>
          <w:tcPr/>
          <w:p>
            <w:pPr>
              <w:pStyle w:val="Compact"/>
              <w:jc w:val="left"/>
            </w:pPr>
            <w:r>
              <w:t xml:space="preserve">CMS</w:t>
            </w:r>
          </w:p>
        </w:tc>
        <w:tc>
          <w:tcPr/>
          <w:p>
            <w:pPr>
              <w:pStyle w:val="Compact"/>
              <w:jc w:val="left"/>
            </w:pPr>
            <w:r>
              <w:t xml:space="preserve">30 min</w:t>
            </w:r>
          </w:p>
        </w:tc>
      </w:tr>
      <w:tr>
        <w:tc>
          <w:tcPr/>
          <w:p>
            <w:pPr>
              <w:pStyle w:val="Compact"/>
              <w:jc w:val="left"/>
            </w:pPr>
            <w:r>
              <w:t xml:space="preserve">4</w:t>
            </w:r>
          </w:p>
        </w:tc>
        <w:tc>
          <w:tcPr/>
          <w:p>
            <w:pPr>
              <w:pStyle w:val="Compact"/>
              <w:jc w:val="left"/>
            </w:pPr>
            <w:r>
              <w:t xml:space="preserve">Add FAQ blocks to 16 blog posts</w:t>
            </w:r>
          </w:p>
        </w:tc>
        <w:tc>
          <w:tcPr/>
          <w:p>
            <w:pPr>
              <w:pStyle w:val="Compact"/>
              <w:jc w:val="left"/>
            </w:pPr>
            <w:r>
              <w:t xml:space="preserve">2</w:t>
            </w:r>
          </w:p>
        </w:tc>
        <w:tc>
          <w:tcPr/>
          <w:p>
            <w:pPr>
              <w:pStyle w:val="Compact"/>
              <w:jc w:val="left"/>
            </w:pPr>
            <w:r>
              <w:t xml:space="preserve">CMS</w:t>
            </w:r>
          </w:p>
        </w:tc>
        <w:tc>
          <w:tcPr/>
          <w:p>
            <w:pPr>
              <w:pStyle w:val="Compact"/>
              <w:jc w:val="left"/>
            </w:pPr>
            <w:r>
              <w:t xml:space="preserve">2 days</w:t>
            </w:r>
          </w:p>
        </w:tc>
      </w:tr>
      <w:tr>
        <w:tc>
          <w:tcPr/>
          <w:p>
            <w:pPr>
              <w:pStyle w:val="Compact"/>
              <w:jc w:val="left"/>
            </w:pPr>
            <w:r>
              <w:t xml:space="preserve">5</w:t>
            </w:r>
          </w:p>
        </w:tc>
        <w:tc>
          <w:tcPr/>
          <w:p>
            <w:pPr>
              <w:pStyle w:val="Compact"/>
              <w:jc w:val="left"/>
            </w:pPr>
            <w:r>
              <w:t xml:space="preserve">Confirm FAQPage schema generated on all 16</w:t>
            </w:r>
          </w:p>
        </w:tc>
        <w:tc>
          <w:tcPr/>
          <w:p>
            <w:pPr>
              <w:pStyle w:val="Compact"/>
              <w:jc w:val="left"/>
            </w:pPr>
            <w:r>
              <w:t xml:space="preserve">1.2</w:t>
            </w:r>
          </w:p>
        </w:tc>
        <w:tc>
          <w:tcPr/>
          <w:p>
            <w:pPr>
              <w:pStyle w:val="Compact"/>
              <w:jc w:val="left"/>
            </w:pPr>
            <w:r>
              <w:t xml:space="preserve">Developer</w:t>
            </w:r>
          </w:p>
        </w:tc>
        <w:tc>
          <w:tcPr/>
          <w:p>
            <w:pPr>
              <w:pStyle w:val="Compact"/>
              <w:jc w:val="left"/>
            </w:pPr>
            <w:r>
              <w:t xml:space="preserve">1 hr</w:t>
            </w:r>
          </w:p>
        </w:tc>
      </w:tr>
      <w:tr>
        <w:tc>
          <w:tcPr/>
          <w:p>
            <w:pPr>
              <w:pStyle w:val="Compact"/>
              <w:jc w:val="left"/>
            </w:pPr>
            <w:r>
              <w:t xml:space="preserve">6</w:t>
            </w:r>
          </w:p>
        </w:tc>
        <w:tc>
          <w:tcPr/>
          <w:p>
            <w:pPr>
              <w:pStyle w:val="Compact"/>
              <w:jc w:val="left"/>
            </w:pPr>
            <w:r>
              <w:t xml:space="preserve">Build</w:t>
            </w:r>
            <w:r>
              <w:t xml:space="preserve"> </w:t>
            </w:r>
            <w:r>
              <w:rPr>
                <w:rStyle w:val="VerbatimChar"/>
              </w:rPr>
              <w:t xml:space="preserve">/glossary/managed-it-services</w:t>
            </w:r>
          </w:p>
        </w:tc>
        <w:tc>
          <w:tcPr/>
          <w:p>
            <w:pPr>
              <w:pStyle w:val="Compact"/>
              <w:jc w:val="left"/>
            </w:pPr>
            <w:r>
              <w:t xml:space="preserve">3</w:t>
            </w:r>
          </w:p>
        </w:tc>
        <w:tc>
          <w:tcPr/>
          <w:p>
            <w:pPr>
              <w:pStyle w:val="Compact"/>
              <w:jc w:val="left"/>
            </w:pPr>
            <w:r>
              <w:t xml:space="preserve">CMS</w:t>
            </w:r>
          </w:p>
        </w:tc>
        <w:tc>
          <w:tcPr/>
          <w:p>
            <w:pPr>
              <w:pStyle w:val="Compact"/>
              <w:jc w:val="left"/>
            </w:pPr>
            <w:r>
              <w:t xml:space="preserve">2 hrs</w:t>
            </w:r>
          </w:p>
        </w:tc>
      </w:tr>
      <w:tr>
        <w:tc>
          <w:tcPr/>
          <w:p>
            <w:pPr>
              <w:pStyle w:val="Compact"/>
              <w:jc w:val="left"/>
            </w:pPr>
            <w:r>
              <w:t xml:space="preserve">7</w:t>
            </w:r>
          </w:p>
        </w:tc>
        <w:tc>
          <w:tcPr/>
          <w:p>
            <w:pPr>
              <w:pStyle w:val="Compact"/>
              <w:jc w:val="left"/>
            </w:pPr>
            <w:r>
              <w:t xml:space="preserve">Build</w:t>
            </w:r>
            <w:r>
              <w:t xml:space="preserve"> </w:t>
            </w:r>
            <w:r>
              <w:rPr>
                <w:rStyle w:val="VerbatimChar"/>
              </w:rPr>
              <w:t xml:space="preserve">/resources/soc-2-checklist</w:t>
            </w:r>
          </w:p>
        </w:tc>
        <w:tc>
          <w:tcPr/>
          <w:p>
            <w:pPr>
              <w:pStyle w:val="Compact"/>
              <w:jc w:val="left"/>
            </w:pPr>
            <w:r>
              <w:t xml:space="preserve">3</w:t>
            </w:r>
          </w:p>
        </w:tc>
        <w:tc>
          <w:tcPr/>
          <w:p>
            <w:pPr>
              <w:pStyle w:val="Compact"/>
              <w:jc w:val="left"/>
            </w:pPr>
            <w:r>
              <w:t xml:space="preserve">CMS</w:t>
            </w:r>
          </w:p>
        </w:tc>
        <w:tc>
          <w:tcPr/>
          <w:p>
            <w:pPr>
              <w:pStyle w:val="Compact"/>
              <w:jc w:val="left"/>
            </w:pPr>
            <w:r>
              <w:t xml:space="preserve">2 hrs</w:t>
            </w:r>
          </w:p>
        </w:tc>
      </w:tr>
      <w:tr>
        <w:tc>
          <w:tcPr/>
          <w:p>
            <w:pPr>
              <w:pStyle w:val="Compact"/>
              <w:jc w:val="left"/>
            </w:pPr>
            <w:r>
              <w:t xml:space="preserve">8</w:t>
            </w:r>
          </w:p>
        </w:tc>
        <w:tc>
          <w:tcPr/>
          <w:p>
            <w:pPr>
              <w:pStyle w:val="Compact"/>
              <w:jc w:val="left"/>
            </w:pPr>
            <w:r>
              <w:t xml:space="preserve">Build the three pages from the previous pack</w:t>
            </w:r>
          </w:p>
        </w:tc>
        <w:tc>
          <w:tcPr/>
          <w:p>
            <w:pPr>
              <w:pStyle w:val="Compact"/>
              <w:jc w:val="left"/>
            </w:pPr>
            <w:r>
              <w:t xml:space="preserve">—</w:t>
            </w:r>
          </w:p>
        </w:tc>
        <w:tc>
          <w:tcPr/>
          <w:p>
            <w:pPr>
              <w:pStyle w:val="Compact"/>
              <w:jc w:val="left"/>
            </w:pPr>
            <w:r>
              <w:t xml:space="preserve">CMS</w:t>
            </w:r>
          </w:p>
        </w:tc>
        <w:tc>
          <w:tcPr/>
          <w:p>
            <w:pPr>
              <w:pStyle w:val="Compact"/>
              <w:jc w:val="left"/>
            </w:pPr>
            <w:r>
              <w:t xml:space="preserve">3 days</w:t>
            </w:r>
          </w:p>
        </w:tc>
      </w:tr>
      <w:tr>
        <w:tc>
          <w:tcPr/>
          <w:p>
            <w:pPr>
              <w:pStyle w:val="Compact"/>
              <w:jc w:val="left"/>
            </w:pPr>
            <w:r>
              <w:t xml:space="preserve">9</w:t>
            </w:r>
          </w:p>
        </w:tc>
        <w:tc>
          <w:tcPr/>
          <w:p>
            <w:pPr>
              <w:pStyle w:val="Compact"/>
              <w:jc w:val="left"/>
            </w:pPr>
            <w:r>
              <w:t xml:space="preserve">Re-measure Search Console and run the 8 GEO prompts</w:t>
            </w:r>
          </w:p>
        </w:tc>
        <w:tc>
          <w:tcPr/>
          <w:p>
            <w:pPr>
              <w:pStyle w:val="Compact"/>
              <w:jc w:val="left"/>
            </w:pPr>
            <w:r>
              <w:t xml:space="preserve">—</w:t>
            </w:r>
          </w:p>
        </w:tc>
        <w:tc>
          <w:tcPr/>
          <w:p>
            <w:pPr>
              <w:pStyle w:val="Compact"/>
              <w:jc w:val="left"/>
            </w:pPr>
            <w:r>
              <w:t xml:space="preserve">Suman</w:t>
            </w:r>
          </w:p>
        </w:tc>
        <w:tc>
          <w:tcPr/>
          <w:p>
            <w:pPr>
              <w:pStyle w:val="Compact"/>
              <w:jc w:val="left"/>
            </w:pPr>
            <w:r>
              <w:t xml:space="preserve">1 hr</w:t>
            </w:r>
          </w:p>
        </w:tc>
      </w:tr>
    </w:tbl>
    <w:p>
      <w:pPr>
        <w:pStyle w:val="BodyText"/>
      </w:pPr>
      <w:r>
        <w:t xml:space="preserve">Items 1–3 are under two hours in total. Item 4 is the one that moves the needle: 16 posts going from no FAQ to a structured, schema-marked FAQ is 16 more pages that can win a rich result and be quoted by an AI engine.</w:t>
      </w:r>
    </w:p>
    <w:p>
      <w:r>
        <w:pict>
          <v:rect style="width:0;height:1.5pt" o:hralign="center" o:hrstd="t" o:hr="t"/>
        </w:pict>
      </w:r>
    </w:p>
    <w:p>
      <w:pPr>
        <w:pStyle w:val="FirstParagraph"/>
      </w:pPr>
      <w:r>
        <w:rPr>
          <w:iCs/>
          <w:i/>
        </w:rPr>
        <w:t xml:space="preserve">Digipuush · Prepared for Aadit Technologies Pvt. Ltd. · October 2026</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aadit.net/compare/soc-2-vs-iso-27001" TargetMode="External" /><Relationship Type="http://schemas.openxmlformats.org/officeDocument/2006/relationships/hyperlink" Id="rId75" Target="https://aadit.net/contact" TargetMode="External" /><Relationship Type="http://schemas.openxmlformats.org/officeDocument/2006/relationships/hyperlink" Id="rId66" Target="https://aadit.net/cybersecurity/vapt" TargetMode="External" /><Relationship Type="http://schemas.openxmlformats.org/officeDocument/2006/relationships/hyperlink" Id="rId49" Target="https://aadit.net/glossary/soc" TargetMode="External" /><Relationship Type="http://schemas.openxmlformats.org/officeDocument/2006/relationships/hyperlink" Id="rId57" Target="https://aadit.net/it-managed-services/helpdesk-support" TargetMode="External" /><Relationship Type="http://schemas.openxmlformats.org/officeDocument/2006/relationships/hyperlink" Id="rId56" Target="https://aadit.net/it-managed-services/managed-it-services" TargetMode="External" /></Relationships>
</file>

<file path=word/_rels/footnotes.xml.rels><?xml version="1.0" encoding="UTF-8"?><Relationships xmlns="http://schemas.openxmlformats.org/package/2006/relationships"><Relationship Type="http://schemas.openxmlformats.org/officeDocument/2006/relationships/hyperlink" Id="rId77" Target="https://aadit.net/compare/soc-2-vs-iso-27001" TargetMode="External" /><Relationship Type="http://schemas.openxmlformats.org/officeDocument/2006/relationships/hyperlink" Id="rId75" Target="https://aadit.net/contact" TargetMode="External" /><Relationship Type="http://schemas.openxmlformats.org/officeDocument/2006/relationships/hyperlink" Id="rId66" Target="https://aadit.net/cybersecurity/vapt" TargetMode="External" /><Relationship Type="http://schemas.openxmlformats.org/officeDocument/2006/relationships/hyperlink" Id="rId49" Target="https://aadit.net/glossary/soc" TargetMode="External" /><Relationship Type="http://schemas.openxmlformats.org/officeDocument/2006/relationships/hyperlink" Id="rId57" Target="https://aadit.net/it-managed-services/helpdesk-support" TargetMode="External" /><Relationship Type="http://schemas.openxmlformats.org/officeDocument/2006/relationships/hyperlink" Id="rId56" Target="https://aadit.net/it-managed-services/managed-it-servi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2026-10-06T12:46:19Z</dcterms:created>
  <dcterms:modified xsi:type="dcterms:W3CDTF">2026-10-06T12:46:19Z</dcterms:modified>
</cp:coreProperties>
</file>

<file path=docProps/custom.xml><?xml version="1.0" encoding="utf-8"?>
<Properties xmlns="http://schemas.openxmlformats.org/officeDocument/2006/custom-properties" xmlns:vt="http://schemas.openxmlformats.org/officeDocument/2006/docPropsVTypes"/>
</file>