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A1A1A"/>
          <w:sz w:val="32"/>
          <w:szCs w:val="32"/>
        </w:rPr>
        <w:t xml:space="preserve">Final Comparison Table</w:t>
      </w:r>
    </w:p>
    <w:p>
      <w:pPr>
        <w:spacing w:after="60"/>
      </w:pPr>
      <w:r>
        <w:rPr>
          <w:b w:val="false"/>
          <w:bCs w:val="false"/>
          <w:i w:val="false"/>
          <w:iCs w:val="false"/>
          <w:color w:val="555555"/>
          <w:sz w:val="19"/>
          <w:szCs w:val="19"/>
        </w:rPr>
        <w:t xml:space="preserve">TinyLlama · Base → SFT → DPO · Antares–AMAG Manufacturing Agreement (CUAD)</w:t>
      </w:r>
    </w:p>
    <w:p>
      <w:pPr>
        <w:spacing w:after="200"/>
      </w:pPr>
      <w:r>
        <w:rPr>
          <w:b w:val="false"/>
          <w:bCs w:val="false"/>
          <w:i/>
          <w:iCs/>
          <w:color w:val="555555"/>
          <w:sz w:val="17"/>
          <w:szCs w:val="17"/>
        </w:rPr>
        <w:t xml:space="preserve">Decoding: greedy (do_sample=False) for all models — identical settings, so all differences are attributable to training alone.</w:t>
      </w:r>
    </w:p>
    <w:p>
      <w:pPr>
        <w:spacing w:after="220"/>
      </w:pPr>
      <w:r>
        <w:rPr>
          <w:b/>
          <w:bCs/>
          <w:i w:val="false"/>
          <w:iCs w:val="false"/>
          <w:color w:val="7C3F00"/>
          <w:sz w:val="17"/>
          <w:szCs w:val="17"/>
        </w:rPr>
        <w:t xml:space="preserve">Headline finding: DPO preserved the one well-trained fact (Q1) and degraded almost everything else. It did not fix the effective date (Q3, Q8) despite the preference dataset containing that exact pair. See Key Observations.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2900"/>
        <w:gridCol w:w="2400"/>
        <w:gridCol w:w="1300"/>
        <w:gridCol w:w="3000"/>
      </w:tblGrid>
      <w:tr>
        <w:trPr>
          <w:tblHeader/>
        </w:trPr>
        <w:tc>
          <w:tcPr>
            <w:tcW w:type="dxa" w:w="1900"/>
            <w:shd w:fill="E8E0D4" w:color="auto" w:val="clear"/>
            <w:tcMar>
              <w:top w:type="dxa" w:w="80"/>
              <w:left w:type="dxa" w:w="100"/>
              <w:bottom w:type="dxa" w:w="80"/>
              <w:right w:type="dxa" w:w="100"/>
            </w:tcMar>
          </w:tcPr>
          <w:p>
            <w:pPr>
              <w:spacing w:after="40"/>
              <w:jc w:val="center"/>
            </w:pPr>
            <w:r>
              <w:rPr>
                <w:b/>
                <w:bCs/>
                <w:i w:val="false"/>
                <w:iCs w:val="false"/>
                <w:color w:val="1A1A1A"/>
                <w:sz w:val="19"/>
                <w:szCs w:val="19"/>
              </w:rPr>
              <w:t xml:space="preserve">Question</w:t>
            </w:r>
          </w:p>
        </w:tc>
        <w:tc>
          <w:tcPr>
            <w:tcW w:type="dxa" w:w="2900"/>
            <w:shd w:fill="E8E0D4" w:color="auto" w:val="clear"/>
            <w:tcMar>
              <w:top w:type="dxa" w:w="80"/>
              <w:left w:type="dxa" w:w="100"/>
              <w:bottom w:type="dxa" w:w="80"/>
              <w:right w:type="dxa" w:w="100"/>
            </w:tcMar>
          </w:tcPr>
          <w:p>
            <w:pPr>
              <w:spacing w:after="40"/>
              <w:jc w:val="center"/>
            </w:pPr>
            <w:r>
              <w:rPr>
                <w:b/>
                <w:bCs/>
                <w:i w:val="false"/>
                <w:iCs w:val="false"/>
                <w:color w:val="1A1A1A"/>
                <w:sz w:val="19"/>
                <w:szCs w:val="19"/>
              </w:rPr>
              <w:t xml:space="preserve">Base Model Answer</w:t>
            </w:r>
          </w:p>
        </w:tc>
        <w:tc>
          <w:tcPr>
            <w:tcW w:type="dxa" w:w="2900"/>
            <w:shd w:fill="E8E0D4" w:color="auto" w:val="clear"/>
            <w:tcMar>
              <w:top w:type="dxa" w:w="80"/>
              <w:left w:type="dxa" w:w="100"/>
              <w:bottom w:type="dxa" w:w="80"/>
              <w:right w:type="dxa" w:w="100"/>
            </w:tcMar>
          </w:tcPr>
          <w:p>
            <w:pPr>
              <w:spacing w:after="40"/>
              <w:jc w:val="center"/>
            </w:pPr>
            <w:r>
              <w:rPr>
                <w:b/>
                <w:bCs/>
                <w:i w:val="false"/>
                <w:iCs w:val="false"/>
                <w:color w:val="1A1A1A"/>
                <w:sz w:val="19"/>
                <w:szCs w:val="19"/>
              </w:rPr>
              <w:t xml:space="preserve">SFT Model Answer</w:t>
            </w:r>
          </w:p>
        </w:tc>
        <w:tc>
          <w:tcPr>
            <w:tcW w:type="dxa" w:w="2400"/>
            <w:shd w:fill="E8E0D4" w:color="auto" w:val="clear"/>
            <w:tcMar>
              <w:top w:type="dxa" w:w="80"/>
              <w:left w:type="dxa" w:w="100"/>
              <w:bottom w:type="dxa" w:w="80"/>
              <w:right w:type="dxa" w:w="100"/>
            </w:tcMar>
          </w:tcPr>
          <w:p>
            <w:pPr>
              <w:spacing w:after="40"/>
              <w:jc w:val="center"/>
            </w:pPr>
            <w:r>
              <w:rPr>
                <w:b/>
                <w:bCs/>
                <w:i w:val="false"/>
                <w:iCs w:val="false"/>
                <w:color w:val="1A1A1A"/>
                <w:sz w:val="19"/>
                <w:szCs w:val="19"/>
              </w:rPr>
              <w:t xml:space="preserve">DPO Model Answer</w:t>
            </w:r>
          </w:p>
        </w:tc>
        <w:tc>
          <w:tcPr>
            <w:tcW w:type="dxa" w:w="1300"/>
            <w:shd w:fill="E8E0D4" w:color="auto" w:val="clear"/>
            <w:tcMar>
              <w:top w:type="dxa" w:w="80"/>
              <w:left w:type="dxa" w:w="100"/>
              <w:bottom w:type="dxa" w:w="80"/>
              <w:right w:type="dxa" w:w="100"/>
            </w:tcMar>
          </w:tcPr>
          <w:p>
            <w:pPr>
              <w:spacing w:after="40"/>
              <w:jc w:val="center"/>
            </w:pPr>
            <w:r>
              <w:rPr>
                <w:b/>
                <w:bCs/>
                <w:i w:val="false"/>
                <w:iCs w:val="false"/>
                <w:color w:val="1A1A1A"/>
                <w:sz w:val="19"/>
                <w:szCs w:val="19"/>
              </w:rPr>
              <w:t xml:space="preserve">Best Answer</w:t>
            </w:r>
          </w:p>
        </w:tc>
        <w:tc>
          <w:tcPr>
            <w:tcW w:type="dxa" w:w="3000"/>
            <w:shd w:fill="E8E0D4" w:color="auto" w:val="clear"/>
            <w:tcMar>
              <w:top w:type="dxa" w:w="80"/>
              <w:left w:type="dxa" w:w="100"/>
              <w:bottom w:type="dxa" w:w="80"/>
              <w:right w:type="dxa" w:w="100"/>
            </w:tcMar>
          </w:tcPr>
          <w:p>
            <w:pPr>
              <w:spacing w:after="40"/>
              <w:jc w:val="center"/>
            </w:pPr>
            <w:r>
              <w:rPr>
                <w:b/>
                <w:bCs/>
                <w:i w:val="false"/>
                <w:iCs w:val="false"/>
                <w:color w:val="1A1A1A"/>
                <w:sz w:val="19"/>
                <w:szCs w:val="19"/>
              </w:rPr>
              <w:t xml:space="preserve">Reason</w:t>
            </w:r>
          </w:p>
        </w:tc>
      </w:tr>
      <w:tr>
        <w:tc>
          <w:tcPr>
            <w:tcW w:type="dxa" w:w="1900"/>
            <w:tcMar>
              <w:top w:type="dxa" w:w="80"/>
              <w:left w:type="dxa" w:w="100"/>
              <w:bottom w:type="dxa" w:w="80"/>
              <w:right w:type="dxa" w:w="100"/>
            </w:tcMar>
          </w:tcPr>
          <w:p>
            <w:pPr>
              <w:spacing w:after="40"/>
            </w:pPr>
            <w:r>
              <w:rPr>
                <w:b/>
                <w:bCs/>
                <w:i w:val="false"/>
                <w:iCs w:val="false"/>
                <w:color w:val="1A1A1A"/>
                <w:sz w:val="17"/>
                <w:szCs w:val="17"/>
              </w:rPr>
              <w:t xml:space="preserve">1. What is the Drug that is the subject of the Antares–AMAG Manufacturing Agreement?</w:t>
            </w:r>
          </w:p>
        </w:tc>
        <w:tc>
          <w:tcPr>
            <w:tcW w:type="dxa" w:w="2900"/>
            <w:tcMar>
              <w:top w:type="dxa" w:w="80"/>
              <w:left w:type="dxa" w:w="100"/>
              <w:bottom w:type="dxa" w:w="80"/>
              <w:right w:type="dxa" w:w="100"/>
            </w:tcMar>
          </w:tcPr>
          <w:p>
            <w:pPr>
              <w:spacing w:after="40"/>
            </w:pPr>
            <w:r>
              <w:rPr>
                <w:b w:val="false"/>
                <w:bCs w:val="false"/>
                <w:i w:val="false"/>
                <w:iCs w:val="false"/>
                <w:color w:val="1A1A1A"/>
                <w:sz w:val="17"/>
                <w:szCs w:val="17"/>
              </w:rPr>
              <w:t xml:space="preserve">"NBUD-BRL (Nebulin Autologous Beta-Lactamase Inhibitor)... a wholly owned subsidiary of Amgen Inc." Includes a fabricated FDA URL.</w:t>
            </w:r>
          </w:p>
        </w:tc>
        <w:tc>
          <w:tcPr>
            <w:tcW w:type="dxa" w:w="2900"/>
            <w:tcMar>
              <w:top w:type="dxa" w:w="80"/>
              <w:left w:type="dxa" w:w="100"/>
              <w:bottom w:type="dxa" w:w="80"/>
              <w:right w:type="dxa" w:w="100"/>
            </w:tcMar>
          </w:tcPr>
          <w:p>
            <w:pPr>
              <w:spacing w:after="40"/>
            </w:pPr>
            <w:r>
              <w:rPr>
                <w:b w:val="false"/>
                <w:bCs w:val="false"/>
                <w:i w:val="false"/>
                <w:iCs w:val="false"/>
                <w:color w:val="1A1A1A"/>
                <w:sz w:val="17"/>
                <w:szCs w:val="17"/>
              </w:rPr>
              <w:t xml:space="preserve">"It is 17-alpha hydroxyprogesterone caproate."</w:t>
            </w:r>
          </w:p>
        </w:tc>
        <w:tc>
          <w:tcPr>
            <w:tcW w:type="dxa" w:w="2400"/>
            <w:tcMar>
              <w:top w:type="dxa" w:w="80"/>
              <w:left w:type="dxa" w:w="100"/>
              <w:bottom w:type="dxa" w:w="80"/>
              <w:right w:type="dxa" w:w="100"/>
            </w:tcMar>
          </w:tcPr>
          <w:p>
            <w:pPr>
              <w:spacing w:after="40"/>
            </w:pPr>
            <w:r>
              <w:rPr>
                <w:b w:val="false"/>
                <w:bCs w:val="false"/>
                <w:i w:val="false"/>
                <w:iCs w:val="false"/>
                <w:color w:val="1A1A1A"/>
                <w:sz w:val="17"/>
                <w:szCs w:val="17"/>
              </w:rPr>
              <w:t xml:space="preserve">"It is 17-alpha hydroxyprogesterone caproate."</w:t>
            </w:r>
          </w:p>
        </w:tc>
        <w:tc>
          <w:tcPr>
            <w:tcW w:type="dxa" w:w="1300"/>
            <w:tcMar>
              <w:top w:type="dxa" w:w="80"/>
              <w:left w:type="dxa" w:w="100"/>
              <w:bottom w:type="dxa" w:w="80"/>
              <w:right w:type="dxa" w:w="100"/>
            </w:tcMar>
          </w:tcPr>
          <w:p>
            <w:pPr>
              <w:spacing w:after="40"/>
            </w:pPr>
            <w:r>
              <w:rPr>
                <w:b/>
                <w:bCs/>
                <w:i w:val="false"/>
                <w:iCs w:val="false"/>
                <w:color w:val="1A1A1A"/>
                <w:sz w:val="17"/>
                <w:szCs w:val="17"/>
              </w:rPr>
              <w:t xml:space="preserve">SFT / DPO (tied)</w:t>
            </w:r>
          </w:p>
        </w:tc>
        <w:tc>
          <w:tcPr>
            <w:tcW w:type="dxa" w:w="3000"/>
            <w:tcMar>
              <w:top w:type="dxa" w:w="80"/>
              <w:left w:type="dxa" w:w="100"/>
              <w:bottom w:type="dxa" w:w="80"/>
              <w:right w:type="dxa" w:w="100"/>
            </w:tcMar>
          </w:tcPr>
          <w:p>
            <w:pPr>
              <w:spacing w:after="40"/>
            </w:pPr>
            <w:r>
              <w:rPr>
                <w:b w:val="false"/>
                <w:bCs w:val="false"/>
                <w:i w:val="false"/>
                <w:iCs w:val="false"/>
                <w:color w:val="1A1A1A"/>
                <w:sz w:val="17"/>
                <w:szCs w:val="17"/>
              </w:rPr>
              <w:t xml:space="preserve">Both correct. The only fact deliberately enriched to 8 training occurrences. DPO preserved it — the one question where DPO caused no harm.</w:t>
            </w:r>
          </w:p>
        </w:tc>
      </w:tr>
      <w:tr>
        <w:tc>
          <w:tcPr>
            <w:tcW w:type="dxa" w:w="1900"/>
            <w:shd w:fill="F7F4EF" w:color="auto" w:val="clear"/>
            <w:tcMar>
              <w:top w:type="dxa" w:w="80"/>
              <w:left w:type="dxa" w:w="100"/>
              <w:bottom w:type="dxa" w:w="80"/>
              <w:right w:type="dxa" w:w="100"/>
            </w:tcMar>
          </w:tcPr>
          <w:p>
            <w:pPr>
              <w:spacing w:after="40"/>
            </w:pPr>
            <w:r>
              <w:rPr>
                <w:b/>
                <w:bCs/>
                <w:i w:val="false"/>
                <w:iCs w:val="false"/>
                <w:color w:val="1A1A1A"/>
                <w:sz w:val="17"/>
                <w:szCs w:val="17"/>
              </w:rPr>
              <w:t xml:space="preserve">2. Who are the parties to the Manufacturing Agreement?</w:t>
            </w:r>
          </w:p>
        </w:tc>
        <w:tc>
          <w:tcPr>
            <w:tcW w:type="dxa" w:w="2900"/>
            <w:shd w:fill="F7F4EF" w:color="auto" w:val="clear"/>
            <w:tcMar>
              <w:top w:type="dxa" w:w="80"/>
              <w:left w:type="dxa" w:w="100"/>
              <w:bottom w:type="dxa" w:w="80"/>
              <w:right w:type="dxa" w:w="100"/>
            </w:tcMar>
          </w:tcPr>
          <w:p>
            <w:pPr>
              <w:spacing w:after="40"/>
            </w:pPr>
            <w:r>
              <w:rPr>
                <w:b w:val="false"/>
                <w:bCs w:val="false"/>
                <w:i w:val="false"/>
                <w:iCs w:val="false"/>
                <w:color w:val="1A1A1A"/>
                <w:sz w:val="17"/>
                <w:szCs w:val="17"/>
              </w:rPr>
              <w:t xml:space="preserve">"The Parties... include Amazon (the 'Customer') and ______ ('Seller')"</w:t>
            </w:r>
          </w:p>
        </w:tc>
        <w:tc>
          <w:tcPr>
            <w:tcW w:type="dxa" w:w="2900"/>
            <w:shd w:fill="F7F4EF" w:color="auto" w:val="clear"/>
            <w:tcMar>
              <w:top w:type="dxa" w:w="80"/>
              <w:left w:type="dxa" w:w="100"/>
              <w:bottom w:type="dxa" w:w="80"/>
              <w:right w:type="dxa" w:w="100"/>
            </w:tcMar>
          </w:tcPr>
          <w:p>
            <w:pPr>
              <w:spacing w:after="40"/>
            </w:pPr>
            <w:r>
              <w:rPr>
                <w:b w:val="false"/>
                <w:bCs w:val="false"/>
                <w:i w:val="false"/>
                <w:iCs w:val="false"/>
                <w:color w:val="1A1A1A"/>
                <w:sz w:val="17"/>
                <w:szCs w:val="17"/>
              </w:rPr>
              <w:t xml:space="preserve">"It is the agreement between AMAG and Antares governing... the 17-alpha hydroxyprogesterone caproate Device"</w:t>
            </w:r>
          </w:p>
        </w:tc>
        <w:tc>
          <w:tcPr>
            <w:tcW w:type="dxa" w:w="2400"/>
            <w:shd w:fill="F7F4EF" w:color="auto" w:val="clear"/>
            <w:tcMar>
              <w:top w:type="dxa" w:w="80"/>
              <w:left w:type="dxa" w:w="100"/>
              <w:bottom w:type="dxa" w:w="80"/>
              <w:right w:type="dxa" w:w="100"/>
            </w:tcMar>
          </w:tcPr>
          <w:p>
            <w:pPr>
              <w:spacing w:after="40"/>
            </w:pPr>
            <w:r>
              <w:rPr>
                <w:b w:val="false"/>
                <w:bCs w:val="false"/>
                <w:i w:val="false"/>
                <w:iCs w:val="false"/>
                <w:color w:val="1A1A1A"/>
                <w:sz w:val="17"/>
                <w:szCs w:val="17"/>
              </w:rPr>
              <w:t xml:space="preserve">"...specifies where they happen (and which one is in Sequence 01)... either party must execute as exhibit to it without revision."</w:t>
            </w:r>
          </w:p>
        </w:tc>
        <w:tc>
          <w:tcPr>
            <w:tcW w:type="dxa" w:w="1300"/>
            <w:shd w:fill="F7F4EF" w:color="auto" w:val="clear"/>
            <w:tcMar>
              <w:top w:type="dxa" w:w="80"/>
              <w:left w:type="dxa" w:w="100"/>
              <w:bottom w:type="dxa" w:w="80"/>
              <w:right w:type="dxa" w:w="100"/>
            </w:tcMar>
          </w:tcPr>
          <w:p>
            <w:pPr>
              <w:spacing w:after="40"/>
            </w:pPr>
            <w:r>
              <w:rPr>
                <w:b/>
                <w:bCs/>
                <w:i w:val="false"/>
                <w:iCs w:val="false"/>
                <w:color w:val="1A1A1A"/>
                <w:sz w:val="17"/>
                <w:szCs w:val="17"/>
              </w:rPr>
              <w:t xml:space="preserve">SFT</w:t>
            </w:r>
          </w:p>
        </w:tc>
        <w:tc>
          <w:tcPr>
            <w:tcW w:type="dxa" w:w="3000"/>
            <w:shd w:fill="F7F4EF" w:color="auto" w:val="clear"/>
            <w:tcMar>
              <w:top w:type="dxa" w:w="80"/>
              <w:left w:type="dxa" w:w="100"/>
              <w:bottom w:type="dxa" w:w="80"/>
              <w:right w:type="dxa" w:w="100"/>
            </w:tcMar>
          </w:tcPr>
          <w:p>
            <w:pPr>
              <w:spacing w:after="40"/>
            </w:pPr>
            <w:r>
              <w:rPr>
                <w:b w:val="false"/>
                <w:bCs w:val="false"/>
                <w:i w:val="false"/>
                <w:iCs w:val="false"/>
                <w:color w:val="1A1A1A"/>
                <w:sz w:val="17"/>
                <w:szCs w:val="17"/>
              </w:rPr>
              <w:t xml:space="preserve">Base names Amazon. SFT is correct and concise. DPO keeps the right parties but adds invented detail ("Sequence 01") and becomes rambling — an early sign of the length bias in the preference data.</w:t>
            </w:r>
          </w:p>
        </w:tc>
      </w:tr>
      <w:tr>
        <w:tc>
          <w:tcPr>
            <w:tcW w:type="dxa" w:w="1900"/>
            <w:tcMar>
              <w:top w:type="dxa" w:w="80"/>
              <w:left w:type="dxa" w:w="100"/>
              <w:bottom w:type="dxa" w:w="80"/>
              <w:right w:type="dxa" w:w="100"/>
            </w:tcMar>
          </w:tcPr>
          <w:p>
            <w:pPr>
              <w:spacing w:after="40"/>
            </w:pPr>
            <w:r>
              <w:rPr>
                <w:b/>
                <w:bCs/>
                <w:i w:val="false"/>
                <w:iCs w:val="false"/>
                <w:color w:val="1A1A1A"/>
                <w:sz w:val="17"/>
                <w:szCs w:val="17"/>
              </w:rPr>
              <w:t xml:space="preserve">3. What is the effective date of the Agreement?</w:t>
            </w:r>
          </w:p>
        </w:tc>
        <w:tc>
          <w:tcPr>
            <w:tcW w:type="dxa" w:w="2900"/>
            <w:tcMar>
              <w:top w:type="dxa" w:w="80"/>
              <w:left w:type="dxa" w:w="100"/>
              <w:bottom w:type="dxa" w:w="80"/>
              <w:right w:type="dxa" w:w="100"/>
            </w:tcMar>
          </w:tcPr>
          <w:p>
            <w:pPr>
              <w:spacing w:after="40"/>
            </w:pPr>
            <w:r>
              <w:rPr>
                <w:b w:val="false"/>
                <w:bCs w:val="false"/>
                <w:i w:val="false"/>
                <w:iCs w:val="false"/>
                <w:color w:val="1A1A1A"/>
                <w:sz w:val="17"/>
                <w:szCs w:val="17"/>
              </w:rPr>
              <w:t xml:space="preserve">"on or about January 1, 20XX"</w:t>
            </w:r>
          </w:p>
        </w:tc>
        <w:tc>
          <w:tcPr>
            <w:tcW w:type="dxa" w:w="2900"/>
            <w:tcMar>
              <w:top w:type="dxa" w:w="80"/>
              <w:left w:type="dxa" w:w="100"/>
              <w:bottom w:type="dxa" w:w="80"/>
              <w:right w:type="dxa" w:w="100"/>
            </w:tcMar>
          </w:tcPr>
          <w:p>
            <w:pPr>
              <w:spacing w:after="40"/>
            </w:pPr>
            <w:r>
              <w:rPr>
                <w:b w:val="false"/>
                <w:bCs w:val="false"/>
                <w:i w:val="false"/>
                <w:iCs w:val="false"/>
                <w:color w:val="1A1A1A"/>
                <w:sz w:val="17"/>
                <w:szCs w:val="17"/>
              </w:rPr>
              <w:t xml:space="preserve">"It becomes effective on the First Firm Order Acceptance, and anticlaudation laws apply exclusively."</w:t>
            </w:r>
          </w:p>
        </w:tc>
        <w:tc>
          <w:tcPr>
            <w:tcW w:type="dxa" w:w="2400"/>
            <w:tcMar>
              <w:top w:type="dxa" w:w="80"/>
              <w:left w:type="dxa" w:w="100"/>
              <w:bottom w:type="dxa" w:w="80"/>
              <w:right w:type="dxa" w:w="100"/>
            </w:tcMar>
          </w:tcPr>
          <w:p>
            <w:pPr>
              <w:spacing w:after="40"/>
            </w:pPr>
            <w:r>
              <w:rPr>
                <w:b w:val="false"/>
                <w:bCs w:val="false"/>
                <w:i w:val="false"/>
                <w:iCs w:val="false"/>
                <w:color w:val="1A1A1A"/>
                <w:sz w:val="17"/>
                <w:szCs w:val="17"/>
              </w:rPr>
              <w:t xml:space="preserve">"It becomes effective on the First Forecast Date... both dates are expressed as months."</w:t>
            </w:r>
          </w:p>
        </w:tc>
        <w:tc>
          <w:tcPr>
            <w:tcW w:type="dxa" w:w="1300"/>
            <w:tcMar>
              <w:top w:type="dxa" w:w="80"/>
              <w:left w:type="dxa" w:w="100"/>
              <w:bottom w:type="dxa" w:w="80"/>
              <w:right w:type="dxa" w:w="100"/>
            </w:tcMar>
          </w:tcPr>
          <w:p>
            <w:pPr>
              <w:spacing w:after="40"/>
            </w:pPr>
            <w:r>
              <w:rPr>
                <w:b/>
                <w:bCs/>
                <w:i w:val="false"/>
                <w:iCs w:val="false"/>
                <w:color w:val="1A1A1A"/>
                <w:sz w:val="17"/>
                <w:szCs w:val="17"/>
              </w:rPr>
              <w:t xml:space="preserve">Neither</w:t>
            </w:r>
          </w:p>
        </w:tc>
        <w:tc>
          <w:tcPr>
            <w:tcW w:type="dxa" w:w="3000"/>
            <w:tcMar>
              <w:top w:type="dxa" w:w="80"/>
              <w:left w:type="dxa" w:w="100"/>
              <w:bottom w:type="dxa" w:w="80"/>
              <w:right w:type="dxa" w:w="100"/>
            </w:tcMar>
          </w:tcPr>
          <w:p>
            <w:pPr>
              <w:spacing w:after="40"/>
            </w:pPr>
            <w:r>
              <w:rPr>
                <w:b w:val="false"/>
                <w:bCs w:val="false"/>
                <w:i w:val="false"/>
                <w:iCs w:val="false"/>
                <w:color w:val="1A1A1A"/>
                <w:sz w:val="17"/>
                <w:szCs w:val="17"/>
              </w:rPr>
              <w:t xml:space="preserve">All three wrong (true: March 20, 2018). CONTROL CASE: the preference dataset contains a pair for this exact fact, yet DPO did not install it. The fact appeared in 1 of 104 SFT examples — there was no representation to sharpen.</w:t>
            </w:r>
          </w:p>
        </w:tc>
      </w:tr>
      <w:tr>
        <w:tc>
          <w:tcPr>
            <w:tcW w:type="dxa" w:w="1900"/>
            <w:shd w:fill="F7F4EF" w:color="auto" w:val="clear"/>
            <w:tcMar>
              <w:top w:type="dxa" w:w="80"/>
              <w:left w:type="dxa" w:w="100"/>
              <w:bottom w:type="dxa" w:w="80"/>
              <w:right w:type="dxa" w:w="100"/>
            </w:tcMar>
          </w:tcPr>
          <w:p>
            <w:pPr>
              <w:spacing w:after="40"/>
            </w:pPr>
            <w:r>
              <w:rPr>
                <w:b/>
                <w:bCs/>
                <w:i w:val="false"/>
                <w:iCs w:val="false"/>
                <w:color w:val="1A1A1A"/>
                <w:sz w:val="17"/>
                <w:szCs w:val="17"/>
              </w:rPr>
              <w:t xml:space="preserve">4. Who are the agreeing parties?</w:t>
            </w:r>
          </w:p>
        </w:tc>
        <w:tc>
          <w:tcPr>
            <w:tcW w:type="dxa" w:w="2900"/>
            <w:shd w:fill="F7F4EF" w:color="auto" w:val="clear"/>
            <w:tcMar>
              <w:top w:type="dxa" w:w="80"/>
              <w:left w:type="dxa" w:w="100"/>
              <w:bottom w:type="dxa" w:w="80"/>
              <w:right w:type="dxa" w:w="100"/>
            </w:tcMar>
          </w:tcPr>
          <w:p>
            <w:pPr>
              <w:spacing w:after="40"/>
            </w:pPr>
            <w:r>
              <w:rPr>
                <w:b w:val="false"/>
                <w:bCs w:val="false"/>
                <w:i w:val="false"/>
                <w:iCs w:val="false"/>
                <w:color w:val="1A1A1A"/>
                <w:sz w:val="17"/>
                <w:szCs w:val="17"/>
              </w:rPr>
              <w:t xml:space="preserve">Generic boilerplate about "the parties," no names given.</w:t>
            </w:r>
          </w:p>
        </w:tc>
        <w:tc>
          <w:tcPr>
            <w:tcW w:type="dxa" w:w="2900"/>
            <w:shd w:fill="F7F4EF" w:color="auto" w:val="clear"/>
            <w:tcMar>
              <w:top w:type="dxa" w:w="80"/>
              <w:left w:type="dxa" w:w="100"/>
              <w:bottom w:type="dxa" w:w="80"/>
              <w:right w:type="dxa" w:w="100"/>
            </w:tcMar>
          </w:tcPr>
          <w:p>
            <w:pPr>
              <w:spacing w:after="40"/>
            </w:pPr>
            <w:r>
              <w:rPr>
                <w:b w:val="false"/>
                <w:bCs w:val="false"/>
                <w:i w:val="false"/>
                <w:iCs w:val="false"/>
                <w:color w:val="1A1A1A"/>
                <w:sz w:val="17"/>
                <w:szCs w:val="17"/>
              </w:rPr>
              <w:t xml:space="preserve">"Antares and AMAG, each formed under the International Business Commencement Code... Antares is based in Miami, Florida, and AMAG in Liverpool, England."</w:t>
            </w:r>
          </w:p>
        </w:tc>
        <w:tc>
          <w:tcPr>
            <w:tcW w:type="dxa" w:w="2400"/>
            <w:shd w:fill="F7F4EF" w:color="auto" w:val="clear"/>
            <w:tcMar>
              <w:top w:type="dxa" w:w="80"/>
              <w:left w:type="dxa" w:w="100"/>
              <w:bottom w:type="dxa" w:w="80"/>
              <w:right w:type="dxa" w:w="100"/>
            </w:tcMar>
          </w:tcPr>
          <w:p>
            <w:pPr>
              <w:spacing w:after="40"/>
            </w:pPr>
            <w:r>
              <w:rPr>
                <w:b w:val="false"/>
                <w:bCs w:val="false"/>
                <w:i w:val="false"/>
                <w:iCs w:val="false"/>
                <w:color w:val="1A1A1A"/>
                <w:sz w:val="17"/>
                <w:szCs w:val="17"/>
              </w:rPr>
              <w:t xml:space="preserve">"...exclusively addressed under Title 36, Law 108."</w:t>
            </w:r>
          </w:p>
        </w:tc>
        <w:tc>
          <w:tcPr>
            <w:tcW w:type="dxa" w:w="1300"/>
            <w:shd w:fill="F7F4EF" w:color="auto" w:val="clear"/>
            <w:tcMar>
              <w:top w:type="dxa" w:w="80"/>
              <w:left w:type="dxa" w:w="100"/>
              <w:bottom w:type="dxa" w:w="80"/>
              <w:right w:type="dxa" w:w="100"/>
            </w:tcMar>
          </w:tcPr>
          <w:p>
            <w:pPr>
              <w:spacing w:after="40"/>
            </w:pPr>
            <w:r>
              <w:rPr>
                <w:b/>
                <w:bCs/>
                <w:i w:val="false"/>
                <w:iCs w:val="false"/>
                <w:color w:val="1A1A1A"/>
                <w:sz w:val="17"/>
                <w:szCs w:val="17"/>
              </w:rPr>
              <w:t xml:space="preserve">Neither</w:t>
            </w:r>
          </w:p>
        </w:tc>
        <w:tc>
          <w:tcPr>
            <w:tcW w:type="dxa" w:w="3000"/>
            <w:shd w:fill="F7F4EF" w:color="auto" w:val="clear"/>
            <w:tcMar>
              <w:top w:type="dxa" w:w="80"/>
              <w:left w:type="dxa" w:w="100"/>
              <w:bottom w:type="dxa" w:w="80"/>
              <w:right w:type="dxa" w:w="100"/>
            </w:tcMar>
          </w:tcPr>
          <w:p>
            <w:pPr>
              <w:spacing w:after="40"/>
            </w:pPr>
            <w:r>
              <w:rPr>
                <w:b w:val="false"/>
                <w:bCs w:val="false"/>
                <w:i w:val="false"/>
                <w:iCs w:val="false"/>
                <w:color w:val="1A1A1A"/>
                <w:sz w:val="17"/>
                <w:szCs w:val="17"/>
              </w:rPr>
              <w:t xml:space="preserve">SFT invents a legal code and two locations. DPO invents a DIFFERENT statute. Both fabricate confidently; neither is closer to the truth.</w:t>
            </w:r>
          </w:p>
        </w:tc>
      </w:tr>
      <w:tr>
        <w:tc>
          <w:tcPr>
            <w:tcW w:type="dxa" w:w="1900"/>
            <w:tcMar>
              <w:top w:type="dxa" w:w="80"/>
              <w:left w:type="dxa" w:w="100"/>
              <w:bottom w:type="dxa" w:w="80"/>
              <w:right w:type="dxa" w:w="100"/>
            </w:tcMar>
          </w:tcPr>
          <w:p>
            <w:pPr>
              <w:spacing w:after="40"/>
            </w:pPr>
            <w:r>
              <w:rPr>
                <w:b/>
                <w:bCs/>
                <w:i w:val="false"/>
                <w:iCs w:val="false"/>
                <w:color w:val="1A1A1A"/>
                <w:sz w:val="17"/>
                <w:szCs w:val="17"/>
              </w:rPr>
              <w:t xml:space="preserve">5. What is the Quality Agreement and when was it originally entered into?</w:t>
            </w:r>
          </w:p>
        </w:tc>
        <w:tc>
          <w:tcPr>
            <w:tcW w:type="dxa" w:w="2900"/>
            <w:tcMar>
              <w:top w:type="dxa" w:w="80"/>
              <w:left w:type="dxa" w:w="100"/>
              <w:bottom w:type="dxa" w:w="80"/>
              <w:right w:type="dxa" w:w="100"/>
            </w:tcMar>
          </w:tcPr>
          <w:p>
            <w:pPr>
              <w:spacing w:after="40"/>
            </w:pPr>
            <w:r>
              <w:rPr>
                <w:b w:val="false"/>
                <w:bCs w:val="false"/>
                <w:i w:val="false"/>
                <w:iCs w:val="false"/>
                <w:color w:val="1A1A1A"/>
                <w:sz w:val="17"/>
                <w:szCs w:val="17"/>
              </w:rPr>
              <w:t xml:space="preserve">"Quality Agreements were initially signed in 2015... QA Manager position added January 3rd, 2019"</w:t>
            </w:r>
          </w:p>
        </w:tc>
        <w:tc>
          <w:tcPr>
            <w:tcW w:type="dxa" w:w="2900"/>
            <w:tcMar>
              <w:top w:type="dxa" w:w="80"/>
              <w:left w:type="dxa" w:w="100"/>
              <w:bottom w:type="dxa" w:w="80"/>
              <w:right w:type="dxa" w:w="100"/>
            </w:tcMar>
          </w:tcPr>
          <w:p>
            <w:pPr>
              <w:spacing w:after="40"/>
            </w:pPr>
            <w:r>
              <w:rPr>
                <w:b w:val="false"/>
                <w:bCs w:val="false"/>
                <w:i w:val="false"/>
                <w:iCs w:val="false"/>
                <w:color w:val="1A1A1A"/>
                <w:sz w:val="17"/>
                <w:szCs w:val="17"/>
              </w:rPr>
              <w:t xml:space="preserve">"It is the fourth-year Mutual AMAG Quality Agenda, dated 15 October 2018."</w:t>
            </w:r>
          </w:p>
        </w:tc>
        <w:tc>
          <w:tcPr>
            <w:tcW w:type="dxa" w:w="2400"/>
            <w:tcMar>
              <w:top w:type="dxa" w:w="80"/>
              <w:left w:type="dxa" w:w="100"/>
              <w:bottom w:type="dxa" w:w="80"/>
              <w:right w:type="dxa" w:w="100"/>
            </w:tcMar>
          </w:tcPr>
          <w:p>
            <w:pPr>
              <w:spacing w:after="40"/>
            </w:pPr>
            <w:r>
              <w:rPr>
                <w:b w:val="false"/>
                <w:bCs w:val="false"/>
                <w:i w:val="false"/>
                <w:iCs w:val="false"/>
                <w:color w:val="1A1A1A"/>
                <w:sz w:val="17"/>
                <w:szCs w:val="17"/>
              </w:rPr>
              <w:t xml:space="preserve">"It is the Quranic Texts, Product, Trainer, Device or Sample Devices Quality AMAG Manufacturing Services..."</w:t>
            </w:r>
          </w:p>
        </w:tc>
        <w:tc>
          <w:tcPr>
            <w:tcW w:type="dxa" w:w="1300"/>
            <w:tcMar>
              <w:top w:type="dxa" w:w="80"/>
              <w:left w:type="dxa" w:w="100"/>
              <w:bottom w:type="dxa" w:w="80"/>
              <w:right w:type="dxa" w:w="100"/>
            </w:tcMar>
          </w:tcPr>
          <w:p>
            <w:pPr>
              <w:spacing w:after="40"/>
            </w:pPr>
            <w:r>
              <w:rPr>
                <w:b/>
                <w:bCs/>
                <w:i w:val="false"/>
                <w:iCs w:val="false"/>
                <w:color w:val="1A1A1A"/>
                <w:sz w:val="17"/>
                <w:szCs w:val="17"/>
              </w:rPr>
              <w:t xml:space="preserve">Base (least wrong)</w:t>
            </w:r>
          </w:p>
        </w:tc>
        <w:tc>
          <w:tcPr>
            <w:tcW w:type="dxa" w:w="3000"/>
            <w:tcMar>
              <w:top w:type="dxa" w:w="80"/>
              <w:left w:type="dxa" w:w="100"/>
              <w:bottom w:type="dxa" w:w="80"/>
              <w:right w:type="dxa" w:w="100"/>
            </w:tcMar>
          </w:tcPr>
          <w:p>
            <w:pPr>
              <w:spacing w:after="40"/>
            </w:pPr>
            <w:r>
              <w:rPr>
                <w:b w:val="false"/>
                <w:bCs w:val="false"/>
                <w:i w:val="false"/>
                <w:iCs w:val="false"/>
                <w:color w:val="1A1A1A"/>
                <w:sz w:val="17"/>
                <w:szCs w:val="17"/>
              </w:rPr>
              <w:t xml:space="preserve">DPO produces "Quranic Texts" — a religious-text token intruding into a pharma contract. This is semantic decay, not a factual error. Clear evidence that suppressing rejected answers damaged general language ability.</w:t>
            </w:r>
          </w:p>
        </w:tc>
      </w:tr>
      <w:tr>
        <w:tc>
          <w:tcPr>
            <w:tcW w:type="dxa" w:w="1900"/>
            <w:shd w:fill="F7F4EF" w:color="auto" w:val="clear"/>
            <w:tcMar>
              <w:top w:type="dxa" w:w="80"/>
              <w:left w:type="dxa" w:w="100"/>
              <w:bottom w:type="dxa" w:w="80"/>
              <w:right w:type="dxa" w:w="100"/>
            </w:tcMar>
          </w:tcPr>
          <w:p>
            <w:pPr>
              <w:spacing w:after="40"/>
            </w:pPr>
            <w:r>
              <w:rPr>
                <w:b/>
                <w:bCs/>
                <w:i w:val="false"/>
                <w:iCs w:val="false"/>
                <w:color w:val="1A1A1A"/>
                <w:sz w:val="17"/>
                <w:szCs w:val="17"/>
              </w:rPr>
              <w:t xml:space="preserve">6. Are there Minimum Orders AMAG should place from Antares in each shipment? What is the payment policy?</w:t>
            </w:r>
          </w:p>
        </w:tc>
        <w:tc>
          <w:tcPr>
            <w:tcW w:type="dxa" w:w="2900"/>
            <w:shd w:fill="F7F4EF" w:color="auto" w:val="clear"/>
            <w:tcMar>
              <w:top w:type="dxa" w:w="80"/>
              <w:left w:type="dxa" w:w="100"/>
              <w:bottom w:type="dxa" w:w="80"/>
              <w:right w:type="dxa" w:w="100"/>
            </w:tcMar>
          </w:tcPr>
          <w:p>
            <w:pPr>
              <w:spacing w:after="40"/>
            </w:pPr>
            <w:r>
              <w:rPr>
                <w:b w:val="false"/>
                <w:bCs w:val="false"/>
                <w:i w:val="false"/>
                <w:iCs w:val="false"/>
                <w:color w:val="1A1A1A"/>
                <w:sz w:val="17"/>
                <w:szCs w:val="17"/>
              </w:rPr>
              <w:t xml:space="preserve">"minimum order quantity is 100 units... contact our sales team at [email]"</w:t>
            </w:r>
          </w:p>
        </w:tc>
        <w:tc>
          <w:tcPr>
            <w:tcW w:type="dxa" w:w="2900"/>
            <w:shd w:fill="F7F4EF" w:color="auto" w:val="clear"/>
            <w:tcMar>
              <w:top w:type="dxa" w:w="80"/>
              <w:left w:type="dxa" w:w="100"/>
              <w:bottom w:type="dxa" w:w="80"/>
              <w:right w:type="dxa" w:w="100"/>
            </w:tcMar>
          </w:tcPr>
          <w:p>
            <w:pPr>
              <w:spacing w:after="40"/>
            </w:pPr>
            <w:r>
              <w:rPr>
                <w:b w:val="false"/>
                <w:bCs w:val="false"/>
                <w:i w:val="false"/>
                <w:iCs w:val="false"/>
                <w:color w:val="1A1A1A"/>
                <w:sz w:val="17"/>
                <w:szCs w:val="17"/>
              </w:rPr>
              <w:t xml:space="preserve">"Antares must purchase its entire quantity of Product, sample Product and Trainer Product... after Forecasting it."</w:t>
            </w:r>
          </w:p>
        </w:tc>
        <w:tc>
          <w:tcPr>
            <w:tcW w:type="dxa" w:w="2400"/>
            <w:shd w:fill="F7F4EF" w:color="auto" w:val="clear"/>
            <w:tcMar>
              <w:top w:type="dxa" w:w="80"/>
              <w:left w:type="dxa" w:w="100"/>
              <w:bottom w:type="dxa" w:w="80"/>
              <w:right w:type="dxa" w:w="100"/>
            </w:tcMar>
          </w:tcPr>
          <w:p>
            <w:pPr>
              <w:spacing w:after="40"/>
            </w:pPr>
            <w:r>
              <w:rPr>
                <w:b w:val="false"/>
                <w:bCs w:val="false"/>
                <w:i w:val="false"/>
                <w:iCs w:val="false"/>
                <w:color w:val="1A1A1A"/>
                <w:sz w:val="17"/>
                <w:szCs w:val="17"/>
              </w:rPr>
              <w:t xml:space="preserve">"Antares or its Subcontractor must purchase and pay for the entire quantity it delivers within the Forecast — 16-month Product, sample Product and Trainer Product."</w:t>
            </w:r>
          </w:p>
        </w:tc>
        <w:tc>
          <w:tcPr>
            <w:tcW w:type="dxa" w:w="1300"/>
            <w:shd w:fill="F7F4EF" w:color="auto" w:val="clear"/>
            <w:tcMar>
              <w:top w:type="dxa" w:w="80"/>
              <w:left w:type="dxa" w:w="100"/>
              <w:bottom w:type="dxa" w:w="80"/>
              <w:right w:type="dxa" w:w="100"/>
            </w:tcMar>
          </w:tcPr>
          <w:p>
            <w:pPr>
              <w:spacing w:after="40"/>
            </w:pPr>
            <w:r>
              <w:rPr>
                <w:b/>
                <w:bCs/>
                <w:i w:val="false"/>
                <w:iCs w:val="false"/>
                <w:color w:val="1A1A1A"/>
                <w:sz w:val="17"/>
                <w:szCs w:val="17"/>
              </w:rPr>
              <w:t xml:space="preserve">SFT</w:t>
            </w:r>
          </w:p>
        </w:tc>
        <w:tc>
          <w:tcPr>
            <w:tcW w:type="dxa" w:w="3000"/>
            <w:shd w:fill="F7F4EF" w:color="auto" w:val="clear"/>
            <w:tcMar>
              <w:top w:type="dxa" w:w="80"/>
              <w:left w:type="dxa" w:w="100"/>
              <w:bottom w:type="dxa" w:w="80"/>
              <w:right w:type="dxa" w:w="100"/>
            </w:tcMar>
          </w:tcPr>
          <w:p>
            <w:pPr>
              <w:spacing w:after="40"/>
            </w:pPr>
            <w:r>
              <w:rPr>
                <w:b w:val="false"/>
                <w:bCs w:val="false"/>
                <w:i w:val="false"/>
                <w:iCs w:val="false"/>
                <w:color w:val="1A1A1A"/>
                <w:sz w:val="17"/>
                <w:szCs w:val="17"/>
              </w:rPr>
              <w:t xml:space="preserve">Both SFT and DPO reverse the parties (AMAG purchases from Antares, not the reverse). DPO additionally emits "16-month Product," which is meaningless.</w:t>
            </w:r>
          </w:p>
        </w:tc>
      </w:tr>
      <w:tr>
        <w:tc>
          <w:tcPr>
            <w:tcW w:type="dxa" w:w="1900"/>
            <w:tcMar>
              <w:top w:type="dxa" w:w="80"/>
              <w:left w:type="dxa" w:w="100"/>
              <w:bottom w:type="dxa" w:w="80"/>
              <w:right w:type="dxa" w:w="100"/>
            </w:tcMar>
          </w:tcPr>
          <w:p>
            <w:pPr>
              <w:spacing w:after="40"/>
            </w:pPr>
            <w:r>
              <w:rPr>
                <w:b/>
                <w:bCs/>
                <w:i w:val="false"/>
                <w:iCs w:val="false"/>
                <w:color w:val="1A1A1A"/>
                <w:sz w:val="17"/>
                <w:szCs w:val="17"/>
              </w:rPr>
              <w:t xml:space="preserve">7. What is the Return and Recall Policy?</w:t>
            </w:r>
          </w:p>
        </w:tc>
        <w:tc>
          <w:tcPr>
            <w:tcW w:type="dxa" w:w="2900"/>
            <w:tcMar>
              <w:top w:type="dxa" w:w="80"/>
              <w:left w:type="dxa" w:w="100"/>
              <w:bottom w:type="dxa" w:w="80"/>
              <w:right w:type="dxa" w:w="100"/>
            </w:tcMar>
          </w:tcPr>
          <w:p>
            <w:pPr>
              <w:spacing w:after="40"/>
            </w:pPr>
            <w:r>
              <w:rPr>
                <w:b w:val="false"/>
                <w:bCs w:val="false"/>
                <w:i w:val="false"/>
                <w:iCs w:val="false"/>
                <w:color w:val="1A1A1A"/>
                <w:sz w:val="17"/>
                <w:szCs w:val="17"/>
              </w:rPr>
              <w:t xml:space="preserve">A long e-commerce returns policy: RMA forms, wholesale pricing, late fees.</w:t>
            </w:r>
          </w:p>
        </w:tc>
        <w:tc>
          <w:tcPr>
            <w:tcW w:type="dxa" w:w="2900"/>
            <w:tcMar>
              <w:top w:type="dxa" w:w="80"/>
              <w:left w:type="dxa" w:w="100"/>
              <w:bottom w:type="dxa" w:w="80"/>
              <w:right w:type="dxa" w:w="100"/>
            </w:tcMar>
          </w:tcPr>
          <w:p>
            <w:pPr>
              <w:spacing w:after="40"/>
            </w:pPr>
            <w:r>
              <w:rPr>
                <w:b w:val="false"/>
                <w:bCs w:val="false"/>
                <w:i w:val="false"/>
                <w:iCs w:val="false"/>
                <w:color w:val="1A1A1A"/>
                <w:sz w:val="17"/>
                <w:szCs w:val="17"/>
              </w:rPr>
              <w:t xml:space="preserve">"It addresses returned or exhibited samples, obsolescence and Replacement parts."</w:t>
            </w:r>
          </w:p>
        </w:tc>
        <w:tc>
          <w:tcPr>
            <w:tcW w:type="dxa" w:w="2400"/>
            <w:tcMar>
              <w:top w:type="dxa" w:w="80"/>
              <w:left w:type="dxa" w:w="100"/>
              <w:bottom w:type="dxa" w:w="80"/>
              <w:right w:type="dxa" w:w="100"/>
            </w:tcMar>
          </w:tcPr>
          <w:p>
            <w:pPr>
              <w:spacing w:after="40"/>
            </w:pPr>
            <w:r>
              <w:rPr>
                <w:b w:val="false"/>
                <w:bCs w:val="false"/>
                <w:i w:val="false"/>
                <w:iCs w:val="false"/>
                <w:color w:val="1A1A1A"/>
                <w:sz w:val="17"/>
                <w:szCs w:val="17"/>
              </w:rPr>
              <w:t xml:space="preserve">"It governs Antares or AMAG parties returning or removing sold or finished Products... including replacing them within a specified time after notice."</w:t>
            </w:r>
          </w:p>
        </w:tc>
        <w:tc>
          <w:tcPr>
            <w:tcW w:type="dxa" w:w="1300"/>
            <w:tcMar>
              <w:top w:type="dxa" w:w="80"/>
              <w:left w:type="dxa" w:w="100"/>
              <w:bottom w:type="dxa" w:w="80"/>
              <w:right w:type="dxa" w:w="100"/>
            </w:tcMar>
          </w:tcPr>
          <w:p>
            <w:pPr>
              <w:spacing w:after="40"/>
            </w:pPr>
            <w:r>
              <w:rPr>
                <w:b/>
                <w:bCs/>
                <w:i w:val="false"/>
                <w:iCs w:val="false"/>
                <w:color w:val="1A1A1A"/>
                <w:sz w:val="17"/>
                <w:szCs w:val="17"/>
              </w:rPr>
              <w:t xml:space="preserve">DPO (marginally)</w:t>
            </w:r>
          </w:p>
        </w:tc>
        <w:tc>
          <w:tcPr>
            <w:tcW w:type="dxa" w:w="3000"/>
            <w:tcMar>
              <w:top w:type="dxa" w:w="80"/>
              <w:left w:type="dxa" w:w="100"/>
              <w:bottom w:type="dxa" w:w="80"/>
              <w:right w:type="dxa" w:w="100"/>
            </w:tcMar>
          </w:tcPr>
          <w:p>
            <w:pPr>
              <w:spacing w:after="40"/>
            </w:pPr>
            <w:r>
              <w:rPr>
                <w:b w:val="false"/>
                <w:bCs w:val="false"/>
                <w:i w:val="false"/>
                <w:iCs w:val="false"/>
                <w:color w:val="1A1A1A"/>
                <w:sz w:val="17"/>
                <w:szCs w:val="17"/>
              </w:rPr>
              <w:t xml:space="preserve">The clearest illustration of the length bias: chosen answers in the preference data averaged 202 chars vs 149 for rejected. DPO learned "prefer longer" alongside "prefer correct." Here the extra length happens to add content.</w:t>
            </w:r>
          </w:p>
        </w:tc>
      </w:tr>
      <w:tr>
        <w:tc>
          <w:tcPr>
            <w:tcW w:type="dxa" w:w="1900"/>
            <w:shd w:fill="F7F4EF" w:color="auto" w:val="clear"/>
            <w:tcMar>
              <w:top w:type="dxa" w:w="80"/>
              <w:left w:type="dxa" w:w="100"/>
              <w:bottom w:type="dxa" w:w="80"/>
              <w:right w:type="dxa" w:w="100"/>
            </w:tcMar>
          </w:tcPr>
          <w:p>
            <w:pPr>
              <w:spacing w:after="40"/>
            </w:pPr>
            <w:r>
              <w:rPr>
                <w:b/>
                <w:bCs/>
                <w:i w:val="false"/>
                <w:iCs w:val="false"/>
                <w:color w:val="1A1A1A"/>
                <w:sz w:val="17"/>
                <w:szCs w:val="17"/>
              </w:rPr>
              <w:t xml:space="preserve">8. State the Effective Date of the Manufacturing Agreement.</w:t>
            </w:r>
          </w:p>
        </w:tc>
        <w:tc>
          <w:tcPr>
            <w:tcW w:type="dxa" w:w="2900"/>
            <w:shd w:fill="F7F4EF" w:color="auto" w:val="clear"/>
            <w:tcMar>
              <w:top w:type="dxa" w:w="80"/>
              <w:left w:type="dxa" w:w="100"/>
              <w:bottom w:type="dxa" w:w="80"/>
              <w:right w:type="dxa" w:w="100"/>
            </w:tcMar>
          </w:tcPr>
          <w:p>
            <w:pPr>
              <w:spacing w:after="40"/>
            </w:pPr>
            <w:r>
              <w:rPr>
                <w:b w:val="false"/>
                <w:bCs w:val="false"/>
                <w:i w:val="false"/>
                <w:iCs w:val="false"/>
                <w:color w:val="1A1A1A"/>
                <w:sz w:val="17"/>
                <w:szCs w:val="17"/>
              </w:rPr>
              <w:t xml:space="preserve">"effective date is 10/29/2018", then drifts into generating new exam questions.</w:t>
            </w:r>
          </w:p>
        </w:tc>
        <w:tc>
          <w:tcPr>
            <w:tcW w:type="dxa" w:w="2900"/>
            <w:shd w:fill="F7F4EF" w:color="auto" w:val="clear"/>
            <w:tcMar>
              <w:top w:type="dxa" w:w="80"/>
              <w:left w:type="dxa" w:w="100"/>
              <w:bottom w:type="dxa" w:w="80"/>
              <w:right w:type="dxa" w:w="100"/>
            </w:tcMar>
          </w:tcPr>
          <w:p>
            <w:pPr>
              <w:spacing w:after="40"/>
            </w:pPr>
            <w:r>
              <w:rPr>
                <w:b w:val="false"/>
                <w:bCs w:val="false"/>
                <w:i w:val="false"/>
                <w:iCs w:val="false"/>
                <w:color w:val="1A1A1A"/>
                <w:sz w:val="17"/>
                <w:szCs w:val="17"/>
              </w:rPr>
              <w:t xml:space="preserve">"It becomes effective on the First Final Forecast, expressed as September 30, 2016."</w:t>
            </w:r>
          </w:p>
        </w:tc>
        <w:tc>
          <w:tcPr>
            <w:tcW w:type="dxa" w:w="2400"/>
            <w:shd w:fill="F7F4EF" w:color="auto" w:val="clear"/>
            <w:tcMar>
              <w:top w:type="dxa" w:w="80"/>
              <w:left w:type="dxa" w:w="100"/>
              <w:bottom w:type="dxa" w:w="80"/>
              <w:right w:type="dxa" w:w="100"/>
            </w:tcMar>
          </w:tcPr>
          <w:p>
            <w:pPr>
              <w:spacing w:after="40"/>
            </w:pPr>
            <w:r>
              <w:rPr>
                <w:b w:val="false"/>
                <w:bCs w:val="false"/>
                <w:i w:val="false"/>
                <w:iCs w:val="false"/>
                <w:color w:val="1A1A1A"/>
                <w:sz w:val="17"/>
                <w:szCs w:val="17"/>
              </w:rPr>
              <w:t xml:space="preserve">"It becomes effective on the First Acceptance, titled Antares Manufactures and AMAG Specifies Details"</w:t>
            </w:r>
          </w:p>
        </w:tc>
        <w:tc>
          <w:tcPr>
            <w:tcW w:type="dxa" w:w="1300"/>
            <w:shd w:fill="F7F4EF" w:color="auto" w:val="clear"/>
            <w:tcMar>
              <w:top w:type="dxa" w:w="80"/>
              <w:left w:type="dxa" w:w="100"/>
              <w:bottom w:type="dxa" w:w="80"/>
              <w:right w:type="dxa" w:w="100"/>
            </w:tcMar>
          </w:tcPr>
          <w:p>
            <w:pPr>
              <w:spacing w:after="40"/>
            </w:pPr>
            <w:r>
              <w:rPr>
                <w:b/>
                <w:bCs/>
                <w:i w:val="false"/>
                <w:iCs w:val="false"/>
                <w:color w:val="1A1A1A"/>
                <w:sz w:val="17"/>
                <w:szCs w:val="17"/>
              </w:rPr>
              <w:t xml:space="preserve">Neither</w:t>
            </w:r>
          </w:p>
        </w:tc>
        <w:tc>
          <w:tcPr>
            <w:tcW w:type="dxa" w:w="3000"/>
            <w:shd w:fill="F7F4EF" w:color="auto" w:val="clear"/>
            <w:tcMar>
              <w:top w:type="dxa" w:w="80"/>
              <w:left w:type="dxa" w:w="100"/>
              <w:bottom w:type="dxa" w:w="80"/>
              <w:right w:type="dxa" w:w="100"/>
            </w:tcMar>
          </w:tcPr>
          <w:p>
            <w:pPr>
              <w:spacing w:after="40"/>
            </w:pPr>
            <w:r>
              <w:rPr>
                <w:b w:val="false"/>
                <w:bCs w:val="false"/>
                <w:i w:val="false"/>
                <w:iCs w:val="false"/>
                <w:color w:val="1A1A1A"/>
                <w:sz w:val="17"/>
                <w:szCs w:val="17"/>
              </w:rPr>
              <w:t xml:space="preserve">DPO is WORSE than SFT here — it no longer even attempts a date. Note SFT invents a different wrong date than in Q3: a fact with 1 occurrence is not stored, it is re-guessed on every generation.</w:t>
            </w:r>
          </w:p>
        </w:tc>
      </w:tr>
      <w:tr>
        <w:tc>
          <w:tcPr>
            <w:tcW w:type="dxa" w:w="1900"/>
            <w:tcMar>
              <w:top w:type="dxa" w:w="80"/>
              <w:left w:type="dxa" w:w="100"/>
              <w:bottom w:type="dxa" w:w="80"/>
              <w:right w:type="dxa" w:w="100"/>
            </w:tcMar>
          </w:tcPr>
          <w:p>
            <w:pPr>
              <w:spacing w:after="40"/>
            </w:pPr>
            <w:r>
              <w:rPr>
                <w:b/>
                <w:bCs/>
                <w:i w:val="false"/>
                <w:iCs w:val="false"/>
                <w:color w:val="1A1A1A"/>
                <w:sz w:val="17"/>
                <w:szCs w:val="17"/>
              </w:rPr>
              <w:t xml:space="preserve">9. What is the "Transfer Price" and where is it set out?</w:t>
            </w:r>
          </w:p>
        </w:tc>
        <w:tc>
          <w:tcPr>
            <w:tcW w:type="dxa" w:w="2900"/>
            <w:tcMar>
              <w:top w:type="dxa" w:w="80"/>
              <w:left w:type="dxa" w:w="100"/>
              <w:bottom w:type="dxa" w:w="80"/>
              <w:right w:type="dxa" w:w="100"/>
            </w:tcMar>
          </w:tcPr>
          <w:p>
            <w:pPr>
              <w:spacing w:after="40"/>
            </w:pPr>
            <w:r>
              <w:rPr>
                <w:b w:val="false"/>
                <w:bCs w:val="false"/>
                <w:i w:val="false"/>
                <w:iCs w:val="false"/>
                <w:color w:val="1A1A1A"/>
                <w:sz w:val="17"/>
                <w:szCs w:val="17"/>
              </w:rPr>
              <w:t xml:space="preserve">"set by the Manufacturer... in a separate agreement," then unrelated confidentiality clauses.</w:t>
            </w:r>
          </w:p>
        </w:tc>
        <w:tc>
          <w:tcPr>
            <w:tcW w:type="dxa" w:w="2900"/>
            <w:tcMar>
              <w:top w:type="dxa" w:w="80"/>
              <w:left w:type="dxa" w:w="100"/>
              <w:bottom w:type="dxa" w:w="80"/>
              <w:right w:type="dxa" w:w="100"/>
            </w:tcMar>
          </w:tcPr>
          <w:p>
            <w:pPr>
              <w:spacing w:after="40"/>
            </w:pPr>
            <w:r>
              <w:rPr>
                <w:b w:val="false"/>
                <w:bCs w:val="false"/>
                <w:i w:val="false"/>
                <w:iCs w:val="false"/>
                <w:color w:val="1A1A1A"/>
                <w:sz w:val="17"/>
                <w:szCs w:val="17"/>
              </w:rPr>
              <w:t xml:space="preserve">"...expressed as a dollar-denominated percentage, namely $1."</w:t>
            </w:r>
          </w:p>
        </w:tc>
        <w:tc>
          <w:tcPr>
            <w:tcW w:type="dxa" w:w="2400"/>
            <w:tcMar>
              <w:top w:type="dxa" w:w="80"/>
              <w:left w:type="dxa" w:w="100"/>
              <w:bottom w:type="dxa" w:w="80"/>
              <w:right w:type="dxa" w:w="100"/>
            </w:tcMar>
          </w:tcPr>
          <w:p>
            <w:pPr>
              <w:spacing w:after="40"/>
            </w:pPr>
            <w:r>
              <w:rPr>
                <w:b w:val="false"/>
                <w:bCs w:val="false"/>
                <w:i w:val="false"/>
                <w:iCs w:val="false"/>
                <w:color w:val="1A1A1A"/>
                <w:sz w:val="17"/>
                <w:szCs w:val="17"/>
              </w:rPr>
              <w:t xml:space="preserve">"...an agreement numbered Raquel after its date (with Ra being the year) and transferred to itself and AMAG exclusively sealed."</w:t>
            </w:r>
          </w:p>
        </w:tc>
        <w:tc>
          <w:tcPr>
            <w:tcW w:type="dxa" w:w="1300"/>
            <w:tcMar>
              <w:top w:type="dxa" w:w="80"/>
              <w:left w:type="dxa" w:w="100"/>
              <w:bottom w:type="dxa" w:w="80"/>
              <w:right w:type="dxa" w:w="100"/>
            </w:tcMar>
          </w:tcPr>
          <w:p>
            <w:pPr>
              <w:spacing w:after="40"/>
            </w:pPr>
            <w:r>
              <w:rPr>
                <w:b/>
                <w:bCs/>
                <w:i w:val="false"/>
                <w:iCs w:val="false"/>
                <w:color w:val="1A1A1A"/>
                <w:sz w:val="17"/>
                <w:szCs w:val="17"/>
              </w:rPr>
              <w:t xml:space="preserve">Neither</w:t>
            </w:r>
          </w:p>
        </w:tc>
        <w:tc>
          <w:tcPr>
            <w:tcW w:type="dxa" w:w="3000"/>
            <w:tcMar>
              <w:top w:type="dxa" w:w="80"/>
              <w:left w:type="dxa" w:w="100"/>
              <w:bottom w:type="dxa" w:w="80"/>
              <w:right w:type="dxa" w:w="100"/>
            </w:tcMar>
          </w:tcPr>
          <w:p>
            <w:pPr>
              <w:spacing w:after="40"/>
            </w:pPr>
            <w:r>
              <w:rPr>
                <w:b w:val="false"/>
                <w:bCs w:val="false"/>
                <w:i w:val="false"/>
                <w:iCs w:val="false"/>
                <w:color w:val="1A1A1A"/>
                <w:sz w:val="17"/>
                <w:szCs w:val="17"/>
              </w:rPr>
              <w:t xml:space="preserve">DPO produces "numbered Raquel after its date (with Ra being the year)" — incoherent word salad. A marked degradation from SFT’s merely-wrong answer.</w:t>
            </w:r>
          </w:p>
        </w:tc>
      </w:tr>
      <w:tr>
        <w:tc>
          <w:tcPr>
            <w:tcW w:type="dxa" w:w="1900"/>
            <w:shd w:fill="F7F4EF" w:color="auto" w:val="clear"/>
            <w:tcMar>
              <w:top w:type="dxa" w:w="80"/>
              <w:left w:type="dxa" w:w="100"/>
              <w:bottom w:type="dxa" w:w="80"/>
              <w:right w:type="dxa" w:w="100"/>
            </w:tcMar>
          </w:tcPr>
          <w:p>
            <w:pPr>
              <w:spacing w:after="40"/>
            </w:pPr>
            <w:r>
              <w:rPr>
                <w:b/>
                <w:bCs/>
                <w:i w:val="false"/>
                <w:iCs w:val="false"/>
                <w:color w:val="1A1A1A"/>
                <w:sz w:val="17"/>
                <w:szCs w:val="17"/>
              </w:rPr>
              <w:t xml:space="preserve">10. Who incorporates the Prefilled Syringe into the Device to produce the finished Product?</w:t>
            </w:r>
          </w:p>
        </w:tc>
        <w:tc>
          <w:tcPr>
            <w:tcW w:type="dxa" w:w="2900"/>
            <w:shd w:fill="F7F4EF" w:color="auto" w:val="clear"/>
            <w:tcMar>
              <w:top w:type="dxa" w:w="80"/>
              <w:left w:type="dxa" w:w="100"/>
              <w:bottom w:type="dxa" w:w="80"/>
              <w:right w:type="dxa" w:w="100"/>
            </w:tcMar>
          </w:tcPr>
          <w:p>
            <w:pPr>
              <w:spacing w:after="40"/>
            </w:pPr>
            <w:r>
              <w:rPr>
                <w:b w:val="false"/>
                <w:bCs w:val="false"/>
                <w:i w:val="false"/>
                <w:iCs w:val="false"/>
                <w:color w:val="1A1A1A"/>
                <w:sz w:val="17"/>
                <w:szCs w:val="17"/>
              </w:rPr>
              <w:t xml:space="preserve">"manufactured by a third party... designed in accordance with cGMPs", then emits a stray LaTeX \end{document}.</w:t>
            </w:r>
          </w:p>
        </w:tc>
        <w:tc>
          <w:tcPr>
            <w:tcW w:type="dxa" w:w="2900"/>
            <w:shd w:fill="F7F4EF" w:color="auto" w:val="clear"/>
            <w:tcMar>
              <w:top w:type="dxa" w:w="80"/>
              <w:left w:type="dxa" w:w="100"/>
              <w:bottom w:type="dxa" w:w="80"/>
              <w:right w:type="dxa" w:w="100"/>
            </w:tcMar>
          </w:tcPr>
          <w:p>
            <w:pPr>
              <w:spacing w:after="40"/>
            </w:pPr>
            <w:r>
              <w:rPr>
                <w:b w:val="false"/>
                <w:bCs w:val="false"/>
                <w:i w:val="false"/>
                <w:iCs w:val="false"/>
                <w:color w:val="1A1A1A"/>
                <w:sz w:val="17"/>
                <w:szCs w:val="17"/>
              </w:rPr>
              <w:t xml:space="preserve">"It produces and produces only a Finished Product that is completely constructed as a Device..."</w:t>
            </w:r>
          </w:p>
        </w:tc>
        <w:tc>
          <w:tcPr>
            <w:tcW w:type="dxa" w:w="2400"/>
            <w:shd w:fill="F7F4EF" w:color="auto" w:val="clear"/>
            <w:tcMar>
              <w:top w:type="dxa" w:w="80"/>
              <w:left w:type="dxa" w:w="100"/>
              <w:bottom w:type="dxa" w:w="80"/>
              <w:right w:type="dxa" w:w="100"/>
            </w:tcMar>
          </w:tcPr>
          <w:p>
            <w:pPr>
              <w:spacing w:after="40"/>
            </w:pPr>
            <w:r>
              <w:rPr>
                <w:b w:val="false"/>
                <w:bCs w:val="false"/>
                <w:i w:val="false"/>
                <w:iCs w:val="false"/>
                <w:color w:val="1A1A1A"/>
                <w:sz w:val="17"/>
                <w:szCs w:val="17"/>
              </w:rPr>
              <w:t xml:space="preserve">"...including the Prefilled Shrinkage and Prefilled Packaging components, produced as a Device."</w:t>
            </w:r>
          </w:p>
        </w:tc>
        <w:tc>
          <w:tcPr>
            <w:tcW w:type="dxa" w:w="1300"/>
            <w:shd w:fill="F7F4EF" w:color="auto" w:val="clear"/>
            <w:tcMar>
              <w:top w:type="dxa" w:w="80"/>
              <w:left w:type="dxa" w:w="100"/>
              <w:bottom w:type="dxa" w:w="80"/>
              <w:right w:type="dxa" w:w="100"/>
            </w:tcMar>
          </w:tcPr>
          <w:p>
            <w:pPr>
              <w:spacing w:after="40"/>
            </w:pPr>
            <w:r>
              <w:rPr>
                <w:b/>
                <w:bCs/>
                <w:i w:val="false"/>
                <w:iCs w:val="false"/>
                <w:color w:val="1A1A1A"/>
                <w:sz w:val="17"/>
                <w:szCs w:val="17"/>
              </w:rPr>
              <w:t xml:space="preserve">Neither</w:t>
            </w:r>
          </w:p>
        </w:tc>
        <w:tc>
          <w:tcPr>
            <w:tcW w:type="dxa" w:w="3000"/>
            <w:shd w:fill="F7F4EF" w:color="auto" w:val="clear"/>
            <w:tcMar>
              <w:top w:type="dxa" w:w="80"/>
              <w:left w:type="dxa" w:w="100"/>
              <w:bottom w:type="dxa" w:w="80"/>
              <w:right w:type="dxa" w:w="100"/>
            </w:tcMar>
          </w:tcPr>
          <w:p>
            <w:pPr>
              <w:spacing w:after="40"/>
            </w:pPr>
            <w:r>
              <w:rPr>
                <w:b w:val="false"/>
                <w:bCs w:val="false"/>
                <w:i w:val="false"/>
                <w:iCs w:val="false"/>
                <w:color w:val="1A1A1A"/>
                <w:sz w:val="17"/>
                <w:szCs w:val="17"/>
              </w:rPr>
              <w:t xml:space="preserve">SFT degenerates into repetition ("produces and produces"). DPO inherits that AND corrupts "Prefilled Syringe" into "Prefilled Shrinkage." DPO amplified the SFT overfitting rather than correcting it.</w:t>
            </w:r>
          </w:p>
        </w:tc>
      </w:tr>
    </w:tbl>
    <w:p>
      <w:pPr>
        <w:spacing w:after="320"/>
      </w:pPr>
      <w:r>
        <w:t xml:space="preserve"/>
      </w:r>
    </w:p>
    <w:p>
      <w:pPr>
        <w:spacing w:after="120"/>
      </w:pPr>
      <w:r>
        <w:rPr>
          <w:b/>
          <w:bCs/>
          <w:color w:val="7C3F00"/>
          <w:sz w:val="24"/>
          <w:szCs w:val="24"/>
        </w:rPr>
        <w:t xml:space="preserve">Scorecard</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400"/>
        <w:gridCol w:w="2400"/>
        <w:gridCol w:w="2400"/>
        <w:gridCol w:w="2400"/>
        <w:gridCol w:w="2800"/>
      </w:tblGrid>
      <w:tr>
        <w:tc>
          <w:tcPr>
            <w:tcW w:type="dxa" w:w="4400"/>
            <w:shd w:fill="E8E0D4" w:color="auto" w:val="clear"/>
            <w:tcMar>
              <w:top w:type="dxa" w:w="80"/>
              <w:left w:type="dxa" w:w="100"/>
              <w:bottom w:type="dxa" w:w="80"/>
              <w:right w:type="dxa" w:w="100"/>
            </w:tcMar>
          </w:tcPr>
          <w:p>
            <w:pPr>
              <w:spacing w:after="40"/>
              <w:jc w:val="center"/>
            </w:pPr>
            <w:r>
              <w:rPr>
                <w:b/>
                <w:bCs/>
                <w:i w:val="false"/>
                <w:iCs w:val="false"/>
                <w:color w:val="1A1A1A"/>
                <w:sz w:val="17"/>
                <w:szCs w:val="17"/>
              </w:rPr>
              <w:t xml:space="preserve">Metric</w:t>
            </w:r>
          </w:p>
        </w:tc>
        <w:tc>
          <w:tcPr>
            <w:tcW w:type="dxa" w:w="2400"/>
            <w:shd w:fill="E8E0D4" w:color="auto" w:val="clear"/>
            <w:tcMar>
              <w:top w:type="dxa" w:w="80"/>
              <w:left w:type="dxa" w:w="100"/>
              <w:bottom w:type="dxa" w:w="80"/>
              <w:right w:type="dxa" w:w="100"/>
            </w:tcMar>
          </w:tcPr>
          <w:p>
            <w:pPr>
              <w:spacing w:after="40"/>
              <w:jc w:val="center"/>
            </w:pPr>
            <w:r>
              <w:rPr>
                <w:b/>
                <w:bCs/>
                <w:i w:val="false"/>
                <w:iCs w:val="false"/>
                <w:color w:val="1A1A1A"/>
                <w:sz w:val="17"/>
                <w:szCs w:val="17"/>
              </w:rPr>
              <w:t xml:space="preserve">Base</w:t>
            </w:r>
          </w:p>
        </w:tc>
        <w:tc>
          <w:tcPr>
            <w:tcW w:type="dxa" w:w="2400"/>
            <w:shd w:fill="E8E0D4" w:color="auto" w:val="clear"/>
            <w:tcMar>
              <w:top w:type="dxa" w:w="80"/>
              <w:left w:type="dxa" w:w="100"/>
              <w:bottom w:type="dxa" w:w="80"/>
              <w:right w:type="dxa" w:w="100"/>
            </w:tcMar>
          </w:tcPr>
          <w:p>
            <w:pPr>
              <w:spacing w:after="40"/>
              <w:jc w:val="center"/>
            </w:pPr>
            <w:r>
              <w:rPr>
                <w:b/>
                <w:bCs/>
                <w:i w:val="false"/>
                <w:iCs w:val="false"/>
                <w:color w:val="1A1A1A"/>
                <w:sz w:val="17"/>
                <w:szCs w:val="17"/>
              </w:rPr>
              <w:t xml:space="preserve">SFT</w:t>
            </w:r>
          </w:p>
        </w:tc>
        <w:tc>
          <w:tcPr>
            <w:tcW w:type="dxa" w:w="2400"/>
            <w:shd w:fill="E8E0D4" w:color="auto" w:val="clear"/>
            <w:tcMar>
              <w:top w:type="dxa" w:w="80"/>
              <w:left w:type="dxa" w:w="100"/>
              <w:bottom w:type="dxa" w:w="80"/>
              <w:right w:type="dxa" w:w="100"/>
            </w:tcMar>
          </w:tcPr>
          <w:p>
            <w:pPr>
              <w:spacing w:after="40"/>
              <w:jc w:val="center"/>
            </w:pPr>
            <w:r>
              <w:rPr>
                <w:b/>
                <w:bCs/>
                <w:i w:val="false"/>
                <w:iCs w:val="false"/>
                <w:color w:val="1A1A1A"/>
                <w:sz w:val="17"/>
                <w:szCs w:val="17"/>
              </w:rPr>
              <w:t xml:space="preserve">DPO</w:t>
            </w:r>
          </w:p>
        </w:tc>
        <w:tc>
          <w:tcPr>
            <w:tcW w:type="dxa" w:w="2800"/>
            <w:shd w:fill="E8E0D4" w:color="auto" w:val="clear"/>
            <w:tcMar>
              <w:top w:type="dxa" w:w="80"/>
              <w:left w:type="dxa" w:w="100"/>
              <w:bottom w:type="dxa" w:w="80"/>
              <w:right w:type="dxa" w:w="100"/>
            </w:tcMar>
          </w:tcPr>
          <w:p>
            <w:pPr>
              <w:spacing w:after="40"/>
              <w:jc w:val="center"/>
            </w:pPr>
            <w:r>
              <w:rPr>
                <w:b/>
                <w:bCs/>
                <w:i w:val="false"/>
                <w:iCs w:val="false"/>
                <w:color w:val="1A1A1A"/>
                <w:sz w:val="17"/>
                <w:szCs w:val="17"/>
              </w:rPr>
              <w:t xml:space="preserve">Notes</w:t>
            </w:r>
          </w:p>
        </w:tc>
      </w:tr>
      <w:tr>
        <w:tc>
          <w:tcPr>
            <w:tcW w:type="dxa" w:w="4400"/>
            <w:tcMar>
              <w:top w:type="dxa" w:w="80"/>
              <w:left w:type="dxa" w:w="100"/>
              <w:bottom w:type="dxa" w:w="80"/>
              <w:right w:type="dxa" w:w="100"/>
            </w:tcMar>
          </w:tcPr>
          <w:p>
            <w:pPr>
              <w:spacing w:after="40"/>
            </w:pPr>
            <w:r>
              <w:rPr>
                <w:b/>
                <w:bCs/>
                <w:i w:val="false"/>
                <w:iCs w:val="false"/>
                <w:color w:val="1A1A1A"/>
                <w:sz w:val="17"/>
                <w:szCs w:val="17"/>
              </w:rPr>
              <w:t xml:space="preserve">Answers the question asked</w:t>
            </w:r>
          </w:p>
        </w:tc>
        <w:tc>
          <w:tcPr>
            <w:tcW w:type="dxa" w:w="2400"/>
            <w:tcMar>
              <w:top w:type="dxa" w:w="80"/>
              <w:left w:type="dxa" w:w="100"/>
              <w:bottom w:type="dxa" w:w="80"/>
              <w:right w:type="dxa" w:w="100"/>
            </w:tcMar>
          </w:tcPr>
          <w:p>
            <w:pPr>
              <w:spacing w:after="40"/>
              <w:jc w:val="center"/>
            </w:pPr>
            <w:r>
              <w:rPr>
                <w:b w:val="false"/>
                <w:bCs w:val="false"/>
                <w:i w:val="false"/>
                <w:iCs w:val="false"/>
                <w:color w:val="1A1A1A"/>
                <w:sz w:val="17"/>
                <w:szCs w:val="17"/>
              </w:rPr>
              <w:t xml:space="preserve">0/10</w:t>
            </w:r>
          </w:p>
        </w:tc>
        <w:tc>
          <w:tcPr>
            <w:tcW w:type="dxa" w:w="2400"/>
            <w:tcMar>
              <w:top w:type="dxa" w:w="80"/>
              <w:left w:type="dxa" w:w="100"/>
              <w:bottom w:type="dxa" w:w="80"/>
              <w:right w:type="dxa" w:w="100"/>
            </w:tcMar>
          </w:tcPr>
          <w:p>
            <w:pPr>
              <w:spacing w:after="40"/>
              <w:jc w:val="center"/>
            </w:pPr>
            <w:r>
              <w:rPr>
                <w:b w:val="false"/>
                <w:bCs w:val="false"/>
                <w:i w:val="false"/>
                <w:iCs w:val="false"/>
                <w:color w:val="1A1A1A"/>
                <w:sz w:val="17"/>
                <w:szCs w:val="17"/>
              </w:rPr>
              <w:t xml:space="preserve">10/10</w:t>
            </w:r>
          </w:p>
        </w:tc>
        <w:tc>
          <w:tcPr>
            <w:tcW w:type="dxa" w:w="2400"/>
            <w:tcMar>
              <w:top w:type="dxa" w:w="80"/>
              <w:left w:type="dxa" w:w="100"/>
              <w:bottom w:type="dxa" w:w="80"/>
              <w:right w:type="dxa" w:w="100"/>
            </w:tcMar>
          </w:tcPr>
          <w:p>
            <w:pPr>
              <w:spacing w:after="40"/>
              <w:jc w:val="center"/>
            </w:pPr>
            <w:r>
              <w:rPr>
                <w:b w:val="false"/>
                <w:bCs w:val="false"/>
                <w:i w:val="false"/>
                <w:iCs w:val="false"/>
                <w:color w:val="1A1A1A"/>
                <w:sz w:val="17"/>
                <w:szCs w:val="17"/>
              </w:rPr>
              <w:t xml:space="preserve">10/10</w:t>
            </w:r>
          </w:p>
        </w:tc>
        <w:tc>
          <w:tcPr>
            <w:tcW w:type="dxa" w:w="2800"/>
            <w:tcMar>
              <w:top w:type="dxa" w:w="80"/>
              <w:left w:type="dxa" w:w="100"/>
              <w:bottom w:type="dxa" w:w="80"/>
              <w:right w:type="dxa" w:w="100"/>
            </w:tcMar>
          </w:tcPr>
          <w:p>
            <w:pPr>
              <w:spacing w:after="40"/>
            </w:pPr>
            <w:r>
              <w:rPr>
                <w:b w:val="false"/>
                <w:bCs w:val="false"/>
                <w:i w:val="false"/>
                <w:iCs w:val="false"/>
                <w:color w:val="1A1A1A"/>
                <w:sz w:val="17"/>
                <w:szCs w:val="17"/>
              </w:rPr>
              <w:t xml:space="preserve">SFT installs instruction-following</w:t>
            </w:r>
          </w:p>
        </w:tc>
      </w:tr>
      <w:tr>
        <w:tc>
          <w:tcPr>
            <w:tcW w:type="dxa" w:w="4400"/>
            <w:shd w:fill="F7F4EF" w:color="auto" w:val="clear"/>
            <w:tcMar>
              <w:top w:type="dxa" w:w="80"/>
              <w:left w:type="dxa" w:w="100"/>
              <w:bottom w:type="dxa" w:w="80"/>
              <w:right w:type="dxa" w:w="100"/>
            </w:tcMar>
          </w:tcPr>
          <w:p>
            <w:pPr>
              <w:spacing w:after="40"/>
            </w:pPr>
            <w:r>
              <w:rPr>
                <w:b/>
                <w:bCs/>
                <w:i w:val="false"/>
                <w:iCs w:val="false"/>
                <w:color w:val="1A1A1A"/>
                <w:sz w:val="17"/>
                <w:szCs w:val="17"/>
              </w:rPr>
              <w:t xml:space="preserve">Stops cleanly (emits EOS)</w:t>
            </w:r>
          </w:p>
        </w:tc>
        <w:tc>
          <w:tcPr>
            <w:tcW w:type="dxa" w:w="2400"/>
            <w:shd w:fill="F7F4EF" w:color="auto" w:val="clear"/>
            <w:tcMar>
              <w:top w:type="dxa" w:w="80"/>
              <w:left w:type="dxa" w:w="100"/>
              <w:bottom w:type="dxa" w:w="80"/>
              <w:right w:type="dxa" w:w="100"/>
            </w:tcMar>
          </w:tcPr>
          <w:p>
            <w:pPr>
              <w:spacing w:after="40"/>
              <w:jc w:val="center"/>
            </w:pPr>
            <w:r>
              <w:rPr>
                <w:b w:val="false"/>
                <w:bCs w:val="false"/>
                <w:i w:val="false"/>
                <w:iCs w:val="false"/>
                <w:color w:val="1A1A1A"/>
                <w:sz w:val="17"/>
                <w:szCs w:val="17"/>
              </w:rPr>
              <w:t xml:space="preserve">3/10</w:t>
            </w:r>
          </w:p>
        </w:tc>
        <w:tc>
          <w:tcPr>
            <w:tcW w:type="dxa" w:w="2400"/>
            <w:shd w:fill="F7F4EF" w:color="auto" w:val="clear"/>
            <w:tcMar>
              <w:top w:type="dxa" w:w="80"/>
              <w:left w:type="dxa" w:w="100"/>
              <w:bottom w:type="dxa" w:w="80"/>
              <w:right w:type="dxa" w:w="100"/>
            </w:tcMar>
          </w:tcPr>
          <w:p>
            <w:pPr>
              <w:spacing w:after="40"/>
              <w:jc w:val="center"/>
            </w:pPr>
            <w:r>
              <w:rPr>
                <w:b w:val="false"/>
                <w:bCs w:val="false"/>
                <w:i w:val="false"/>
                <w:iCs w:val="false"/>
                <w:color w:val="1A1A1A"/>
                <w:sz w:val="17"/>
                <w:szCs w:val="17"/>
              </w:rPr>
              <w:t xml:space="preserve">10/10</w:t>
            </w:r>
          </w:p>
        </w:tc>
        <w:tc>
          <w:tcPr>
            <w:tcW w:type="dxa" w:w="2400"/>
            <w:shd w:fill="F7F4EF" w:color="auto" w:val="clear"/>
            <w:tcMar>
              <w:top w:type="dxa" w:w="80"/>
              <w:left w:type="dxa" w:w="100"/>
              <w:bottom w:type="dxa" w:w="80"/>
              <w:right w:type="dxa" w:w="100"/>
            </w:tcMar>
          </w:tcPr>
          <w:p>
            <w:pPr>
              <w:spacing w:after="40"/>
              <w:jc w:val="center"/>
            </w:pPr>
            <w:r>
              <w:rPr>
                <w:b w:val="false"/>
                <w:bCs w:val="false"/>
                <w:i w:val="false"/>
                <w:iCs w:val="false"/>
                <w:color w:val="1A1A1A"/>
                <w:sz w:val="17"/>
                <w:szCs w:val="17"/>
              </w:rPr>
              <w:t xml:space="preserve">10/10</w:t>
            </w:r>
          </w:p>
        </w:tc>
        <w:tc>
          <w:tcPr>
            <w:tcW w:type="dxa" w:w="2800"/>
            <w:shd w:fill="F7F4EF" w:color="auto" w:val="clear"/>
            <w:tcMar>
              <w:top w:type="dxa" w:w="80"/>
              <w:left w:type="dxa" w:w="100"/>
              <w:bottom w:type="dxa" w:w="80"/>
              <w:right w:type="dxa" w:w="100"/>
            </w:tcMar>
          </w:tcPr>
          <w:p>
            <w:pPr>
              <w:spacing w:after="40"/>
            </w:pPr>
            <w:r>
              <w:rPr>
                <w:b w:val="false"/>
                <w:bCs w:val="false"/>
                <w:i w:val="false"/>
                <w:iCs w:val="false"/>
                <w:color w:val="1A1A1A"/>
                <w:sz w:val="17"/>
                <w:szCs w:val="17"/>
              </w:rPr>
              <w:t xml:space="preserve">EOS token added during SFT</w:t>
            </w:r>
          </w:p>
        </w:tc>
      </w:tr>
      <w:tr>
        <w:tc>
          <w:tcPr>
            <w:tcW w:type="dxa" w:w="4400"/>
            <w:tcMar>
              <w:top w:type="dxa" w:w="80"/>
              <w:left w:type="dxa" w:w="100"/>
              <w:bottom w:type="dxa" w:w="80"/>
              <w:right w:type="dxa" w:w="100"/>
            </w:tcMar>
          </w:tcPr>
          <w:p>
            <w:pPr>
              <w:spacing w:after="40"/>
            </w:pPr>
            <w:r>
              <w:rPr>
                <w:b/>
                <w:bCs/>
                <w:i w:val="false"/>
                <w:iCs w:val="false"/>
                <w:color w:val="1A1A1A"/>
                <w:sz w:val="17"/>
                <w:szCs w:val="17"/>
              </w:rPr>
              <w:t xml:space="preserve">Uses contract vocabulary</w:t>
            </w:r>
          </w:p>
        </w:tc>
        <w:tc>
          <w:tcPr>
            <w:tcW w:type="dxa" w:w="2400"/>
            <w:tcMar>
              <w:top w:type="dxa" w:w="80"/>
              <w:left w:type="dxa" w:w="100"/>
              <w:bottom w:type="dxa" w:w="80"/>
              <w:right w:type="dxa" w:w="100"/>
            </w:tcMar>
          </w:tcPr>
          <w:p>
            <w:pPr>
              <w:spacing w:after="40"/>
              <w:jc w:val="center"/>
            </w:pPr>
            <w:r>
              <w:rPr>
                <w:b w:val="false"/>
                <w:bCs w:val="false"/>
                <w:i w:val="false"/>
                <w:iCs w:val="false"/>
                <w:color w:val="1A1A1A"/>
                <w:sz w:val="17"/>
                <w:szCs w:val="17"/>
              </w:rPr>
              <w:t xml:space="preserve">0/10</w:t>
            </w:r>
          </w:p>
        </w:tc>
        <w:tc>
          <w:tcPr>
            <w:tcW w:type="dxa" w:w="2400"/>
            <w:tcMar>
              <w:top w:type="dxa" w:w="80"/>
              <w:left w:type="dxa" w:w="100"/>
              <w:bottom w:type="dxa" w:w="80"/>
              <w:right w:type="dxa" w:w="100"/>
            </w:tcMar>
          </w:tcPr>
          <w:p>
            <w:pPr>
              <w:spacing w:after="40"/>
              <w:jc w:val="center"/>
            </w:pPr>
            <w:r>
              <w:rPr>
                <w:b w:val="false"/>
                <w:bCs w:val="false"/>
                <w:i w:val="false"/>
                <w:iCs w:val="false"/>
                <w:color w:val="1A1A1A"/>
                <w:sz w:val="17"/>
                <w:szCs w:val="17"/>
              </w:rPr>
              <w:t xml:space="preserve">10/10</w:t>
            </w:r>
          </w:p>
        </w:tc>
        <w:tc>
          <w:tcPr>
            <w:tcW w:type="dxa" w:w="2400"/>
            <w:tcMar>
              <w:top w:type="dxa" w:w="80"/>
              <w:left w:type="dxa" w:w="100"/>
              <w:bottom w:type="dxa" w:w="80"/>
              <w:right w:type="dxa" w:w="100"/>
            </w:tcMar>
          </w:tcPr>
          <w:p>
            <w:pPr>
              <w:spacing w:after="40"/>
              <w:jc w:val="center"/>
            </w:pPr>
            <w:r>
              <w:rPr>
                <w:b w:val="false"/>
                <w:bCs w:val="false"/>
                <w:i w:val="false"/>
                <w:iCs w:val="false"/>
                <w:color w:val="1A1A1A"/>
                <w:sz w:val="17"/>
                <w:szCs w:val="17"/>
              </w:rPr>
              <w:t xml:space="preserve">10/10</w:t>
            </w:r>
          </w:p>
        </w:tc>
        <w:tc>
          <w:tcPr>
            <w:tcW w:type="dxa" w:w="2800"/>
            <w:tcMar>
              <w:top w:type="dxa" w:w="80"/>
              <w:left w:type="dxa" w:w="100"/>
              <w:bottom w:type="dxa" w:w="80"/>
              <w:right w:type="dxa" w:w="100"/>
            </w:tcMar>
          </w:tcPr>
          <w:p>
            <w:pPr>
              <w:spacing w:after="40"/>
            </w:pPr>
            <w:r>
              <w:rPr>
                <w:b w:val="false"/>
                <w:bCs w:val="false"/>
                <w:i w:val="false"/>
                <w:iCs w:val="false"/>
                <w:color w:val="1A1A1A"/>
                <w:sz w:val="17"/>
                <w:szCs w:val="17"/>
              </w:rPr>
              <w:t xml:space="preserve">CPT + SFT contribute</w:t>
            </w:r>
          </w:p>
        </w:tc>
      </w:tr>
      <w:tr>
        <w:tc>
          <w:tcPr>
            <w:tcW w:type="dxa" w:w="4400"/>
            <w:shd w:fill="F7F4EF" w:color="auto" w:val="clear"/>
            <w:tcMar>
              <w:top w:type="dxa" w:w="80"/>
              <w:left w:type="dxa" w:w="100"/>
              <w:bottom w:type="dxa" w:w="80"/>
              <w:right w:type="dxa" w:w="100"/>
            </w:tcMar>
          </w:tcPr>
          <w:p>
            <w:pPr>
              <w:spacing w:after="40"/>
            </w:pPr>
            <w:r>
              <w:rPr>
                <w:b/>
                <w:bCs/>
                <w:i w:val="false"/>
                <w:iCs w:val="false"/>
                <w:color w:val="1A1A1A"/>
                <w:sz w:val="17"/>
                <w:szCs w:val="17"/>
              </w:rPr>
              <w:t xml:space="preserve">Factually correct</w:t>
            </w:r>
          </w:p>
        </w:tc>
        <w:tc>
          <w:tcPr>
            <w:tcW w:type="dxa" w:w="2400"/>
            <w:shd w:fill="F7F4EF" w:color="auto" w:val="clear"/>
            <w:tcMar>
              <w:top w:type="dxa" w:w="80"/>
              <w:left w:type="dxa" w:w="100"/>
              <w:bottom w:type="dxa" w:w="80"/>
              <w:right w:type="dxa" w:w="100"/>
            </w:tcMar>
          </w:tcPr>
          <w:p>
            <w:pPr>
              <w:spacing w:after="40"/>
              <w:jc w:val="center"/>
            </w:pPr>
            <w:r>
              <w:rPr>
                <w:b/>
                <w:bCs/>
                <w:i w:val="false"/>
                <w:iCs w:val="false"/>
                <w:color w:val="1A1A1A"/>
                <w:sz w:val="17"/>
                <w:szCs w:val="17"/>
              </w:rPr>
              <w:t xml:space="preserve">0/10</w:t>
            </w:r>
          </w:p>
        </w:tc>
        <w:tc>
          <w:tcPr>
            <w:tcW w:type="dxa" w:w="2400"/>
            <w:shd w:fill="F7F4EF" w:color="auto" w:val="clear"/>
            <w:tcMar>
              <w:top w:type="dxa" w:w="80"/>
              <w:left w:type="dxa" w:w="100"/>
              <w:bottom w:type="dxa" w:w="80"/>
              <w:right w:type="dxa" w:w="100"/>
            </w:tcMar>
          </w:tcPr>
          <w:p>
            <w:pPr>
              <w:spacing w:after="40"/>
              <w:jc w:val="center"/>
            </w:pPr>
            <w:r>
              <w:rPr>
                <w:b/>
                <w:bCs/>
                <w:i w:val="false"/>
                <w:iCs w:val="false"/>
                <w:color w:val="1A1A1A"/>
                <w:sz w:val="17"/>
                <w:szCs w:val="17"/>
              </w:rPr>
              <w:t xml:space="preserve">2/10</w:t>
            </w:r>
          </w:p>
        </w:tc>
        <w:tc>
          <w:tcPr>
            <w:tcW w:type="dxa" w:w="2400"/>
            <w:shd w:fill="F7F4EF" w:color="auto" w:val="clear"/>
            <w:tcMar>
              <w:top w:type="dxa" w:w="80"/>
              <w:left w:type="dxa" w:w="100"/>
              <w:bottom w:type="dxa" w:w="80"/>
              <w:right w:type="dxa" w:w="100"/>
            </w:tcMar>
          </w:tcPr>
          <w:p>
            <w:pPr>
              <w:spacing w:after="40"/>
              <w:jc w:val="center"/>
            </w:pPr>
            <w:r>
              <w:rPr>
                <w:b/>
                <w:bCs/>
                <w:i w:val="false"/>
                <w:iCs w:val="false"/>
                <w:color w:val="1A1A1A"/>
                <w:sz w:val="17"/>
                <w:szCs w:val="17"/>
              </w:rPr>
              <w:t xml:space="preserve">1/10</w:t>
            </w:r>
          </w:p>
        </w:tc>
        <w:tc>
          <w:tcPr>
            <w:tcW w:type="dxa" w:w="2800"/>
            <w:shd w:fill="F7F4EF" w:color="auto" w:val="clear"/>
            <w:tcMar>
              <w:top w:type="dxa" w:w="80"/>
              <w:left w:type="dxa" w:w="100"/>
              <w:bottom w:type="dxa" w:w="80"/>
              <w:right w:type="dxa" w:w="100"/>
            </w:tcMar>
          </w:tcPr>
          <w:p>
            <w:pPr>
              <w:spacing w:after="40"/>
            </w:pPr>
            <w:r>
              <w:rPr>
                <w:b/>
                <w:bCs/>
                <w:i w:val="false"/>
                <w:iCs w:val="false"/>
                <w:color w:val="1A1A1A"/>
                <w:sz w:val="17"/>
                <w:szCs w:val="17"/>
              </w:rPr>
              <w:t xml:space="preserve">DPO preserved only the enriched fact</w:t>
            </w:r>
          </w:p>
        </w:tc>
      </w:tr>
      <w:tr>
        <w:tc>
          <w:tcPr>
            <w:tcW w:type="dxa" w:w="4400"/>
            <w:tcMar>
              <w:top w:type="dxa" w:w="80"/>
              <w:left w:type="dxa" w:w="100"/>
              <w:bottom w:type="dxa" w:w="80"/>
              <w:right w:type="dxa" w:w="100"/>
            </w:tcMar>
          </w:tcPr>
          <w:p>
            <w:pPr>
              <w:spacing w:after="40"/>
            </w:pPr>
            <w:r>
              <w:rPr>
                <w:b/>
                <w:bCs/>
                <w:i w:val="false"/>
                <w:iCs w:val="false"/>
                <w:color w:val="1A1A1A"/>
                <w:sz w:val="17"/>
                <w:szCs w:val="17"/>
              </w:rPr>
              <w:t xml:space="preserve">Coherent (no word salad)</w:t>
            </w:r>
          </w:p>
        </w:tc>
        <w:tc>
          <w:tcPr>
            <w:tcW w:type="dxa" w:w="2400"/>
            <w:tcMar>
              <w:top w:type="dxa" w:w="80"/>
              <w:left w:type="dxa" w:w="100"/>
              <w:bottom w:type="dxa" w:w="80"/>
              <w:right w:type="dxa" w:w="100"/>
            </w:tcMar>
          </w:tcPr>
          <w:p>
            <w:pPr>
              <w:spacing w:after="40"/>
              <w:jc w:val="center"/>
            </w:pPr>
            <w:r>
              <w:rPr>
                <w:b/>
                <w:bCs/>
                <w:i w:val="false"/>
                <w:iCs w:val="false"/>
                <w:color w:val="1A1A1A"/>
                <w:sz w:val="17"/>
                <w:szCs w:val="17"/>
              </w:rPr>
              <w:t xml:space="preserve">8/10</w:t>
            </w:r>
          </w:p>
        </w:tc>
        <w:tc>
          <w:tcPr>
            <w:tcW w:type="dxa" w:w="2400"/>
            <w:tcMar>
              <w:top w:type="dxa" w:w="80"/>
              <w:left w:type="dxa" w:w="100"/>
              <w:bottom w:type="dxa" w:w="80"/>
              <w:right w:type="dxa" w:w="100"/>
            </w:tcMar>
          </w:tcPr>
          <w:p>
            <w:pPr>
              <w:spacing w:after="40"/>
              <w:jc w:val="center"/>
            </w:pPr>
            <w:r>
              <w:rPr>
                <w:b/>
                <w:bCs/>
                <w:i w:val="false"/>
                <w:iCs w:val="false"/>
                <w:color w:val="1A1A1A"/>
                <w:sz w:val="17"/>
                <w:szCs w:val="17"/>
              </w:rPr>
              <w:t xml:space="preserve">9/10</w:t>
            </w:r>
          </w:p>
        </w:tc>
        <w:tc>
          <w:tcPr>
            <w:tcW w:type="dxa" w:w="2400"/>
            <w:tcMar>
              <w:top w:type="dxa" w:w="80"/>
              <w:left w:type="dxa" w:w="100"/>
              <w:bottom w:type="dxa" w:w="80"/>
              <w:right w:type="dxa" w:w="100"/>
            </w:tcMar>
          </w:tcPr>
          <w:p>
            <w:pPr>
              <w:spacing w:after="40"/>
              <w:jc w:val="center"/>
            </w:pPr>
            <w:r>
              <w:rPr>
                <w:b/>
                <w:bCs/>
                <w:i w:val="false"/>
                <w:iCs w:val="false"/>
                <w:color w:val="1A1A1A"/>
                <w:sz w:val="17"/>
                <w:szCs w:val="17"/>
              </w:rPr>
              <w:t xml:space="preserve">5/10</w:t>
            </w:r>
          </w:p>
        </w:tc>
        <w:tc>
          <w:tcPr>
            <w:tcW w:type="dxa" w:w="2800"/>
            <w:tcMar>
              <w:top w:type="dxa" w:w="80"/>
              <w:left w:type="dxa" w:w="100"/>
              <w:bottom w:type="dxa" w:w="80"/>
              <w:right w:type="dxa" w:w="100"/>
            </w:tcMar>
          </w:tcPr>
          <w:p>
            <w:pPr>
              <w:spacing w:after="40"/>
            </w:pPr>
            <w:r>
              <w:rPr>
                <w:b/>
                <w:bCs/>
                <w:i w:val="false"/>
                <w:iCs w:val="false"/>
                <w:color w:val="1A1A1A"/>
                <w:sz w:val="17"/>
                <w:szCs w:val="17"/>
              </w:rPr>
              <w:t xml:space="preserve">DPO degraded general fluency</w:t>
            </w:r>
          </w:p>
        </w:tc>
      </w:tr>
    </w:tbl>
    <w:p>
      <w:pPr>
        <w:spacing w:after="320"/>
      </w:pPr>
      <w:r>
        <w:t xml:space="preserve"/>
      </w:r>
    </w:p>
    <w:p>
      <w:pPr>
        <w:spacing w:after="120"/>
      </w:pPr>
      <w:r>
        <w:rPr>
          <w:b/>
          <w:bCs/>
          <w:color w:val="7C3F00"/>
          <w:sz w:val="24"/>
          <w:szCs w:val="24"/>
        </w:rPr>
        <w:t xml:space="preserve">Why the failures happen: fact frequency</w:t>
      </w:r>
    </w:p>
    <w:p>
      <w:pPr>
        <w:spacing w:after="140"/>
      </w:pPr>
      <w:r>
        <w:rPr>
          <w:b w:val="false"/>
          <w:bCs w:val="false"/>
          <w:i w:val="false"/>
          <w:iCs w:val="false"/>
          <w:color w:val="1A1A1A"/>
          <w:sz w:val="17"/>
          <w:szCs w:val="17"/>
        </w:rPr>
        <w:t xml:space="preserve">Factual accuracy tracks training frequency monotonically. This is the central empirical result of the project: a fact’s frequency in the training data, relative to everything else, determines whether the model learns it — not how long you train.</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5000"/>
        <w:gridCol w:w="3000"/>
        <w:gridCol w:w="2500"/>
      </w:tblGrid>
      <w:tr>
        <w:tc>
          <w:tcPr>
            <w:tcW w:type="dxa" w:w="5000"/>
            <w:shd w:fill="E8E0D4" w:color="auto" w:val="clear"/>
            <w:tcMar>
              <w:top w:type="dxa" w:w="80"/>
              <w:left w:type="dxa" w:w="100"/>
              <w:bottom w:type="dxa" w:w="80"/>
              <w:right w:type="dxa" w:w="100"/>
            </w:tcMar>
          </w:tcPr>
          <w:p>
            <w:pPr>
              <w:spacing w:after="40"/>
              <w:jc w:val="center"/>
            </w:pPr>
            <w:r>
              <w:rPr>
                <w:b/>
                <w:bCs/>
                <w:i w:val="false"/>
                <w:iCs w:val="false"/>
                <w:color w:val="1A1A1A"/>
                <w:sz w:val="17"/>
                <w:szCs w:val="17"/>
              </w:rPr>
              <w:t xml:space="preserve">Fact</w:t>
            </w:r>
          </w:p>
        </w:tc>
        <w:tc>
          <w:tcPr>
            <w:tcW w:type="dxa" w:w="3000"/>
            <w:shd w:fill="E8E0D4" w:color="auto" w:val="clear"/>
            <w:tcMar>
              <w:top w:type="dxa" w:w="80"/>
              <w:left w:type="dxa" w:w="100"/>
              <w:bottom w:type="dxa" w:w="80"/>
              <w:right w:type="dxa" w:w="100"/>
            </w:tcMar>
          </w:tcPr>
          <w:p>
            <w:pPr>
              <w:spacing w:after="40"/>
              <w:jc w:val="center"/>
            </w:pPr>
            <w:r>
              <w:rPr>
                <w:b/>
                <w:bCs/>
                <w:i w:val="false"/>
                <w:iCs w:val="false"/>
                <w:color w:val="1A1A1A"/>
                <w:sz w:val="17"/>
                <w:szCs w:val="17"/>
              </w:rPr>
              <w:t xml:space="preserve">Training occurrences</w:t>
            </w:r>
          </w:p>
        </w:tc>
        <w:tc>
          <w:tcPr>
            <w:tcW w:type="dxa" w:w="2500"/>
            <w:shd w:fill="E8E0D4" w:color="auto" w:val="clear"/>
            <w:tcMar>
              <w:top w:type="dxa" w:w="80"/>
              <w:left w:type="dxa" w:w="100"/>
              <w:bottom w:type="dxa" w:w="80"/>
              <w:right w:type="dxa" w:w="100"/>
            </w:tcMar>
          </w:tcPr>
          <w:p>
            <w:pPr>
              <w:spacing w:after="40"/>
              <w:jc w:val="center"/>
            </w:pPr>
            <w:r>
              <w:rPr>
                <w:b/>
                <w:bCs/>
                <w:i w:val="false"/>
                <w:iCs w:val="false"/>
                <w:color w:val="1A1A1A"/>
                <w:sz w:val="17"/>
                <w:szCs w:val="17"/>
              </w:rPr>
              <w:t xml:space="preserve">Correct?</w:t>
            </w:r>
          </w:p>
        </w:tc>
      </w:tr>
      <w:tr>
        <w:tc>
          <w:tcPr>
            <w:tcW w:type="dxa" w:w="5000"/>
            <w:tcMar>
              <w:top w:type="dxa" w:w="80"/>
              <w:left w:type="dxa" w:w="100"/>
              <w:bottom w:type="dxa" w:w="80"/>
              <w:right w:type="dxa" w:w="100"/>
            </w:tcMar>
          </w:tcPr>
          <w:p>
            <w:pPr>
              <w:spacing w:after="40"/>
            </w:pPr>
            <w:r>
              <w:rPr>
                <w:b w:val="false"/>
                <w:bCs w:val="false"/>
                <w:i w:val="false"/>
                <w:iCs w:val="false"/>
                <w:color w:val="1A1A1A"/>
                <w:sz w:val="17"/>
                <w:szCs w:val="17"/>
              </w:rPr>
              <w:t xml:space="preserve">Parties (Antares / AMAG)</w:t>
            </w:r>
          </w:p>
        </w:tc>
        <w:tc>
          <w:tcPr>
            <w:tcW w:type="dxa" w:w="3000"/>
            <w:tcMar>
              <w:top w:type="dxa" w:w="80"/>
              <w:left w:type="dxa" w:w="100"/>
              <w:bottom w:type="dxa" w:w="80"/>
              <w:right w:type="dxa" w:w="100"/>
            </w:tcMar>
          </w:tcPr>
          <w:p>
            <w:pPr>
              <w:spacing w:after="40"/>
              <w:jc w:val="center"/>
            </w:pPr>
            <w:r>
              <w:rPr>
                <w:b w:val="false"/>
                <w:bCs w:val="false"/>
                <w:i w:val="false"/>
                <w:iCs w:val="false"/>
                <w:color w:val="1A1A1A"/>
                <w:sz w:val="17"/>
                <w:szCs w:val="17"/>
              </w:rPr>
              <w:t xml:space="preserve">55 / 57</w:t>
            </w:r>
          </w:p>
        </w:tc>
        <w:tc>
          <w:tcPr>
            <w:tcW w:type="dxa" w:w="2500"/>
            <w:tcMar>
              <w:top w:type="dxa" w:w="80"/>
              <w:left w:type="dxa" w:w="100"/>
              <w:bottom w:type="dxa" w:w="80"/>
              <w:right w:type="dxa" w:w="100"/>
            </w:tcMar>
          </w:tcPr>
          <w:p>
            <w:pPr>
              <w:spacing w:after="40"/>
              <w:jc w:val="center"/>
            </w:pPr>
            <w:r>
              <w:rPr>
                <w:b w:val="false"/>
                <w:bCs w:val="false"/>
                <w:i w:val="false"/>
                <w:iCs w:val="false"/>
                <w:color w:val="1A1A1A"/>
                <w:sz w:val="17"/>
                <w:szCs w:val="17"/>
              </w:rPr>
              <w:t xml:space="preserve">Yes</w:t>
            </w:r>
          </w:p>
        </w:tc>
      </w:tr>
      <w:tr>
        <w:tc>
          <w:tcPr>
            <w:tcW w:type="dxa" w:w="5000"/>
            <w:shd w:fill="F7F4EF" w:color="auto" w:val="clear"/>
            <w:tcMar>
              <w:top w:type="dxa" w:w="80"/>
              <w:left w:type="dxa" w:w="100"/>
              <w:bottom w:type="dxa" w:w="80"/>
              <w:right w:type="dxa" w:w="100"/>
            </w:tcMar>
          </w:tcPr>
          <w:p>
            <w:pPr>
              <w:spacing w:after="40"/>
            </w:pPr>
            <w:r>
              <w:rPr>
                <w:b w:val="false"/>
                <w:bCs w:val="false"/>
                <w:i w:val="false"/>
                <w:iCs w:val="false"/>
                <w:color w:val="1A1A1A"/>
                <w:sz w:val="17"/>
                <w:szCs w:val="17"/>
              </w:rPr>
              <w:t xml:space="preserve">Drug name (enriched)</w:t>
            </w:r>
          </w:p>
        </w:tc>
        <w:tc>
          <w:tcPr>
            <w:tcW w:type="dxa" w:w="3000"/>
            <w:shd w:fill="F7F4EF" w:color="auto" w:val="clear"/>
            <w:tcMar>
              <w:top w:type="dxa" w:w="80"/>
              <w:left w:type="dxa" w:w="100"/>
              <w:bottom w:type="dxa" w:w="80"/>
              <w:right w:type="dxa" w:w="100"/>
            </w:tcMar>
          </w:tcPr>
          <w:p>
            <w:pPr>
              <w:spacing w:after="40"/>
              <w:jc w:val="center"/>
            </w:pPr>
            <w:r>
              <w:rPr>
                <w:b w:val="false"/>
                <w:bCs w:val="false"/>
                <w:i w:val="false"/>
                <w:iCs w:val="false"/>
                <w:color w:val="1A1A1A"/>
                <w:sz w:val="17"/>
                <w:szCs w:val="17"/>
              </w:rPr>
              <w:t xml:space="preserve">8</w:t>
            </w:r>
          </w:p>
        </w:tc>
        <w:tc>
          <w:tcPr>
            <w:tcW w:type="dxa" w:w="2500"/>
            <w:shd w:fill="F7F4EF" w:color="auto" w:val="clear"/>
            <w:tcMar>
              <w:top w:type="dxa" w:w="80"/>
              <w:left w:type="dxa" w:w="100"/>
              <w:bottom w:type="dxa" w:w="80"/>
              <w:right w:type="dxa" w:w="100"/>
            </w:tcMar>
          </w:tcPr>
          <w:p>
            <w:pPr>
              <w:spacing w:after="40"/>
              <w:jc w:val="center"/>
            </w:pPr>
            <w:r>
              <w:rPr>
                <w:b w:val="false"/>
                <w:bCs w:val="false"/>
                <w:i w:val="false"/>
                <w:iCs w:val="false"/>
                <w:color w:val="1A1A1A"/>
                <w:sz w:val="17"/>
                <w:szCs w:val="17"/>
              </w:rPr>
              <w:t xml:space="preserve">Yes</w:t>
            </w:r>
          </w:p>
        </w:tc>
      </w:tr>
      <w:tr>
        <w:tc>
          <w:tcPr>
            <w:tcW w:type="dxa" w:w="5000"/>
            <w:tcMar>
              <w:top w:type="dxa" w:w="80"/>
              <w:left w:type="dxa" w:w="100"/>
              <w:bottom w:type="dxa" w:w="80"/>
              <w:right w:type="dxa" w:w="100"/>
            </w:tcMar>
          </w:tcPr>
          <w:p>
            <w:pPr>
              <w:spacing w:after="40"/>
            </w:pPr>
            <w:r>
              <w:rPr>
                <w:b w:val="false"/>
                <w:bCs w:val="false"/>
                <w:i w:val="false"/>
                <w:iCs w:val="false"/>
                <w:color w:val="1A1A1A"/>
                <w:sz w:val="17"/>
                <w:szCs w:val="17"/>
              </w:rPr>
              <w:t xml:space="preserve">Quality Agreement</w:t>
            </w:r>
          </w:p>
        </w:tc>
        <w:tc>
          <w:tcPr>
            <w:tcW w:type="dxa" w:w="3000"/>
            <w:tcMar>
              <w:top w:type="dxa" w:w="80"/>
              <w:left w:type="dxa" w:w="100"/>
              <w:bottom w:type="dxa" w:w="80"/>
              <w:right w:type="dxa" w:w="100"/>
            </w:tcMar>
          </w:tcPr>
          <w:p>
            <w:pPr>
              <w:spacing w:after="40"/>
              <w:jc w:val="center"/>
            </w:pPr>
            <w:r>
              <w:rPr>
                <w:b w:val="false"/>
                <w:bCs w:val="false"/>
                <w:i w:val="false"/>
                <w:iCs w:val="false"/>
                <w:color w:val="1A1A1A"/>
                <w:sz w:val="17"/>
                <w:szCs w:val="17"/>
              </w:rPr>
              <w:t xml:space="preserve">6</w:t>
            </w:r>
          </w:p>
        </w:tc>
        <w:tc>
          <w:tcPr>
            <w:tcW w:type="dxa" w:w="2500"/>
            <w:tcMar>
              <w:top w:type="dxa" w:w="80"/>
              <w:left w:type="dxa" w:w="100"/>
              <w:bottom w:type="dxa" w:w="80"/>
              <w:right w:type="dxa" w:w="100"/>
            </w:tcMar>
          </w:tcPr>
          <w:p>
            <w:pPr>
              <w:spacing w:after="40"/>
              <w:jc w:val="center"/>
            </w:pPr>
            <w:r>
              <w:rPr>
                <w:b w:val="false"/>
                <w:bCs w:val="false"/>
                <w:i w:val="false"/>
                <w:iCs w:val="false"/>
                <w:color w:val="1A1A1A"/>
                <w:sz w:val="17"/>
                <w:szCs w:val="17"/>
              </w:rPr>
              <w:t xml:space="preserve">No</w:t>
            </w:r>
          </w:p>
        </w:tc>
      </w:tr>
      <w:tr>
        <w:tc>
          <w:tcPr>
            <w:tcW w:type="dxa" w:w="5000"/>
            <w:shd w:fill="F7F4EF" w:color="auto" w:val="clear"/>
            <w:tcMar>
              <w:top w:type="dxa" w:w="80"/>
              <w:left w:type="dxa" w:w="100"/>
              <w:bottom w:type="dxa" w:w="80"/>
              <w:right w:type="dxa" w:w="100"/>
            </w:tcMar>
          </w:tcPr>
          <w:p>
            <w:pPr>
              <w:spacing w:after="40"/>
            </w:pPr>
            <w:r>
              <w:rPr>
                <w:b w:val="false"/>
                <w:bCs w:val="false"/>
                <w:i w:val="false"/>
                <w:iCs w:val="false"/>
                <w:color w:val="1A1A1A"/>
                <w:sz w:val="17"/>
                <w:szCs w:val="17"/>
              </w:rPr>
              <w:t xml:space="preserve">Transfer Price</w:t>
            </w:r>
          </w:p>
        </w:tc>
        <w:tc>
          <w:tcPr>
            <w:tcW w:type="dxa" w:w="3000"/>
            <w:shd w:fill="F7F4EF" w:color="auto" w:val="clear"/>
            <w:tcMar>
              <w:top w:type="dxa" w:w="80"/>
              <w:left w:type="dxa" w:w="100"/>
              <w:bottom w:type="dxa" w:w="80"/>
              <w:right w:type="dxa" w:w="100"/>
            </w:tcMar>
          </w:tcPr>
          <w:p>
            <w:pPr>
              <w:spacing w:after="40"/>
              <w:jc w:val="center"/>
            </w:pPr>
            <w:r>
              <w:rPr>
                <w:b w:val="false"/>
                <w:bCs w:val="false"/>
                <w:i w:val="false"/>
                <w:iCs w:val="false"/>
                <w:color w:val="1A1A1A"/>
                <w:sz w:val="17"/>
                <w:szCs w:val="17"/>
              </w:rPr>
              <w:t xml:space="preserve">5</w:t>
            </w:r>
          </w:p>
        </w:tc>
        <w:tc>
          <w:tcPr>
            <w:tcW w:type="dxa" w:w="2500"/>
            <w:shd w:fill="F7F4EF" w:color="auto" w:val="clear"/>
            <w:tcMar>
              <w:top w:type="dxa" w:w="80"/>
              <w:left w:type="dxa" w:w="100"/>
              <w:bottom w:type="dxa" w:w="80"/>
              <w:right w:type="dxa" w:w="100"/>
            </w:tcMar>
          </w:tcPr>
          <w:p>
            <w:pPr>
              <w:spacing w:after="40"/>
              <w:jc w:val="center"/>
            </w:pPr>
            <w:r>
              <w:rPr>
                <w:b w:val="false"/>
                <w:bCs w:val="false"/>
                <w:i w:val="false"/>
                <w:iCs w:val="false"/>
                <w:color w:val="1A1A1A"/>
                <w:sz w:val="17"/>
                <w:szCs w:val="17"/>
              </w:rPr>
              <w:t xml:space="preserve">No</w:t>
            </w:r>
          </w:p>
        </w:tc>
      </w:tr>
      <w:tr>
        <w:tc>
          <w:tcPr>
            <w:tcW w:type="dxa" w:w="5000"/>
            <w:tcMar>
              <w:top w:type="dxa" w:w="80"/>
              <w:left w:type="dxa" w:w="100"/>
              <w:bottom w:type="dxa" w:w="80"/>
              <w:right w:type="dxa" w:w="100"/>
            </w:tcMar>
          </w:tcPr>
          <w:p>
            <w:pPr>
              <w:spacing w:after="40"/>
            </w:pPr>
            <w:r>
              <w:rPr>
                <w:b w:val="false"/>
                <w:bCs w:val="false"/>
                <w:i w:val="false"/>
                <w:iCs w:val="false"/>
                <w:color w:val="1A1A1A"/>
                <w:sz w:val="17"/>
                <w:szCs w:val="17"/>
              </w:rPr>
              <w:t xml:space="preserve">Return / Recall</w:t>
            </w:r>
          </w:p>
        </w:tc>
        <w:tc>
          <w:tcPr>
            <w:tcW w:type="dxa" w:w="3000"/>
            <w:tcMar>
              <w:top w:type="dxa" w:w="80"/>
              <w:left w:type="dxa" w:w="100"/>
              <w:bottom w:type="dxa" w:w="80"/>
              <w:right w:type="dxa" w:w="100"/>
            </w:tcMar>
          </w:tcPr>
          <w:p>
            <w:pPr>
              <w:spacing w:after="40"/>
              <w:jc w:val="center"/>
            </w:pPr>
            <w:r>
              <w:rPr>
                <w:b w:val="false"/>
                <w:bCs w:val="false"/>
                <w:i w:val="false"/>
                <w:iCs w:val="false"/>
                <w:color w:val="1A1A1A"/>
                <w:sz w:val="17"/>
                <w:szCs w:val="17"/>
              </w:rPr>
              <w:t xml:space="preserve">3</w:t>
            </w:r>
          </w:p>
        </w:tc>
        <w:tc>
          <w:tcPr>
            <w:tcW w:type="dxa" w:w="2500"/>
            <w:tcMar>
              <w:top w:type="dxa" w:w="80"/>
              <w:left w:type="dxa" w:w="100"/>
              <w:bottom w:type="dxa" w:w="80"/>
              <w:right w:type="dxa" w:w="100"/>
            </w:tcMar>
          </w:tcPr>
          <w:p>
            <w:pPr>
              <w:spacing w:after="40"/>
              <w:jc w:val="center"/>
            </w:pPr>
            <w:r>
              <w:rPr>
                <w:b w:val="false"/>
                <w:bCs w:val="false"/>
                <w:i w:val="false"/>
                <w:iCs w:val="false"/>
                <w:color w:val="1A1A1A"/>
                <w:sz w:val="17"/>
                <w:szCs w:val="17"/>
              </w:rPr>
              <w:t xml:space="preserve">No</w:t>
            </w:r>
          </w:p>
        </w:tc>
      </w:tr>
      <w:tr>
        <w:tc>
          <w:tcPr>
            <w:tcW w:type="dxa" w:w="5000"/>
            <w:shd w:fill="F7F4EF" w:color="auto" w:val="clear"/>
            <w:tcMar>
              <w:top w:type="dxa" w:w="80"/>
              <w:left w:type="dxa" w:w="100"/>
              <w:bottom w:type="dxa" w:w="80"/>
              <w:right w:type="dxa" w:w="100"/>
            </w:tcMar>
          </w:tcPr>
          <w:p>
            <w:pPr>
              <w:spacing w:after="40"/>
            </w:pPr>
            <w:r>
              <w:rPr>
                <w:b w:val="false"/>
                <w:bCs w:val="false"/>
                <w:i w:val="false"/>
                <w:iCs w:val="false"/>
                <w:color w:val="1A1A1A"/>
                <w:sz w:val="17"/>
                <w:szCs w:val="17"/>
              </w:rPr>
              <w:t xml:space="preserve">Effective Date</w:t>
            </w:r>
          </w:p>
        </w:tc>
        <w:tc>
          <w:tcPr>
            <w:tcW w:type="dxa" w:w="3000"/>
            <w:shd w:fill="F7F4EF" w:color="auto" w:val="clear"/>
            <w:tcMar>
              <w:top w:type="dxa" w:w="80"/>
              <w:left w:type="dxa" w:w="100"/>
              <w:bottom w:type="dxa" w:w="80"/>
              <w:right w:type="dxa" w:w="100"/>
            </w:tcMar>
          </w:tcPr>
          <w:p>
            <w:pPr>
              <w:spacing w:after="40"/>
              <w:jc w:val="center"/>
            </w:pPr>
            <w:r>
              <w:rPr>
                <w:b w:val="false"/>
                <w:bCs w:val="false"/>
                <w:i w:val="false"/>
                <w:iCs w:val="false"/>
                <w:color w:val="1A1A1A"/>
                <w:sz w:val="17"/>
                <w:szCs w:val="17"/>
              </w:rPr>
              <w:t xml:space="preserve">1</w:t>
            </w:r>
          </w:p>
        </w:tc>
        <w:tc>
          <w:tcPr>
            <w:tcW w:type="dxa" w:w="2500"/>
            <w:shd w:fill="F7F4EF" w:color="auto" w:val="clear"/>
            <w:tcMar>
              <w:top w:type="dxa" w:w="80"/>
              <w:left w:type="dxa" w:w="100"/>
              <w:bottom w:type="dxa" w:w="80"/>
              <w:right w:type="dxa" w:w="100"/>
            </w:tcMar>
          </w:tcPr>
          <w:p>
            <w:pPr>
              <w:spacing w:after="40"/>
              <w:jc w:val="center"/>
            </w:pPr>
            <w:r>
              <w:rPr>
                <w:b w:val="false"/>
                <w:bCs w:val="false"/>
                <w:i w:val="false"/>
                <w:iCs w:val="false"/>
                <w:color w:val="1A1A1A"/>
                <w:sz w:val="17"/>
                <w:szCs w:val="17"/>
              </w:rPr>
              <w:t xml:space="preserve">No</w:t>
            </w:r>
          </w:p>
        </w:tc>
      </w:tr>
    </w:tbl>
    <w:p>
      <w:pPr>
        <w:spacing w:after="300"/>
      </w:pPr>
      <w:r>
        <w:t xml:space="preserve"/>
      </w:r>
    </w:p>
    <w:p>
      <w:pPr>
        <w:spacing w:after="120"/>
      </w:pPr>
      <w:r>
        <w:rPr>
          <w:b/>
          <w:bCs/>
          <w:color w:val="7C3F00"/>
          <w:sz w:val="24"/>
          <w:szCs w:val="24"/>
        </w:rPr>
        <w:t xml:space="preserve">Key observations</w:t>
      </w:r>
    </w:p>
    <w:p>
      <w:pPr>
        <w:spacing w:after="100"/>
      </w:pPr>
      <w:r>
        <w:rPr>
          <w:b w:val="false"/>
          <w:bCs w:val="false"/>
          <w:i w:val="false"/>
          <w:iCs w:val="false"/>
          <w:color w:val="1A1A1A"/>
          <w:sz w:val="17"/>
          <w:szCs w:val="17"/>
        </w:rPr>
        <w:t xml:space="preserve">1. DPO sharpens preferences; it does not teach facts. The effective date (Q3, Q8) appeared in 1 of 104 SFT examples. The preference dataset contains a pair for exactly this fact — chosen: "March 20, 2018" vs rejected: "September 30, 2014". DPO still failed to install it, and Q8 became worse than SFT. There was no internal representation to sharpen.</w:t>
      </w:r>
    </w:p>
    <w:p>
      <w:pPr>
        <w:spacing w:after="100"/>
      </w:pPr>
      <w:r>
        <w:rPr>
          <w:b w:val="false"/>
          <w:bCs w:val="false"/>
          <w:i w:val="false"/>
          <w:iCs w:val="false"/>
          <w:color w:val="1A1A1A"/>
          <w:sz w:val="17"/>
          <w:szCs w:val="17"/>
        </w:rPr>
        <w:t xml:space="preserve">2. DPO degraded general fluency. Q5 produced "Quranic Texts" in a pharma contract answer; Q9 produced "numbered Raquel after its date (with Ra being the year)"; Q10 corrupted "Prefilled Syringe" into "Prefilled Shrinkage". These are semantic decay, not factual errors. Although rewards/chosen stayed positive (+1.14), rewards/rejected was driven to −3.50 — and the rejected answers are themselves fluent, well-formed English. Suppressing them that hard damages the model’s language ability.</w:t>
      </w:r>
    </w:p>
    <w:p>
      <w:pPr>
        <w:spacing w:after="100"/>
      </w:pPr>
      <w:r>
        <w:rPr>
          <w:b w:val="false"/>
          <w:bCs w:val="false"/>
          <w:i w:val="false"/>
          <w:iCs w:val="false"/>
          <w:color w:val="1A1A1A"/>
          <w:sz w:val="17"/>
          <w:szCs w:val="17"/>
        </w:rPr>
        <w:t xml:space="preserve">3. The length bias in the preference data materialised. Chosen answers averaged 202 characters against 149 for rejected. Every DPO answer is systematically longer and more rambling than its SFT counterpart (compare Q7). The model learned "prefer longer" alongside "prefer correct" — a well-documented DPO failure mode, predicted from the data before training.</w:t>
      </w:r>
    </w:p>
    <w:p>
      <w:pPr>
        <w:spacing w:after="100"/>
      </w:pPr>
      <w:r>
        <w:rPr>
          <w:b w:val="false"/>
          <w:bCs w:val="false"/>
          <w:i w:val="false"/>
          <w:iCs w:val="false"/>
          <w:color w:val="1A1A1A"/>
          <w:sz w:val="17"/>
          <w:szCs w:val="17"/>
        </w:rPr>
        <w:t xml:space="preserve">4. Fact frequency, not training stage, determines factual recall. SFT scores 2/10 on facts; the two it gets right are the two with the highest training frequency (55 and 8 occurrences). DPO scores 1/10 — it retained only the enriched fact. No amount of preference optimisation substitutes for data coverage.</w:t>
      </w:r>
    </w:p>
    <w:p>
      <w:pPr>
        <w:spacing w:after="100"/>
      </w:pPr>
      <w:r>
        <w:rPr>
          <w:b w:val="false"/>
          <w:bCs w:val="false"/>
          <w:i w:val="false"/>
          <w:iCs w:val="false"/>
          <w:color w:val="1A1A1A"/>
          <w:sz w:val="17"/>
          <w:szCs w:val="17"/>
        </w:rPr>
        <w:t xml:space="preserve">5. The better-trained model produced the worse answer. On Q4, Base gives vague, obviously-unhelpful boilerplate; SFT confidently places AMAG in "Liverpool, England" under the "International Business Commencement Code"; DPO invents "Title 36, Law 108". Each stage made hallucinations more convincing without making them rarer — which is the more dangerous direction.</w:t>
      </w:r>
    </w:p>
    <w:p>
      <w:pPr>
        <w:spacing w:after="100"/>
      </w:pPr>
      <w:r>
        <w:rPr>
          <w:b w:val="false"/>
          <w:bCs w:val="false"/>
          <w:i w:val="false"/>
          <w:iCs w:val="false"/>
          <w:color w:val="1A1A1A"/>
          <w:sz w:val="17"/>
          <w:szCs w:val="17"/>
        </w:rPr>
        <w:t xml:space="preserve">6. What would actually help. (a) Enrich every fact you need answered to 6–8 varied phrasings, as was done for the drug name. (b) Balance chosen/rejected lengths in the preference data to remove the length shortcut. (c) Stop DPO earlier, or raise beta above 0.1 to constrain drift from the SFT reference model. (d) Add a held-out eval split so overfitting is measured rather than guessed.</w:t>
      </w:r>
    </w:p>
    <w:sectPr>
      <w:pgSz w:w="12240" w:h="158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2026-07-09T16:38:22.281Z</dcterms:created>
  <dcterms:modified xsi:type="dcterms:W3CDTF">2026-07-09T16:38:22.296Z</dcterms:modified>
</cp:coreProperties>
</file>

<file path=docProps/custom.xml><?xml version="1.0" encoding="utf-8"?>
<Properties xmlns="http://schemas.openxmlformats.org/officeDocument/2006/custom-properties" xmlns:vt="http://schemas.openxmlformats.org/officeDocument/2006/docPropsVTypes"/>
</file>