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Group Assignment 1 — Recorded Session Script</w:t>
      </w:r>
    </w:p>
    <w:p>
      <w:pPr>
        <w:spacing w:after="180"/>
      </w:pPr>
      <w:r>
        <w:rPr>
          <w:b/>
        </w:rPr>
        <w:t>MIS 58900 · Airbnb Dallas · Atharva and Leo · target 15:00, cameras on, Microsoft Teams</w:t>
      </w:r>
    </w:p>
    <w:p>
      <w:pPr>
        <w:spacing w:after="180"/>
      </w:pPr>
      <w:r>
        <w:t xml:space="preserve">Speaker labels: </w:t>
      </w:r>
      <w:r>
        <w:rPr>
          <w:b/>
        </w:rPr>
        <w:t>A</w:t>
      </w:r>
      <w:r>
        <w:t xml:space="preserve"> = Atharva · </w:t>
      </w:r>
      <w:r>
        <w:rPr>
          <w:b/>
        </w:rPr>
        <w:t>L</w:t>
      </w:r>
      <w:r>
        <w:t xml:space="preserve"> = Leo. Timings are cumulative. Have the notebook open and scroll to each question as you reach it — talking over the real table is what makes this read as working rather than reciting.</w:t>
      </w:r>
    </w:p>
    <w:p>
      <w:pPr>
        <w:spacing w:after="180"/>
      </w:pPr>
      <w:r>
        <w:t xml:space="preserve">Lines are a floor, not a ceiling. Where a cue says </w:t>
      </w:r>
      <w:r>
        <w:rPr>
          <w:i/>
        </w:rPr>
        <w:t>push back</w:t>
      </w:r>
      <w:r>
        <w:t>, actually push back; the assignment asks for decision-making, not narration, and the disagreements below are real ones from the analysis.</w:t>
      </w:r>
    </w:p>
    <w:p>
      <w:pPr>
        <w:pStyle w:val="Heading2"/>
      </w:pPr>
      <w:r>
        <w:t>0:00 – 1:00 · Opening and what the data actually is</w:t>
      </w:r>
    </w:p>
    <w:p>
      <w:pPr>
        <w:spacing w:after="140"/>
        <w:ind w:left="648" w:hanging="648"/>
      </w:pPr>
      <w:r>
        <w:rPr>
          <w:b/>
          <w:color w:val="C0501E"/>
        </w:rPr>
        <w:t>A:</w:t>
      </w:r>
      <w:r>
        <w:t xml:space="preserve"> Let's start with what the file is, because nearly every answer depends on getting this right. It's 48,711 rows, but that's not 48,711 listings — it's 9,599 properties observed across 16 quarterly evaluation periods, August 2016 to May 2020.</w:t>
      </w:r>
    </w:p>
    <w:p>
      <w:pPr>
        <w:spacing w:after="140"/>
        <w:ind w:left="648" w:hanging="648"/>
      </w:pPr>
      <w:r>
        <w:rPr>
          <w:b/>
          <w:color w:val="C0501E"/>
        </w:rPr>
        <w:t>L:</w:t>
      </w:r>
      <w:r>
        <w:t xml:space="preserve"> Which means any average we quote is an average over property-</w:t>
      </w:r>
      <w:r>
        <w:rPr>
          <w:i/>
        </w:rPr>
        <w:t>periods</w:t>
      </w:r>
      <w:r>
        <w:t xml:space="preserve"> unless we collapse first. That's not pedantic — in Question 1 the IQR is $116.12 across rows and $108.10 across listings.</w:t>
      </w:r>
    </w:p>
    <w:p>
      <w:pPr>
        <w:spacing w:after="140"/>
        <w:ind w:left="648" w:hanging="648"/>
      </w:pPr>
      <w:r>
        <w:rPr>
          <w:b/>
          <w:color w:val="C0501E"/>
        </w:rPr>
        <w:t>A:</w:t>
      </w:r>
      <w:r>
        <w:t xml:space="preserve"> The other thing worth stating up front: </w:t>
      </w:r>
      <w:r>
        <w:rPr>
          <w:rFonts w:ascii="Consolas" w:hAnsi="Consolas"/>
          <w:sz w:val="19"/>
        </w:rPr>
        <w:t>occupancy_rate</w:t>
      </w:r>
      <w:r>
        <w:t xml:space="preserve"> is </w:t>
      </w:r>
      <w:r>
        <w:rPr>
          <w:rFonts w:ascii="Consolas" w:hAnsi="Consolas"/>
          <w:sz w:val="19"/>
        </w:rPr>
        <w:t>booked_days</w:t>
      </w:r>
      <w:r>
        <w:t xml:space="preserve"> divided by </w:t>
      </w:r>
      <w:r>
        <w:rPr>
          <w:rFonts w:ascii="Consolas" w:hAnsi="Consolas"/>
          <w:sz w:val="19"/>
        </w:rPr>
        <w:t>available_days</w:t>
      </w:r>
      <w:r>
        <w:t xml:space="preserve">, and </w:t>
      </w:r>
      <w:r>
        <w:rPr>
          <w:rFonts w:ascii="Consolas" w:hAnsi="Consolas"/>
          <w:sz w:val="19"/>
        </w:rPr>
        <w:t>available_days</w:t>
      </w:r>
      <w:r>
        <w:t xml:space="preserve"> is the exposure window — median 171 days — not the unbooked remainder. Periods are about 91 days apart, so consecutive observations overlap by roughly half.</w:t>
      </w:r>
    </w:p>
    <w:p>
      <w:pPr>
        <w:spacing w:after="140"/>
        <w:ind w:left="648" w:hanging="648"/>
      </w:pPr>
      <w:r>
        <w:rPr>
          <w:b/>
          <w:color w:val="C0501E"/>
        </w:rPr>
        <w:t>L:</w:t>
      </w:r>
      <w:r>
        <w:t xml:space="preserve"> That comes back in Question 7. Hold onto it.</w:t>
      </w:r>
    </w:p>
    <w:p>
      <w:pPr>
        <w:pStyle w:val="Heading2"/>
      </w:pPr>
      <w:r>
        <w:t>1:00 – 2:00 · Question 1 · Range and IQR</w:t>
      </w:r>
    </w:p>
    <w:p>
      <w:pPr>
        <w:spacing w:after="140"/>
        <w:ind w:left="648" w:hanging="648"/>
      </w:pPr>
      <w:r>
        <w:rPr>
          <w:b/>
          <w:color w:val="C0501E"/>
        </w:rPr>
        <w:t>L:</w:t>
      </w:r>
      <w:r>
        <w:t xml:space="preserve"> Range is $1,899 — a dollar to nineteen hundred. IQR is $116.12. So the range is more than sixteen times the IQR.</w:t>
      </w:r>
    </w:p>
    <w:p>
      <w:pPr>
        <w:spacing w:after="140"/>
        <w:ind w:left="648" w:hanging="648"/>
      </w:pPr>
      <w:r>
        <w:rPr>
          <w:b/>
          <w:color w:val="C0501E"/>
        </w:rPr>
        <w:t>A:</w:t>
      </w:r>
      <w:r>
        <w:t xml:space="preserve"> And that gap </w:t>
      </w:r>
      <w:r>
        <w:rPr>
          <w:i/>
        </w:rPr>
        <w:t>is</w:t>
      </w:r>
      <w:r>
        <w:t xml:space="preserve"> the answer. The middle half of the Dallas market sits in a $116 band under $200 a night. The range is set by two rows.</w:t>
      </w:r>
    </w:p>
    <w:p>
      <w:pPr>
        <w:spacing w:after="140"/>
        <w:ind w:left="648" w:hanging="648"/>
      </w:pPr>
      <w:r>
        <w:rPr>
          <w:b/>
          <w:color w:val="C0501E"/>
        </w:rPr>
        <w:t>L:</w:t>
      </w:r>
      <w:r>
        <w:t xml:space="preserve"> We looked at both extremes rather than deleting them. The five highest rows turn out to be the same property observed in five periods — panel data again. The $1 minimum is one listing with zero bedrooms, which reads as a placeholder.</w:t>
      </w:r>
    </w:p>
    <w:p>
      <w:pPr>
        <w:spacing w:after="140"/>
        <w:ind w:left="648" w:hanging="648"/>
      </w:pPr>
      <w:r>
        <w:rPr>
          <w:b/>
          <w:color w:val="C0501E"/>
        </w:rPr>
        <w:t>A:</w:t>
      </w:r>
      <w:r>
        <w:t xml:space="preserve"> For a host, it means pricing power lives in $10–20 moves inside that corridor, not in repositioning into the luxury tail. Only 3.7% of listings clear $500.</w:t>
      </w:r>
    </w:p>
    <w:p>
      <w:pPr>
        <w:pStyle w:val="Heading2"/>
      </w:pPr>
      <w:r>
        <w:t>2:00 – 3:00 · Question 2 · Descriptive statistics</w:t>
      </w:r>
    </w:p>
    <w:p>
      <w:pPr>
        <w:spacing w:after="140"/>
        <w:ind w:left="648" w:hanging="648"/>
      </w:pPr>
      <w:r>
        <w:rPr>
          <w:b/>
          <w:color w:val="C0501E"/>
        </w:rPr>
        <w:t>A:</w:t>
      </w:r>
      <w:r>
        <w:t xml:space="preserve"> Mean, median, standard deviation, min and max for </w:t>
      </w:r>
      <w:r>
        <w:rPr>
          <w:rFonts w:ascii="Consolas" w:hAnsi="Consolas"/>
          <w:sz w:val="19"/>
        </w:rPr>
        <w:t>booked_days</w:t>
      </w:r>
      <w:r>
        <w:t xml:space="preserve"> and </w:t>
      </w:r>
      <w:r>
        <w:rPr>
          <w:rFonts w:ascii="Consolas" w:hAnsi="Consolas"/>
          <w:sz w:val="19"/>
        </w:rPr>
        <w:t>revenue</w:t>
      </w:r>
      <w:r>
        <w:t>. The interesting part is which population you compute them on.</w:t>
      </w:r>
    </w:p>
    <w:p>
      <w:pPr>
        <w:spacing w:after="140"/>
        <w:ind w:left="648" w:hanging="648"/>
      </w:pPr>
      <w:r>
        <w:rPr>
          <w:b/>
          <w:color w:val="C0501E"/>
        </w:rPr>
        <w:t>L:</w:t>
      </w:r>
      <w:r>
        <w:t xml:space="preserve"> Booked periods only: median revenue $2,025 on 22 booked days. But 16,861 property-periods — 34.6% — have no bookings at all.</w:t>
      </w:r>
    </w:p>
    <w:p>
      <w:pPr>
        <w:spacing w:after="140"/>
        <w:ind w:left="648" w:hanging="648"/>
      </w:pPr>
      <w:r>
        <w:rPr>
          <w:b/>
          <w:color w:val="C0501E"/>
        </w:rPr>
        <w:t>A:</w:t>
      </w:r>
      <w:r>
        <w:t xml:space="preserve"> And that's where we disagreed. I wanted to call all of those idle inventory. You didn't.</w:t>
      </w:r>
    </w:p>
    <w:p>
      <w:pPr>
        <w:spacing w:after="140"/>
        <w:ind w:left="648" w:hanging="648"/>
      </w:pPr>
      <w:r>
        <w:rPr>
          <w:b/>
          <w:color w:val="C0501E"/>
        </w:rPr>
        <w:t>L:</w:t>
      </w:r>
      <w:r>
        <w:t xml:space="preserve"> Because 7,311 of them have no </w:t>
      </w:r>
      <w:r>
        <w:rPr>
          <w:rFonts w:ascii="Consolas" w:hAnsi="Consolas"/>
          <w:sz w:val="19"/>
        </w:rPr>
        <w:t>available_days</w:t>
      </w:r>
      <w:r>
        <w:t xml:space="preserve"> either. Those weren't listed and unbooked, they were off the market. Counting them as idle inventory overstates the problem.</w:t>
      </w:r>
    </w:p>
    <w:p>
      <w:pPr>
        <w:spacing w:after="140"/>
        <w:ind w:left="648" w:hanging="648"/>
      </w:pPr>
      <w:r>
        <w:rPr>
          <w:b/>
          <w:color w:val="C0501E"/>
        </w:rPr>
        <w:t>A:</w:t>
      </w:r>
      <w:r>
        <w:t xml:space="preserve"> So we report both. On the on-market frame it's 23.1% earning nothing, median revenue $1,261. Either way it's close to a quarter of supply — but the honest number for a utilisation claim is the smaller one.</w:t>
      </w:r>
    </w:p>
    <w:p>
      <w:pPr>
        <w:pStyle w:val="Heading2"/>
      </w:pPr>
      <w:r>
        <w:t>3:00 – 4:00 · Question 3 · Booking patterns, Superhost vs non</w:t>
      </w:r>
    </w:p>
    <w:p>
      <w:pPr>
        <w:spacing w:after="140"/>
        <w:ind w:left="648" w:hanging="648"/>
      </w:pPr>
      <w:r>
        <w:rPr>
          <w:b/>
          <w:color w:val="C0501E"/>
        </w:rPr>
        <w:t>L:</w:t>
      </w:r>
      <w:r>
        <w:t xml:space="preserve"> We chose box plots over a bar chart of two means, because a bar chart would report a four-and-a-half day gap and hide that both distributions are wide and heavily overlapping.</w:t>
      </w:r>
    </w:p>
    <w:p>
      <w:pPr>
        <w:spacing w:after="140"/>
        <w:ind w:left="648" w:hanging="648"/>
      </w:pPr>
      <w:r>
        <w:rPr>
          <w:b/>
          <w:color w:val="C0501E"/>
        </w:rPr>
        <w:t>A:</w:t>
      </w:r>
      <w:r>
        <w:t xml:space="preserve"> Superhosts book six more days at the median. But the IQR is identical — 27 days for both groups. Same shape, shifted up.</w:t>
      </w:r>
    </w:p>
    <w:p>
      <w:pPr>
        <w:spacing w:after="140"/>
        <w:ind w:left="648" w:hanging="648"/>
      </w:pPr>
      <w:r>
        <w:rPr>
          <w:b/>
          <w:color w:val="C0501E"/>
        </w:rPr>
        <w:t>L:</w:t>
      </w:r>
      <w:r>
        <w:t xml:space="preserve"> The bigger finding is in the rows the box plot can't show. Among non-Superhosts, 42.1% of periods had no bookings at all. Among Superhosts, 19.2%.</w:t>
      </w:r>
    </w:p>
    <w:p>
      <w:pPr>
        <w:spacing w:after="140"/>
        <w:ind w:left="648" w:hanging="648"/>
      </w:pPr>
      <w:r>
        <w:rPr>
          <w:b/>
          <w:color w:val="C0501E"/>
        </w:rPr>
        <w:t>A:</w:t>
      </w:r>
      <w:r>
        <w:t xml:space="preserve"> So the real gap isn't that a booked Superhost books more nights. It's that a Superhost listing is less than half as likely to sit empty for a whole period.</w:t>
      </w:r>
    </w:p>
    <w:p>
      <w:pPr>
        <w:spacing w:after="140"/>
        <w:ind w:left="648" w:hanging="648"/>
      </w:pPr>
      <w:r>
        <w:rPr>
          <w:b/>
          <w:color w:val="C0501E"/>
        </w:rPr>
        <w:t>L:</w:t>
      </w:r>
      <w:r>
        <w:t xml:space="preserve"> With the caveat that we can't call that causal. Airbnb awards the badge partly on booking activity, so "Superhosts sit idle less" and "listings that sit idle less become Superhosts" are the same table read two ways.</w:t>
      </w:r>
    </w:p>
    <w:p>
      <w:pPr>
        <w:pStyle w:val="Heading2"/>
      </w:pPr>
      <w:r>
        <w:t>4:00 – 5:15 · Question 4 · Seasonality</w:t>
      </w:r>
    </w:p>
    <w:p>
      <w:pPr>
        <w:spacing w:after="140"/>
        <w:ind w:left="648" w:hanging="648"/>
      </w:pPr>
      <w:r>
        <w:rPr>
          <w:b/>
          <w:color w:val="C0501E"/>
        </w:rPr>
        <w:t>A:</w:t>
      </w:r>
      <w:r>
        <w:t xml:space="preserve"> This one nearly went wrong. The data is scraped quarterly, so only 8 of 12 calendar months appear at all, and four of those hold a few dozen rows against three thousand in the real scrape months.</w:t>
      </w:r>
    </w:p>
    <w:p>
      <w:pPr>
        <w:spacing w:after="140"/>
        <w:ind w:left="648" w:hanging="648"/>
      </w:pPr>
      <w:r>
        <w:rPr>
          <w:b/>
          <w:color w:val="C0501E"/>
        </w:rPr>
        <w:t>L:</w:t>
      </w:r>
      <w:r>
        <w:t xml:space="preserve"> Reading a March trough off twelve Superhost rows would have been inventing a season out of sampling noise. We read the pattern off February, May, August and November only.</w:t>
      </w:r>
    </w:p>
    <w:p>
      <w:pPr>
        <w:spacing w:after="140"/>
        <w:ind w:left="648" w:hanging="648"/>
      </w:pPr>
      <w:r>
        <w:rPr>
          <w:b/>
          <w:color w:val="C0501E"/>
        </w:rPr>
        <w:t>A:</w:t>
      </w:r>
      <w:r>
        <w:t xml:space="preserve"> Superhost bookings peak in May at 30.1 days and trough in November at 25.1. A five-day swing, about 20%.</w:t>
      </w:r>
    </w:p>
    <w:p>
      <w:pPr>
        <w:spacing w:after="140"/>
        <w:ind w:left="648" w:hanging="648"/>
      </w:pPr>
      <w:r>
        <w:rPr>
          <w:b/>
          <w:color w:val="C0501E"/>
        </w:rPr>
        <w:t>L:</w:t>
      </w:r>
      <w:r>
        <w:t xml:space="preserve"> But the cycle belongs to the market, not the badge — non-Superhosts trough in November too. What's specific is </w:t>
      </w:r>
      <w:r>
        <w:rPr>
          <w:i/>
        </w:rPr>
        <w:t>where</w:t>
      </w:r>
      <w:r>
        <w:t xml:space="preserve"> the two groups separate. The Superhost lead is 3.1 days in February, 2.9 in August, 4.3 in November — and 7.4 in May.</w:t>
      </w:r>
    </w:p>
    <w:p>
      <w:pPr>
        <w:spacing w:after="140"/>
        <w:ind w:left="648" w:hanging="648"/>
      </w:pPr>
      <w:r>
        <w:rPr>
          <w:b/>
          <w:color w:val="C0501E"/>
        </w:rPr>
        <w:t>A:</w:t>
      </w:r>
      <w:r>
        <w:t xml:space="preserve"> May is the Superhosts' best month and only the third of four for non-Superhosts. Push on that though — is it a rule?</w:t>
      </w:r>
    </w:p>
    <w:p>
      <w:pPr>
        <w:spacing w:after="140"/>
        <w:ind w:left="648" w:hanging="648"/>
      </w:pPr>
      <w:r>
        <w:rPr>
          <w:b/>
          <w:color w:val="C0501E"/>
        </w:rPr>
        <w:t>L:</w:t>
      </w:r>
      <w:r>
        <w:t xml:space="preserve"> No, and that's the qualification. By year the May gap runs +2.1 in 2017, then +9.4, +8.8, +6.5. It's a 2018-onward pattern. And May and August aren't even measured over the same years, so part of that comparison is comparing different years.</w:t>
      </w:r>
    </w:p>
    <w:p>
      <w:pPr>
        <w:pStyle w:val="Heading2"/>
      </w:pPr>
      <w:r>
        <w:t>5:15 – 6:15 · Question 5 · Reviews and Superhost status</w:t>
      </w:r>
    </w:p>
    <w:p>
      <w:pPr>
        <w:spacing w:after="140"/>
        <w:ind w:left="648" w:hanging="648"/>
      </w:pPr>
      <w:r>
        <w:rPr>
          <w:b/>
          <w:color w:val="C0501E"/>
        </w:rPr>
        <w:t>A:</w:t>
      </w:r>
      <w:r>
        <w:t xml:space="preserve"> This is where the analysis got interesting, because the headline contradicted itself. Superhosts have a </w:t>
      </w:r>
      <w:r>
        <w:rPr>
          <w:i/>
        </w:rPr>
        <w:t>higher</w:t>
      </w:r>
      <w:r>
        <w:t xml:space="preserve"> median review count — 46 against 27 — and a </w:t>
      </w:r>
      <w:r>
        <w:rPr>
          <w:i/>
        </w:rPr>
        <w:t>lower</w:t>
      </w:r>
      <w:r>
        <w:t xml:space="preserve"> mean, 138.8 against 240.5.</w:t>
      </w:r>
    </w:p>
    <w:p>
      <w:pPr>
        <w:spacing w:after="140"/>
        <w:ind w:left="648" w:hanging="648"/>
      </w:pPr>
      <w:r>
        <w:rPr>
          <w:b/>
          <w:color w:val="C0501E"/>
        </w:rPr>
        <w:t>L:</w:t>
      </w:r>
      <w:r>
        <w:t xml:space="preserve"> Both significant, in opposite directions. Which means significance wasn't the issue. On 37,000 rows almost anything is significant.</w:t>
      </w:r>
    </w:p>
    <w:p>
      <w:pPr>
        <w:spacing w:after="140"/>
        <w:ind w:left="648" w:hanging="648"/>
      </w:pPr>
      <w:r>
        <w:rPr>
          <w:b/>
          <w:color w:val="C0501E"/>
        </w:rPr>
        <w:t>A:</w:t>
      </w:r>
      <w:r>
        <w:t xml:space="preserve"> So what's in the tail?</w:t>
      </w:r>
    </w:p>
    <w:p>
      <w:pPr>
        <w:spacing w:after="140"/>
        <w:ind w:left="648" w:hanging="648"/>
      </w:pPr>
      <w:r>
        <w:rPr>
          <w:b/>
          <w:color w:val="C0501E"/>
        </w:rPr>
        <w:t>L:</w:t>
      </w:r>
      <w:r>
        <w:t xml:space="preserve"> Portfolio size. Review counts rise steeply with how many listings a host runs — from about 20 reviews for single-listing hosts to 513 for hosts with 21 or more. The column describes the host, not the property.</w:t>
      </w:r>
    </w:p>
    <w:p>
      <w:pPr>
        <w:spacing w:after="140"/>
        <w:ind w:left="648" w:hanging="648"/>
      </w:pPr>
      <w:r>
        <w:rPr>
          <w:b/>
          <w:color w:val="C0501E"/>
        </w:rPr>
        <w:t>A:</w:t>
      </w:r>
      <w:r>
        <w:t xml:space="preserve"> And large operators contribute one row per listing per period, so a handful of them dominate the non-Superhost mean. Restrict to hosts with exactly one listing and the contradiction disappears — Superhosts get 2.5 times the mean and 5.6 times the median.</w:t>
      </w:r>
    </w:p>
    <w:p>
      <w:pPr>
        <w:spacing w:after="140"/>
        <w:ind w:left="648" w:hanging="648"/>
      </w:pPr>
      <w:r>
        <w:rPr>
          <w:b/>
          <w:color w:val="C0501E"/>
        </w:rPr>
        <w:t>L:</w:t>
      </w:r>
      <w:r>
        <w:t xml:space="preserve"> Direction of causation is still open, though. The badge is awarded partly on review activity.</w:t>
      </w:r>
    </w:p>
    <w:p>
      <w:pPr>
        <w:pStyle w:val="Heading2"/>
      </w:pPr>
      <w:r>
        <w:t>6:15 – 7:00 · Question 6 · Revenue distribution</w:t>
      </w:r>
    </w:p>
    <w:p>
      <w:pPr>
        <w:spacing w:after="140"/>
        <w:ind w:left="648" w:hanging="648"/>
      </w:pPr>
      <w:r>
        <w:rPr>
          <w:b/>
          <w:color w:val="C0501E"/>
        </w:rPr>
        <w:t>L:</w:t>
      </w:r>
      <w:r>
        <w:t xml:space="preserve"> Histogram, split by Superhost status. Revenue is so skewed — skewness 7.24 and 4.83 — that the raw histogram is a spike at zero and an invisible tail. We read the answer off the log panel.</w:t>
      </w:r>
    </w:p>
    <w:p>
      <w:pPr>
        <w:spacing w:after="140"/>
        <w:ind w:left="648" w:hanging="648"/>
      </w:pPr>
      <w:r>
        <w:rPr>
          <w:b/>
          <w:color w:val="C0501E"/>
        </w:rPr>
        <w:t>A:</w:t>
      </w:r>
      <w:r>
        <w:t xml:space="preserve"> Same shape, shifted right. Median 19% higher, mean 16% higher.</w:t>
      </w:r>
    </w:p>
    <w:p>
      <w:pPr>
        <w:spacing w:after="140"/>
        <w:ind w:left="648" w:hanging="648"/>
      </w:pPr>
      <w:r>
        <w:rPr>
          <w:b/>
          <w:color w:val="C0501E"/>
        </w:rPr>
        <w:t>L:</w:t>
      </w:r>
      <w:r>
        <w:t xml:space="preserve"> And the gap being larger at the median than the mean matters. It means the advantage is a broad-based lift across ordinary listings, not a few stars pulling an average.</w:t>
      </w:r>
    </w:p>
    <w:p>
      <w:pPr>
        <w:spacing w:after="140"/>
        <w:ind w:left="648" w:hanging="648"/>
      </w:pPr>
      <w:r>
        <w:rPr>
          <w:b/>
          <w:color w:val="C0501E"/>
        </w:rPr>
        <w:t>A:</w:t>
      </w:r>
      <w:r>
        <w:t xml:space="preserve"> One honest caveat: both histograms exclude the never-booked periods, because a log axis can't plot zero. And they're not evenly split — 13,804 non-Superhost against 3,057 Superhost. So the comparison flatters non-Superhosts.</w:t>
      </w:r>
    </w:p>
    <w:p>
      <w:pPr>
        <w:pStyle w:val="Heading2"/>
      </w:pPr>
      <w:r>
        <w:t>7:00 – 8:15 · Question 7 · Revenue before and after gaining the badge</w:t>
      </w:r>
    </w:p>
    <w:p>
      <w:pPr>
        <w:spacing w:after="140"/>
        <w:ind w:left="648" w:hanging="648"/>
      </w:pPr>
      <w:r>
        <w:rPr>
          <w:b/>
          <w:color w:val="C0501E"/>
        </w:rPr>
        <w:t>A:</w:t>
      </w:r>
      <w:r>
        <w:t xml:space="preserve"> This is the one most likely to be answered wrongly, and it's worth spending time on.</w:t>
      </w:r>
    </w:p>
    <w:p>
      <w:pPr>
        <w:spacing w:after="140"/>
        <w:ind w:left="648" w:hanging="648"/>
      </w:pPr>
      <w:r>
        <w:rPr>
          <w:b/>
          <w:color w:val="C0501E"/>
        </w:rPr>
        <w:t>L:</w:t>
      </w:r>
      <w:r>
        <w:t xml:space="preserve"> The naive version compares all Superhosts to all non-Superhosts. That's a different question — different properties. We used </w:t>
      </w:r>
      <w:r>
        <w:rPr>
          <w:rFonts w:ascii="Consolas" w:hAnsi="Consolas"/>
          <w:sz w:val="19"/>
        </w:rPr>
        <w:t>superhost_change_gain_superhost</w:t>
      </w:r>
      <w:r>
        <w:t xml:space="preserve"> to find the exact periods where a property gained the badge, and compared that same property to itself.</w:t>
      </w:r>
    </w:p>
    <w:p>
      <w:pPr>
        <w:spacing w:after="140"/>
        <w:ind w:left="648" w:hanging="648"/>
      </w:pPr>
      <w:r>
        <w:rPr>
          <w:b/>
          <w:color w:val="C0501E"/>
        </w:rPr>
        <w:t>A:</w:t>
      </w:r>
      <w:r>
        <w:t xml:space="preserve"> And revenue went </w:t>
      </w:r>
      <w:r>
        <w:rPr>
          <w:i/>
        </w:rPr>
        <w:t>down</w:t>
      </w:r>
      <w:r>
        <w:t>. Mean −$208.51, median −$152.50, only 45.8% improved.</w:t>
      </w:r>
    </w:p>
    <w:p>
      <w:pPr>
        <w:spacing w:after="140"/>
        <w:ind w:left="648" w:hanging="648"/>
      </w:pPr>
      <w:r>
        <w:rPr>
          <w:b/>
          <w:color w:val="C0501E"/>
        </w:rPr>
        <w:t>L:</w:t>
      </w:r>
      <w:r>
        <w:t xml:space="preserve"> Which would mean becoming a Superhost hurts revenue, and that's almost certainly wrong.</w:t>
      </w:r>
    </w:p>
    <w:p>
      <w:pPr>
        <w:spacing w:after="140"/>
        <w:ind w:left="648" w:hanging="648"/>
      </w:pPr>
      <w:r>
        <w:rPr>
          <w:b/>
          <w:color w:val="C0501E"/>
        </w:rPr>
        <w:t>A:</w:t>
      </w:r>
      <w:r>
        <w:t xml:space="preserve"> Right — because before and after are different quarters, and Question 4 just told us bookings swing seasonally. So we built a control group of properties that didn't gain the badge, matched on the same period transitions.</w:t>
      </w:r>
    </w:p>
    <w:p>
      <w:pPr>
        <w:spacing w:after="140"/>
        <w:ind w:left="648" w:hanging="648"/>
      </w:pPr>
      <w:r>
        <w:rPr>
          <w:b/>
          <w:color w:val="C0501E"/>
        </w:rPr>
        <w:t>L:</w:t>
      </w:r>
      <w:r>
        <w:t xml:space="preserve"> Difference-in-differences: −$148. But the confidence interval is minus 307 to plus 10. It contains zero.</w:t>
      </w:r>
    </w:p>
    <w:p>
      <w:pPr>
        <w:spacing w:after="140"/>
        <w:ind w:left="648" w:hanging="648"/>
      </w:pPr>
      <w:r>
        <w:rPr>
          <w:b/>
          <w:color w:val="C0501E"/>
        </w:rPr>
        <w:t>A:</w:t>
      </w:r>
      <w:r>
        <w:t xml:space="preserve"> So we don't report −$148 as an effect. The honest statement is no measurable badge effect in either direction.</w:t>
      </w:r>
    </w:p>
    <w:p>
      <w:pPr>
        <w:spacing w:after="140"/>
        <w:ind w:left="648" w:hanging="648"/>
      </w:pPr>
      <w:r>
        <w:rPr>
          <w:b/>
          <w:color w:val="C0501E"/>
        </w:rPr>
        <w:t>L:</w:t>
      </w:r>
      <w:r>
        <w:t xml:space="preserve"> And remember the window overlap from the opening — before and after share about 47% of their measurement window, so a real effect gets attenuated toward zero anyway. That makes the null more credible, not less.</w:t>
      </w:r>
    </w:p>
    <w:p>
      <w:pPr>
        <w:pStyle w:val="Heading2"/>
      </w:pPr>
      <w:r>
        <w:t>8:15 – 9:00 · Question 8 · Revenue trends over time</w:t>
      </w:r>
    </w:p>
    <w:p>
      <w:pPr>
        <w:spacing w:after="140"/>
        <w:ind w:left="648" w:hanging="648"/>
      </w:pPr>
      <w:r>
        <w:rPr>
          <w:b/>
          <w:color w:val="C0501E"/>
        </w:rPr>
        <w:t>L:</w:t>
      </w:r>
      <w:r>
        <w:t xml:space="preserve"> Line chart, both groups, mean and median panels. Superhosts hold a premium in 14 of 16 periods, averaging $465.</w:t>
      </w:r>
    </w:p>
    <w:p>
      <w:pPr>
        <w:spacing w:after="140"/>
        <w:ind w:left="648" w:hanging="648"/>
      </w:pPr>
      <w:r>
        <w:rPr>
          <w:b/>
          <w:color w:val="C0501E"/>
        </w:rPr>
        <w:t>A:</w:t>
      </w:r>
      <w:r>
        <w:t xml:space="preserve"> And this is where I was initially wrong. I read growth into the endpoints — Superhost mean revenue goes from $3,058 in period 5 to $4,415 in period 20, +44.4%, against +21.1% for non-Superhosts. Roughly double.</w:t>
      </w:r>
    </w:p>
    <w:p>
      <w:pPr>
        <w:spacing w:after="140"/>
        <w:ind w:left="648" w:hanging="648"/>
      </w:pPr>
      <w:r>
        <w:rPr>
          <w:b/>
          <w:color w:val="C0501E"/>
        </w:rPr>
        <w:t>L:</w:t>
      </w:r>
      <w:r>
        <w:t xml:space="preserve"> Except that doesn't survive. Regress the premium on period number and the slope is six dollars a period, p of 0.82. Indistinguishable from flat.</w:t>
      </w:r>
    </w:p>
    <w:p>
      <w:pPr>
        <w:spacing w:after="140"/>
        <w:ind w:left="648" w:hanging="648"/>
      </w:pPr>
      <w:r>
        <w:rPr>
          <w:b/>
          <w:color w:val="C0501E"/>
        </w:rPr>
        <w:t>A:</w:t>
      </w:r>
      <w:r>
        <w:t xml:space="preserve"> And the median premium moves the </w:t>
      </w:r>
      <w:r>
        <w:rPr>
          <w:i/>
        </w:rPr>
        <w:t>other</w:t>
      </w:r>
      <w:r>
        <w:t xml:space="preserve"> way, $928 down to $771.</w:t>
      </w:r>
    </w:p>
    <w:p>
      <w:pPr>
        <w:spacing w:after="140"/>
        <w:ind w:left="648" w:hanging="648"/>
      </w:pPr>
      <w:r>
        <w:rPr>
          <w:b/>
          <w:color w:val="C0501E"/>
        </w:rPr>
        <w:t>L:</w:t>
      </w:r>
      <w:r>
        <w:t xml:space="preserve"> Plus the endpoints are different seasons — period 5 is August–September, period 20 is May–June. Comparing like seasons flips it entirely.</w:t>
      </w:r>
    </w:p>
    <w:p>
      <w:pPr>
        <w:spacing w:after="140"/>
        <w:ind w:left="648" w:hanging="648"/>
      </w:pPr>
      <w:r>
        <w:rPr>
          <w:b/>
          <w:color w:val="C0501E"/>
        </w:rPr>
        <w:t>A:</w:t>
      </w:r>
      <w:r>
        <w:t xml:space="preserve"> So: persistently ahead, no evidence the lead is growing. Read with Question 7, that's selection rather than treatment.</w:t>
      </w:r>
    </w:p>
    <w:p>
      <w:pPr>
        <w:pStyle w:val="Heading2"/>
      </w:pPr>
      <w:r>
        <w:t>9:00 – 9:45 · Question 9 · Ratings and revenue</w:t>
      </w:r>
    </w:p>
    <w:p>
      <w:pPr>
        <w:spacing w:after="140"/>
        <w:ind w:left="648" w:hanging="648"/>
      </w:pPr>
      <w:r>
        <w:rPr>
          <w:b/>
          <w:color w:val="C0501E"/>
        </w:rPr>
        <w:t>A:</w:t>
      </w:r>
      <w:r>
        <w:t xml:space="preserve"> Scatter plot. Rating explains 0.6% of the variance in revenue. Pearson 0.078.</w:t>
      </w:r>
    </w:p>
    <w:p>
      <w:pPr>
        <w:spacing w:after="140"/>
        <w:ind w:left="648" w:hanging="648"/>
      </w:pPr>
      <w:r>
        <w:rPr>
          <w:b/>
          <w:color w:val="C0501E"/>
        </w:rPr>
        <w:t>L:</w:t>
      </w:r>
      <w:r>
        <w:t xml:space="preserve"> Which sounds like "quality doesn't matter", and that's the wrong read. It's range restriction — 90% of ratings sit at 4.5 or above, standard deviation 0.246 on a five-point scale. There's barely any variation in x for revenue to track.</w:t>
      </w:r>
    </w:p>
    <w:p>
      <w:pPr>
        <w:spacing w:after="140"/>
        <w:ind w:left="648" w:hanging="648"/>
      </w:pPr>
      <w:r>
        <w:rPr>
          <w:b/>
          <w:color w:val="C0501E"/>
        </w:rPr>
        <w:t>A:</w:t>
      </w:r>
      <w:r>
        <w:t xml:space="preserve"> The actual finding is a bend. Mean revenue climbs to $3,345 in the 4.8-to-4.99 band, then </w:t>
      </w:r>
      <w:r>
        <w:rPr>
          <w:i/>
        </w:rPr>
        <w:t>falls</w:t>
      </w:r>
      <w:r>
        <w:t xml:space="preserve"> to $2,916 at exactly 5.0.</w:t>
      </w:r>
    </w:p>
    <w:p>
      <w:pPr>
        <w:spacing w:after="140"/>
        <w:ind w:left="648" w:hanging="648"/>
      </w:pPr>
      <w:r>
        <w:rPr>
          <w:b/>
          <w:color w:val="C0501E"/>
        </w:rPr>
        <w:t>L:</w:t>
      </w:r>
      <w:r>
        <w:t xml:space="preserve"> Which looks like five stars hurting you until you check the review count. The exactly-5.0 listings have a median of seven reviews, against 143 in the band below. A perfect score is a thin-evidence score.</w:t>
      </w:r>
    </w:p>
    <w:p>
      <w:pPr>
        <w:spacing w:after="140"/>
        <w:ind w:left="648" w:hanging="648"/>
      </w:pPr>
      <w:r>
        <w:rPr>
          <w:b/>
          <w:color w:val="C0501E"/>
        </w:rPr>
        <w:t>A:</w:t>
      </w:r>
      <w:r>
        <w:t xml:space="preserve"> So the usable pattern is a rise to about 4.8 and then a plateau. A single linear coefficient is the wrong summary for a curve that bends.</w:t>
      </w:r>
    </w:p>
    <w:p>
      <w:pPr>
        <w:pStyle w:val="Heading2"/>
      </w:pPr>
      <w:r>
        <w:t>9:45 – 10:30 · Question 10 · Listing type composition</w:t>
      </w:r>
    </w:p>
    <w:p>
      <w:pPr>
        <w:spacing w:after="140"/>
        <w:ind w:left="648" w:hanging="648"/>
      </w:pPr>
      <w:r>
        <w:rPr>
          <w:b/>
          <w:color w:val="C0501E"/>
        </w:rPr>
        <w:t>L:</w:t>
      </w:r>
      <w:r>
        <w:t xml:space="preserve"> Entire homes take 74.5% of Superhost booked nights. But 89.1% of the revenue.</w:t>
      </w:r>
    </w:p>
    <w:p>
      <w:pPr>
        <w:spacing w:after="140"/>
        <w:ind w:left="648" w:hanging="648"/>
      </w:pPr>
      <w:r>
        <w:rPr>
          <w:b/>
          <w:color w:val="C0501E"/>
        </w:rPr>
        <w:t>A:</w:t>
      </w:r>
      <w:r>
        <w:t xml:space="preserve"> That 14-point gap is the finding. Private and shared rooms are a quarter of the nights Superhosts sell and a tenth of the dollars — because an entire home earns $145.61 a booked night against $54.67 for a private room.</w:t>
      </w:r>
    </w:p>
    <w:p>
      <w:pPr>
        <w:spacing w:after="140"/>
        <w:ind w:left="648" w:hanging="648"/>
      </w:pPr>
      <w:r>
        <w:rPr>
          <w:b/>
          <w:color w:val="C0501E"/>
        </w:rPr>
        <w:t>L:</w:t>
      </w:r>
      <w:r>
        <w:t xml:space="preserve"> We measured nights rather than listing counts deliberately. The question says "dominates bookings", and a listing type can have many listings but few booked nights.</w:t>
      </w:r>
    </w:p>
    <w:p>
      <w:pPr>
        <w:spacing w:after="140"/>
        <w:ind w:left="648" w:hanging="648"/>
      </w:pPr>
      <w:r>
        <w:rPr>
          <w:b/>
          <w:color w:val="C0501E"/>
        </w:rPr>
        <w:t>A:</w:t>
      </w:r>
      <w:r>
        <w:t xml:space="preserve"> And the obvious explanation is wrong. The listing mix is nearly identical across the two groups — 76.6% against 75.1% entire homes. Superhost bookings are actually </w:t>
      </w:r>
      <w:r>
        <w:rPr>
          <w:i/>
        </w:rPr>
        <w:t>more</w:t>
      </w:r>
      <w:r>
        <w:t xml:space="preserve"> tilted toward private rooms than non-Superhost bookings.</w:t>
      </w:r>
    </w:p>
    <w:p>
      <w:pPr>
        <w:spacing w:after="140"/>
        <w:ind w:left="648" w:hanging="648"/>
      </w:pPr>
      <w:r>
        <w:rPr>
          <w:b/>
          <w:color w:val="C0501E"/>
        </w:rPr>
        <w:t>L:</w:t>
      </w:r>
      <w:r>
        <w:t xml:space="preserve"> So it's booking intensity within type, not what Superhosts choose to list.</w:t>
      </w:r>
    </w:p>
    <w:p>
      <w:pPr>
        <w:pStyle w:val="Heading2"/>
      </w:pPr>
      <w:r>
        <w:t>10:30 – 11:15 · Question 11 · Correlation heatmap</w:t>
      </w:r>
    </w:p>
    <w:p>
      <w:pPr>
        <w:spacing w:after="140"/>
        <w:ind w:left="648" w:hanging="648"/>
      </w:pPr>
      <w:r>
        <w:rPr>
          <w:b/>
          <w:color w:val="C0501E"/>
        </w:rPr>
        <w:t>A:</w:t>
      </w:r>
      <w:r>
        <w:t xml:space="preserve"> Four variables, Pearson and Spearman side by side. The largest cell is revenue against occupancy at 0.544 — and we set it aside.</w:t>
      </w:r>
    </w:p>
    <w:p>
      <w:pPr>
        <w:spacing w:after="140"/>
        <w:ind w:left="648" w:hanging="648"/>
      </w:pPr>
      <w:r>
        <w:rPr>
          <w:b/>
          <w:color w:val="C0501E"/>
        </w:rPr>
        <w:t>L:</w:t>
      </w:r>
      <w:r>
        <w:t xml:space="preserve"> Because it's arithmetic. Revenue is nights times price, occupancy is nights over available days. They share a term by construction. Reporting that as a finding would be reporting a definition.</w:t>
      </w:r>
    </w:p>
    <w:p>
      <w:pPr>
        <w:spacing w:after="140"/>
        <w:ind w:left="648" w:hanging="648"/>
      </w:pPr>
      <w:r>
        <w:rPr>
          <w:b/>
          <w:color w:val="C0501E"/>
        </w:rPr>
        <w:t>A:</w:t>
      </w:r>
      <w:r>
        <w:t xml:space="preserve"> The strongest real relationship is negative — rating against review count, −0.364. More reviews, lower average score.</w:t>
      </w:r>
    </w:p>
    <w:p>
      <w:pPr>
        <w:spacing w:after="140"/>
        <w:ind w:left="648" w:hanging="648"/>
      </w:pPr>
      <w:r>
        <w:rPr>
          <w:b/>
          <w:color w:val="C0501E"/>
        </w:rPr>
        <w:t>L:</w:t>
      </w:r>
      <w:r>
        <w:t xml:space="preserve"> Which is Question 9's mechanism showing up from the other side. Median rating falls monotonically across review quintiles, 5.00 down to 4.75.</w:t>
      </w:r>
    </w:p>
    <w:p>
      <w:pPr>
        <w:spacing w:after="140"/>
        <w:ind w:left="648" w:hanging="648"/>
      </w:pPr>
      <w:r>
        <w:rPr>
          <w:b/>
          <w:color w:val="C0501E"/>
        </w:rPr>
        <w:t>A:</w:t>
      </w:r>
      <w:r>
        <w:t xml:space="preserve"> For a host that's the useful cell: the two review metrics point in opposite directions and you can't maximise both.</w:t>
      </w:r>
    </w:p>
    <w:p>
      <w:pPr>
        <w:pStyle w:val="Heading2"/>
      </w:pPr>
      <w:r>
        <w:t>11:15 – 12:00 · Question 12 · Neighbourhoods</w:t>
      </w:r>
    </w:p>
    <w:p>
      <w:pPr>
        <w:spacing w:after="140"/>
        <w:ind w:left="648" w:hanging="648"/>
      </w:pPr>
      <w:r>
        <w:rPr>
          <w:b/>
          <w:color w:val="C0501E"/>
        </w:rPr>
        <w:t>L:</w:t>
      </w:r>
      <w:r>
        <w:t xml:space="preserve"> Central Dallas has the highest median Superhost revenue, $2,693. Lakewood has the highest median occupancy, 0.221.</w:t>
      </w:r>
    </w:p>
    <w:p>
      <w:pPr>
        <w:spacing w:after="140"/>
        <w:ind w:left="648" w:hanging="648"/>
      </w:pPr>
      <w:r>
        <w:rPr>
          <w:b/>
          <w:color w:val="C0501E"/>
        </w:rPr>
        <w:t>A:</w:t>
      </w:r>
      <w:r>
        <w:t xml:space="preserve"> On </w:t>
      </w:r>
      <w:r>
        <w:rPr>
          <w:i/>
        </w:rPr>
        <w:t>median</w:t>
      </w:r>
      <w:r>
        <w:t>. And that was a real decision, because on mean, Lake Highlands wins at $6,088.</w:t>
      </w:r>
    </w:p>
    <w:p>
      <w:pPr>
        <w:spacing w:after="140"/>
        <w:ind w:left="648" w:hanging="648"/>
      </w:pPr>
      <w:r>
        <w:rPr>
          <w:b/>
          <w:color w:val="C0501E"/>
        </w:rPr>
        <w:t>L:</w:t>
      </w:r>
      <w:r>
        <w:t xml:space="preserve"> Which I argued for initially — a market manager cares about total dollars.</w:t>
      </w:r>
    </w:p>
    <w:p>
      <w:pPr>
        <w:spacing w:after="140"/>
        <w:ind w:left="648" w:hanging="648"/>
      </w:pPr>
      <w:r>
        <w:rPr>
          <w:b/>
          <w:color w:val="C0501E"/>
        </w:rPr>
        <w:t>A:</w:t>
      </w:r>
      <w:r>
        <w:t xml:space="preserve"> Except five of its 78 properties supply 66.6% of its revenue. Its median is $1,948, sixth place. A mean ranking here ranks where the luxury outliers sit.</w:t>
      </w:r>
    </w:p>
    <w:p>
      <w:pPr>
        <w:spacing w:after="140"/>
        <w:ind w:left="648" w:hanging="648"/>
      </w:pPr>
      <w:r>
        <w:rPr>
          <w:b/>
          <w:color w:val="C0501E"/>
        </w:rPr>
        <w:t>L:</w:t>
      </w:r>
      <w:r>
        <w:t xml:space="preserve"> The bigger caveat is that the ranking is substantially a listing-mix ranking. Entire-home share correlates 0.822 with neighbourhood revenue. Control for listing type and five of eleven neighbourhoods move three or more places.</w:t>
      </w:r>
    </w:p>
    <w:p>
      <w:pPr>
        <w:spacing w:after="140"/>
        <w:ind w:left="648" w:hanging="648"/>
      </w:pPr>
      <w:r>
        <w:rPr>
          <w:b/>
          <w:color w:val="C0501E"/>
        </w:rPr>
        <w:t>A:</w:t>
      </w:r>
      <w:r>
        <w:t xml:space="preserve"> Geographically it does hold together though — revenue falls with distance from downtown at −0.564, while occupancy doesn't move at all, −0.155. Which is the same asymmetry Question 15 finds.</w:t>
      </w:r>
    </w:p>
    <w:p>
      <w:pPr>
        <w:pStyle w:val="Heading2"/>
      </w:pPr>
      <w:r>
        <w:t>12:00 – 13:00 · Question 13 · Pricing strategy</w:t>
      </w:r>
    </w:p>
    <w:p>
      <w:pPr>
        <w:spacing w:after="140"/>
        <w:ind w:left="648" w:hanging="648"/>
      </w:pPr>
      <w:r>
        <w:rPr>
          <w:b/>
          <w:color w:val="C0501E"/>
        </w:rPr>
        <w:t>A:</w:t>
      </w:r>
      <w:r>
        <w:t xml:space="preserve"> This one surprised us both. Superhosts list </w:t>
      </w:r>
      <w:r>
        <w:rPr>
          <w:i/>
        </w:rPr>
        <w:t>lower</w:t>
      </w:r>
      <w:r>
        <w:t xml:space="preserve"> — $100 against $112.50, about 11% below.</w:t>
      </w:r>
    </w:p>
    <w:p>
      <w:pPr>
        <w:spacing w:after="140"/>
        <w:ind w:left="648" w:hanging="648"/>
      </w:pPr>
      <w:r>
        <w:rPr>
          <w:b/>
          <w:color w:val="C0501E"/>
        </w:rPr>
        <w:t>L:</w:t>
      </w:r>
      <w:r>
        <w:t xml:space="preserve"> And it survives everything. Every listing type, every bedroom band — and Superhosts run </w:t>
      </w:r>
      <w:r>
        <w:rPr>
          <w:i/>
        </w:rPr>
        <w:t>larger</w:t>
      </w:r>
      <w:r>
        <w:t xml:space="preserve"> properties, 1.71 bedrooms against 1.48. Bigger homes priced lower.</w:t>
      </w:r>
    </w:p>
    <w:p>
      <w:pPr>
        <w:spacing w:after="140"/>
        <w:ind w:left="648" w:hanging="648"/>
      </w:pPr>
      <w:r>
        <w:rPr>
          <w:b/>
          <w:color w:val="C0501E"/>
        </w:rPr>
        <w:t>A:</w:t>
      </w:r>
      <w:r>
        <w:t xml:space="preserve"> So are they just cheaper?</w:t>
      </w:r>
    </w:p>
    <w:p>
      <w:pPr>
        <w:spacing w:after="140"/>
        <w:ind w:left="648" w:hanging="648"/>
      </w:pPr>
      <w:r>
        <w:rPr>
          <w:b/>
          <w:color w:val="C0501E"/>
        </w:rPr>
        <w:t>L:</w:t>
      </w:r>
      <w:r>
        <w:t xml:space="preserve"> No, and that's the actual finding. Look at realised price rather than listed. Superhosts realise 9.2% below their listed rate; non-Superhosts realise 16.2% below. The two groups converge on realised price even though they diverge on listed.</w:t>
      </w:r>
    </w:p>
    <w:p>
      <w:pPr>
        <w:spacing w:after="140"/>
        <w:ind w:left="648" w:hanging="648"/>
      </w:pPr>
      <w:r>
        <w:rPr>
          <w:b/>
          <w:color w:val="C0501E"/>
        </w:rPr>
        <w:t>A:</w:t>
      </w:r>
      <w:r>
        <w:t xml:space="preserve"> They price more accurately. They re-price 1.3 times as often — 35% of their period-to-period changes are zero, against 50%.</w:t>
      </w:r>
    </w:p>
    <w:p>
      <w:pPr>
        <w:spacing w:after="140"/>
        <w:ind w:left="648" w:hanging="648"/>
      </w:pPr>
      <w:r>
        <w:rPr>
          <w:b/>
          <w:color w:val="C0501E"/>
        </w:rPr>
        <w:t>L:</w:t>
      </w:r>
      <w:r>
        <w:t xml:space="preserve"> And gaining the badge changes the listed price by a median of exactly zero dollars. The falsification is the clincher: properties that </w:t>
      </w:r>
      <w:r>
        <w:rPr>
          <w:i/>
        </w:rPr>
        <w:t>lost</w:t>
      </w:r>
      <w:r>
        <w:t xml:space="preserve"> the badge moved identically. If losing it moves price the same as gaining it, neither is a badge effect.</w:t>
      </w:r>
    </w:p>
    <w:p>
      <w:pPr>
        <w:pStyle w:val="Heading2"/>
      </w:pPr>
      <w:r>
        <w:t>13:00 – 13:45 · Questions 14 and 15 · Five-star reviews, and place</w:t>
      </w:r>
    </w:p>
    <w:p>
      <w:pPr>
        <w:spacing w:after="140"/>
        <w:ind w:left="648" w:hanging="648"/>
      </w:pPr>
      <w:r>
        <w:rPr>
          <w:b/>
          <w:color w:val="C0501E"/>
        </w:rPr>
        <w:t>A:</w:t>
      </w:r>
      <w:r>
        <w:t xml:space="preserve"> Fourteen is a null, and it's the right kind. The five-star count correlates with revenue at 0.224 — until you control for booking volume, and it collapses to 0.023.</w:t>
      </w:r>
    </w:p>
    <w:p>
      <w:pPr>
        <w:spacing w:after="140"/>
        <w:ind w:left="648" w:hanging="648"/>
      </w:pPr>
      <w:r>
        <w:rPr>
          <w:b/>
          <w:color w:val="C0501E"/>
        </w:rPr>
        <w:t>L:</w:t>
      </w:r>
      <w:r>
        <w:t xml:space="preserve"> Because the count </w:t>
      </w:r>
      <w:r>
        <w:rPr>
          <w:i/>
        </w:rPr>
        <w:t>is</w:t>
      </w:r>
      <w:r>
        <w:t xml:space="preserve"> a booking record. It shares 99% of its variance with total review count, and it's a host-level field — identical across every property a host owns.</w:t>
      </w:r>
    </w:p>
    <w:p>
      <w:pPr>
        <w:spacing w:after="140"/>
        <w:ind w:left="648" w:hanging="648"/>
      </w:pPr>
      <w:r>
        <w:rPr>
          <w:b/>
          <w:color w:val="C0501E"/>
        </w:rPr>
        <w:t>A:</w:t>
      </w:r>
      <w:r>
        <w:t xml:space="preserve"> Demean within property and the sign turns negative. When the same listing accumulates more five-star reviews, its revenue doesn't rise.</w:t>
      </w:r>
    </w:p>
    <w:p>
      <w:pPr>
        <w:spacing w:after="140"/>
        <w:ind w:left="648" w:hanging="648"/>
      </w:pPr>
      <w:r>
        <w:rPr>
          <w:b/>
          <w:color w:val="C0501E"/>
        </w:rPr>
        <w:t>L:</w:t>
      </w:r>
      <w:r>
        <w:t xml:space="preserve"> Fifteen is the story of place. ZIP explains 13.5% of the variance in nightly rate — and 1.0% of occupancy.</w:t>
      </w:r>
    </w:p>
    <w:p>
      <w:pPr>
        <w:spacing w:after="140"/>
        <w:ind w:left="648" w:hanging="648"/>
      </w:pPr>
      <w:r>
        <w:rPr>
          <w:b/>
          <w:color w:val="C0501E"/>
        </w:rPr>
        <w:t>A:</w:t>
      </w:r>
      <w:r>
        <w:t xml:space="preserve"> Price falls from $149 to $76 with distance from downtown. Occupancy is flat.</w:t>
      </w:r>
    </w:p>
    <w:p>
      <w:pPr>
        <w:spacing w:after="140"/>
        <w:ind w:left="648" w:hanging="648"/>
      </w:pPr>
      <w:r>
        <w:rPr>
          <w:b/>
          <w:color w:val="C0501E"/>
        </w:rPr>
        <w:t>L:</w:t>
      </w:r>
      <w:r>
        <w:t xml:space="preserve"> So location prices a night; it doesn't sell one. Which means a plan built on marketing bookings toward particular neighbourhoods is spending against a signal that isn't there.</w:t>
      </w:r>
    </w:p>
    <w:p>
      <w:pPr>
        <w:pStyle w:val="Heading2"/>
      </w:pPr>
      <w:r>
        <w:t>13:45 – 14:45 · Question 16 · The recommendation</w:t>
      </w:r>
    </w:p>
    <w:p>
      <w:pPr>
        <w:spacing w:after="140"/>
        <w:ind w:left="648" w:hanging="648"/>
      </w:pPr>
      <w:r>
        <w:rPr>
          <w:b/>
          <w:color w:val="C0501E"/>
        </w:rPr>
        <w:t>A:</w:t>
      </w:r>
      <w:r>
        <w:t xml:space="preserve"> We had two defensible recommendations and had to pick one.</w:t>
      </w:r>
    </w:p>
    <w:p>
      <w:pPr>
        <w:spacing w:after="140"/>
        <w:ind w:left="648" w:hanging="648"/>
      </w:pPr>
      <w:r>
        <w:rPr>
          <w:b/>
          <w:color w:val="C0501E"/>
        </w:rPr>
        <w:t>L:</w:t>
      </w:r>
      <w:r>
        <w:t xml:space="preserve"> Fifteen points at places — six ZIPs running above-median occupancy at below-median rate. Simple to operationalise; a market manager already thinks in ZIPs.</w:t>
      </w:r>
    </w:p>
    <w:p>
      <w:pPr>
        <w:spacing w:after="140"/>
        <w:ind w:left="648" w:hanging="648"/>
      </w:pPr>
      <w:r>
        <w:rPr>
          <w:b/>
          <w:color w:val="C0501E"/>
        </w:rPr>
        <w:t>A:</w:t>
      </w:r>
      <w:r>
        <w:t xml:space="preserve"> I argued against it, because the ZIP ranking is confounded by inventory mix. A place-based prompt partly targets what's listed there rather than where it is.</w:t>
      </w:r>
    </w:p>
    <w:p>
      <w:pPr>
        <w:spacing w:after="140"/>
        <w:ind w:left="648" w:hanging="648"/>
      </w:pPr>
      <w:r>
        <w:rPr>
          <w:b/>
          <w:color w:val="C0501E"/>
        </w:rPr>
        <w:t>L:</w:t>
      </w:r>
      <w:r>
        <w:t xml:space="preserve"> So we went with behaviour. Entire homes in the top occupancy quintile whose realised rate sits below their own ZIP's comparable that same quarter. 448 listings.</w:t>
      </w:r>
    </w:p>
    <w:p>
      <w:pPr>
        <w:spacing w:after="140"/>
        <w:ind w:left="648" w:hanging="648"/>
      </w:pPr>
      <w:r>
        <w:rPr>
          <w:b/>
          <w:color w:val="C0501E"/>
        </w:rPr>
        <w:t>A:</w:t>
      </w:r>
      <w:r>
        <w:t xml:space="preserve"> The evidence is that quintile five sells nearly double quintile four's occupancy — 0.42 against 0.24 — and earns $272 </w:t>
      </w:r>
      <w:r>
        <w:rPr>
          <w:i/>
        </w:rPr>
        <w:t>less</w:t>
      </w:r>
      <w:r>
        <w:t xml:space="preserve"> revenue. Matched within ZIP and quarter, those listings realise 6.6% below comparable.</w:t>
      </w:r>
    </w:p>
    <w:p>
      <w:pPr>
        <w:spacing w:after="140"/>
        <w:ind w:left="648" w:hanging="648"/>
      </w:pPr>
      <w:r>
        <w:rPr>
          <w:b/>
          <w:color w:val="C0501E"/>
        </w:rPr>
        <w:t>L:</w:t>
      </w:r>
      <w:r>
        <w:t xml:space="preserve"> And it isn't a badge story. The cohort is 38.5% Superhost against a 38.1% base. That's why the trigger is occupancy.</w:t>
      </w:r>
    </w:p>
    <w:p>
      <w:pPr>
        <w:spacing w:after="140"/>
        <w:ind w:left="648" w:hanging="648"/>
      </w:pPr>
      <w:r>
        <w:rPr>
          <w:b/>
          <w:color w:val="C0501E"/>
        </w:rPr>
        <w:t>A:</w:t>
      </w:r>
      <w:r>
        <w:t xml:space="preserve"> KPI is median realised nightly rate — $98.75 today, target $103.18. Realised, not listed, because Question 13 showed those diverge.</w:t>
      </w:r>
    </w:p>
    <w:p>
      <w:pPr>
        <w:spacing w:after="140"/>
        <w:ind w:left="648" w:hanging="648"/>
      </w:pPr>
      <w:r>
        <w:rPr>
          <w:b/>
          <w:color w:val="C0501E"/>
        </w:rPr>
        <w:t>L:</w:t>
      </w:r>
      <w:r>
        <w:t xml:space="preserve"> State the weakness though.</w:t>
      </w:r>
    </w:p>
    <w:p>
      <w:pPr>
        <w:spacing w:after="140"/>
        <w:ind w:left="648" w:hanging="648"/>
      </w:pPr>
      <w:r>
        <w:rPr>
          <w:b/>
          <w:color w:val="C0501E"/>
        </w:rPr>
        <w:t>A:</w:t>
      </w:r>
      <w:r>
        <w:t xml:space="preserve"> The cohort is defined on the outcome. These listings are in the top quintile </w:t>
      </w:r>
      <w:r>
        <w:rPr>
          <w:i/>
        </w:rPr>
        <w:t>because</w:t>
      </w:r>
      <w:r>
        <w:t xml:space="preserve"> they booked heavily, and they may book heavily </w:t>
      </w:r>
      <w:r>
        <w:rPr>
          <w:i/>
        </w:rPr>
        <w:t>because</w:t>
      </w:r>
      <w:r>
        <w:t xml:space="preserve"> they price low. Raising the rate could trade away exactly what put them there. That's why it's a randomised test with guardrails, not a rollout.</w:t>
      </w:r>
    </w:p>
    <w:p>
      <w:pPr>
        <w:pStyle w:val="Heading2"/>
      </w:pPr>
      <w:r>
        <w:t>14:45 – 15:00 · Close</w:t>
      </w:r>
    </w:p>
    <w:p>
      <w:pPr>
        <w:spacing w:after="140"/>
        <w:ind w:left="648" w:hanging="648"/>
      </w:pPr>
      <w:r>
        <w:rPr>
          <w:b/>
          <w:color w:val="C0501E"/>
        </w:rPr>
        <w:t>L:</w:t>
      </w:r>
      <w:r>
        <w:t xml:space="preserve"> What would we need to be sure? There's no exogenous price variation anywhere in the file, so we can't estimate elasticity. We can say where the gap is; we can't say what closing it costs.</w:t>
      </w:r>
    </w:p>
    <w:p>
      <w:pPr>
        <w:spacing w:after="140"/>
        <w:ind w:left="648" w:hanging="648"/>
      </w:pPr>
      <w:r>
        <w:rPr>
          <w:b/>
          <w:color w:val="C0501E"/>
        </w:rPr>
        <w:t>A:</w:t>
      </w:r>
      <w:r>
        <w:t xml:space="preserve"> Everything rests on periods that booked, so a listing priced so high it never sold is invisible to us. And </w:t>
      </w:r>
      <w:r>
        <w:rPr>
          <w:rFonts w:ascii="Consolas" w:hAnsi="Consolas"/>
          <w:sz w:val="19"/>
        </w:rPr>
        <w:t>Integrated Property Manager</w:t>
      </w:r>
      <w:r>
        <w:t xml:space="preserve"> is entirely null, so we can't separate professional operators from individual hosts.</w:t>
      </w:r>
    </w:p>
    <w:p>
      <w:pPr>
        <w:spacing w:after="140"/>
        <w:ind w:left="648" w:hanging="648"/>
      </w:pPr>
      <w:r>
        <w:rPr>
          <w:b/>
          <w:color w:val="C0501E"/>
        </w:rPr>
        <w:t>L:</w:t>
      </w:r>
      <w:r>
        <w:t xml:space="preserve"> Plus the measurement break at period 17 — the market median halves and stays there, and there's no data after period 20 to see whether it persisted.</w:t>
      </w:r>
    </w:p>
    <w:p>
      <w:pPr>
        <w:spacing w:after="140"/>
        <w:ind w:left="648" w:hanging="648"/>
      </w:pPr>
      <w:r>
        <w:rPr>
          <w:b/>
          <w:color w:val="C0501E"/>
        </w:rPr>
        <w:t>A:</w:t>
      </w:r>
      <w:r>
        <w:t xml:space="preserve"> Which is why every recommendation we made is framed as a test rather than a conclusion.</w:t>
      </w:r>
    </w:p>
    <w:p>
      <w:pPr>
        <w:pStyle w:val="Heading2"/>
      </w:pPr>
      <w:r>
        <w:t>Afterwards</w:t>
      </w:r>
    </w:p>
    <w:p>
      <w:pPr>
        <w:pStyle w:val="ListNumber"/>
      </w:pPr>
      <w:r>
        <w:t xml:space="preserve">Download the Teams transcript as </w:t>
      </w:r>
      <w:r>
        <w:rPr>
          <w:rFonts w:ascii="Consolas" w:hAnsi="Consolas"/>
          <w:sz w:val="19"/>
        </w:rPr>
        <w:t>.docx</w:t>
      </w:r>
      <w:r>
        <w:t>.</w:t>
      </w:r>
    </w:p>
    <w:p>
      <w:pPr>
        <w:pStyle w:val="ListNumber"/>
      </w:pPr>
      <w:r>
        <w:t>Put the recording link and the full transcript into a separate document — that is the</w:t>
      </w:r>
    </w:p>
    <w:p>
      <w:pPr>
        <w:spacing w:after="180"/>
      </w:pPr>
      <w:r>
        <w:t xml:space="preserve">   assignment's second deliverable.</w:t>
      </w:r>
    </w:p>
    <w:p>
      <w:pPr>
        <w:pStyle w:val="ListNumber"/>
      </w:pPr>
      <w:r>
        <w:t>Export the notebook to PDF from a fresh Colab session, File → Print → Save as PDF, with every</w:t>
      </w:r>
    </w:p>
    <w:p>
      <w:pPr>
        <w:spacing w:after="180"/>
      </w:pPr>
      <w:r>
        <w:t xml:space="preserve">   question clearly labelled.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A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