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 Assignment 1 — 15-minute working session guide</w:t>
      </w:r>
    </w:p>
    <w:p>
      <w:pPr>
        <w:spacing w:after="160"/>
      </w:pPr>
      <w:r>
        <w:rPr>
          <w:b/>
        </w:rPr>
        <w:t>Not a script.</w:t>
      </w:r>
      <w:r>
        <w:t xml:space="preserve"> The assignment says the recording "should not be a presentation of your work, nor just a discussion of who will do what… it must capture your group's actual analysis and decision-making process." Reading lines aloud fails that test, and it is audible. What follows is a map of the decisions in this analysis that were genuinely contestable, with a position assigned to each of you so the disagreement is real. Have the numbers open; argue the calls.</w:t>
      </w:r>
    </w:p>
    <w:p>
      <w:pPr>
        <w:spacing w:after="160"/>
      </w:pPr>
      <w:r>
        <w:rPr>
          <w:b/>
        </w:rPr>
        <w:t>Requirements:</w:t>
      </w:r>
      <w:r>
        <w:t xml:space="preserve"> minimum 15 minutes · Microsoft Teams only · cameras on for everyone · download the transcript as </w:t>
      </w:r>
      <w:r>
        <w:rPr>
          <w:rFonts w:ascii="Consolas" w:hAnsi="Consolas"/>
          <w:sz w:val="19"/>
        </w:rPr>
        <w:t>.docx</w:t>
      </w:r>
      <w:r>
        <w:t xml:space="preserve"> afterwards.</w:t>
      </w:r>
    </w:p>
    <w:p/>
    <w:p>
      <w:pPr>
        <w:pStyle w:val="Heading2"/>
      </w:pPr>
      <w:r>
        <w:t>Before you start</w:t>
      </w:r>
    </w:p>
    <w:p>
      <w:pPr>
        <w:spacing w:after="160"/>
      </w:pPr>
      <w:r>
        <w:t>Open on screen: the notebook, scrolled to the question under discussion. Talking over the actual table or chart is what makes this read as working rather than presenting.</w:t>
      </w:r>
    </w:p>
    <w:p>
      <w:pPr>
        <w:spacing w:after="160"/>
      </w:pPr>
      <w:r>
        <w:t xml:space="preserve">Ground rule that makes the recording work: </w:t>
      </w:r>
      <w:r>
        <w:rPr>
          <w:b/>
        </w:rPr>
        <w:t>do not agree too quickly.</w:t>
      </w:r>
      <w:r>
        <w:t xml:space="preserve"> Every item below is a call where a competent analyst could have gone the other way. If one of you concedes in ten seconds the section is dead. Push until the reason surfaces.</w:t>
      </w:r>
    </w:p>
    <w:p/>
    <w:p>
      <w:pPr>
        <w:pStyle w:val="Heading2"/>
      </w:pPr>
      <w:r>
        <w:t>0:00–2:00 · What the data actually is</w:t>
      </w:r>
    </w:p>
    <w:p>
      <w:pPr>
        <w:spacing w:after="160"/>
      </w:pPr>
      <w:r>
        <w:t>Open here because almost every later decision depends on it, and it is the fastest way to show you understand the file rather than just ran code on it.</w:t>
      </w:r>
    </w:p>
    <w:p>
      <w:pPr>
        <w:pStyle w:val="ListBullet"/>
      </w:pPr>
      <w:r>
        <w:t xml:space="preserve">48,711 rows is </w:t>
      </w:r>
      <w:r>
        <w:rPr>
          <w:b/>
        </w:rPr>
        <w:t>not</w:t>
      </w:r>
      <w:r>
        <w:t xml:space="preserve"> 48,711 listings. It is 9,599 properties observed across 16 quarterly</w:t>
      </w:r>
    </w:p>
    <w:p>
      <w:pPr>
        <w:spacing w:after="160"/>
      </w:pPr>
      <w:r>
        <w:t xml:space="preserve">  evaluation periods, Aug 2016 to May 2020.</w:t>
      </w:r>
    </w:p>
    <w:p>
      <w:pPr>
        <w:pStyle w:val="ListBullet"/>
      </w:pPr>
      <w:r>
        <w:t>Every "average for Superhosts" is an average over property-</w:t>
      </w:r>
      <w:r>
        <w:rPr>
          <w:b/>
        </w:rPr>
        <w:t>periods</w:t>
      </w:r>
      <w:r>
        <w:t xml:space="preserve"> unless you collapse</w:t>
      </w:r>
    </w:p>
    <w:p>
      <w:pPr>
        <w:spacing w:after="160"/>
      </w:pPr>
      <w:r>
        <w:t xml:space="preserve">  first — which changes answers. Q1's IQR is $116.12 across rows and $108.10 across listings.</w:t>
      </w:r>
    </w:p>
    <w:p>
      <w:pPr>
        <w:pStyle w:val="ListBullet"/>
      </w:pPr>
      <w:r>
        <w:rPr>
          <w:rFonts w:ascii="Consolas" w:hAnsi="Consolas"/>
          <w:sz w:val="19"/>
        </w:rPr>
        <w:t>occupancy_rate</w:t>
      </w:r>
      <w:r>
        <w:t xml:space="preserve"> is </w:t>
      </w:r>
      <w:r>
        <w:rPr>
          <w:rFonts w:ascii="Consolas" w:hAnsi="Consolas"/>
          <w:sz w:val="19"/>
        </w:rPr>
        <w:t>booked_days / available_days</w:t>
      </w:r>
      <w:r>
        <w:t xml:space="preserve">, and </w:t>
      </w:r>
      <w:r>
        <w:rPr>
          <w:rFonts w:ascii="Consolas" w:hAnsi="Consolas"/>
          <w:sz w:val="19"/>
        </w:rPr>
        <w:t>available_days</w:t>
      </w:r>
      <w:r>
        <w:t xml:space="preserve"> is the **exposure</w:t>
      </w:r>
    </w:p>
    <w:p>
      <w:pPr>
        <w:spacing w:after="160"/>
      </w:pPr>
      <w:r>
        <w:t xml:space="preserve">  window**, median 171 days — not the unbooked remainder. Periods are ~91 days apart, so consecutive observations overlap by roughly half.</w:t>
      </w:r>
    </w:p>
    <w:p>
      <w:pPr>
        <w:spacing w:after="160"/>
      </w:pPr>
      <w:r>
        <w:rPr>
          <w:b/>
        </w:rPr>
        <w:t>Worth saying out loud:</w:t>
      </w:r>
      <w:r>
        <w:t xml:space="preserve"> that overlap is why Q7's before/after null is credible rather than suspicious. A real effect gets attenuated toward zero by construction.</w:t>
      </w:r>
    </w:p>
    <w:p/>
    <w:p>
      <w:pPr>
        <w:pStyle w:val="Heading2"/>
      </w:pPr>
      <w:r>
        <w:t>2:00–5:00 · The first real fight: mean or median, and what counts as a sample</w:t>
      </w:r>
    </w:p>
    <w:p>
      <w:pPr>
        <w:pStyle w:val="Heading3"/>
      </w:pPr>
      <w:r>
        <w:t>Mean vs median (Q12)</w:t>
      </w:r>
    </w:p>
    <w:p>
      <w:pPr>
        <w:pStyle w:val="ListBullet"/>
      </w:pPr>
      <w:r>
        <w:rPr>
          <w:b/>
        </w:rPr>
        <w:t>Atharva's position:</w:t>
      </w:r>
      <w:r>
        <w:t xml:space="preserve"> median. Lake Highlands tops the </w:t>
      </w:r>
      <w:r>
        <w:rPr>
          <w:i/>
        </w:rPr>
        <w:t>mean</w:t>
      </w:r>
      <w:r>
        <w:t xml:space="preserve"> revenue table at $6,088 — 63%</w:t>
      </w:r>
    </w:p>
    <w:p>
      <w:pPr>
        <w:spacing w:after="160"/>
      </w:pPr>
      <w:r>
        <w:t xml:space="preserve">  above Central Dallas — but the top 5 of its 78 Superhost properties supply </w:t>
      </w:r>
      <w:r>
        <w:rPr>
          <w:b/>
        </w:rPr>
        <w:t>66.6%</w:t>
      </w:r>
      <w:r>
        <w:t xml:space="preserve"> of its revenue. Its median is $1,948, which ranks 6th. A mean ranking here ranks where the luxury outliers sit.</w:t>
      </w:r>
    </w:p>
    <w:p>
      <w:pPr>
        <w:pStyle w:val="ListBullet"/>
      </w:pPr>
      <w:r>
        <w:rPr>
          <w:b/>
        </w:rPr>
        <w:t>Leo's counter:</w:t>
      </w:r>
      <w:r>
        <w:t xml:space="preserve"> a market manager allocating budget cares about total dollars, not the</w:t>
      </w:r>
    </w:p>
    <w:p>
      <w:pPr>
        <w:spacing w:after="160"/>
      </w:pPr>
      <w:r>
        <w:t xml:space="preserve">  typical listing. Suppressing the mean hides where the money actually is.</w:t>
      </w:r>
    </w:p>
    <w:p>
      <w:pPr>
        <w:pStyle w:val="ListBullet"/>
      </w:pPr>
      <w:r>
        <w:rPr>
          <w:b/>
        </w:rPr>
        <w:t>Where you land:</w:t>
      </w:r>
      <w:r>
        <w:t xml:space="preserve"> median leads, mean printed alongside with the sensitivity check visible.</w:t>
      </w:r>
    </w:p>
    <w:p>
      <w:pPr>
        <w:spacing w:after="160"/>
      </w:pPr>
      <w:r>
        <w:t xml:space="preserve">  Say why the reader needs both.</w:t>
      </w:r>
    </w:p>
    <w:p>
      <w:pPr>
        <w:pStyle w:val="Heading3"/>
      </w:pPr>
      <w:r>
        <w:t>The minimum-sample threshold</w:t>
      </w:r>
    </w:p>
    <w:p>
      <w:pPr>
        <w:pStyle w:val="ListBullet"/>
      </w:pPr>
      <w:r>
        <w:t xml:space="preserve">The draft plan said "drop neighbourhoods with fewer than 30 </w:t>
      </w:r>
      <w:r>
        <w:rPr>
          <w:b/>
        </w:rPr>
        <w:t>rows</w:t>
      </w:r>
      <w:r>
        <w:t>." On panel data that is</w:t>
      </w:r>
    </w:p>
    <w:p>
      <w:pPr>
        <w:spacing w:after="160"/>
      </w:pPr>
      <w:r>
        <w:t xml:space="preserve">  not a filter — three properties across thirteen periods clears it. It removed 2 of 17.</w:t>
      </w:r>
    </w:p>
    <w:p>
      <w:pPr>
        <w:pStyle w:val="ListBullet"/>
      </w:pPr>
      <w:r>
        <w:t xml:space="preserve">Changed to </w:t>
      </w:r>
      <w:r>
        <w:rPr>
          <w:b/>
        </w:rPr>
        <w:t>≥20 distinct properties</w:t>
      </w:r>
      <w:r>
        <w:t>, which keeps 11.</w:t>
      </w:r>
    </w:p>
    <w:p>
      <w:pPr>
        <w:pStyle w:val="ListBullet"/>
      </w:pPr>
      <w:r>
        <w:rPr>
          <w:b/>
        </w:rPr>
        <w:t>Push on it:</w:t>
      </w:r>
      <w:r>
        <w:t xml:space="preserve"> 20 is arbitrary. 10 keeps 15, 30 keeps 9. Why 20? (Answer: it is the point</w:t>
      </w:r>
    </w:p>
    <w:p>
      <w:pPr>
        <w:spacing w:after="160"/>
      </w:pPr>
      <w:r>
        <w:t xml:space="preserve">  where no single property can move a neighbourhood's median.) Let whoever picked it defend it.</w:t>
      </w:r>
    </w:p>
    <w:p/>
    <w:p>
      <w:pPr>
        <w:pStyle w:val="Heading2"/>
      </w:pPr>
      <w:r>
        <w:t>5:00–8:00 · Does the Superhost badge do anything?</w:t>
      </w:r>
    </w:p>
    <w:p>
      <w:pPr>
        <w:spacing w:after="160"/>
      </w:pPr>
      <w:r>
        <w:t>This is the strongest analytical work in the notebook and the best material in the session.</w:t>
      </w:r>
    </w:p>
    <w:p>
      <w:pPr>
        <w:pStyle w:val="ListBullet"/>
      </w:pPr>
      <w:r>
        <w:t>The naive read: Superhosts earn more, so the badge lifts revenue.</w:t>
      </w:r>
    </w:p>
    <w:p>
      <w:pPr>
        <w:pStyle w:val="ListBullet"/>
      </w:pPr>
      <w:r>
        <w:t>Q7 tests it properly — same property before and after it gained the badge, with a control group</w:t>
      </w:r>
    </w:p>
    <w:p>
      <w:pPr>
        <w:spacing w:after="160"/>
      </w:pPr>
      <w:r>
        <w:t xml:space="preserve">  matched on period. </w:t>
      </w:r>
      <w:r>
        <w:rPr>
          <w:b/>
        </w:rPr>
        <w:t>Difference-in-differences −$148, 95% CI [−$307, +$10].</w:t>
      </w:r>
      <w:r>
        <w:t xml:space="preserve"> Contains zero.</w:t>
      </w:r>
    </w:p>
    <w:p>
      <w:pPr>
        <w:pStyle w:val="ListBullet"/>
      </w:pPr>
      <w:r>
        <w:t xml:space="preserve">Q13 does the same on price: </w:t>
      </w:r>
      <w:r>
        <w:rPr>
          <w:b/>
        </w:rPr>
        <w:t>median listed-rate change on gaining the badge is exactly $0.00.</w:t>
      </w:r>
    </w:p>
    <w:p>
      <w:pPr>
        <w:pStyle w:val="ListBullet"/>
      </w:pPr>
      <w:r>
        <w:rPr>
          <w:b/>
        </w:rPr>
        <w:t>The falsification is the moment worth dwelling on.</w:t>
      </w:r>
      <w:r>
        <w:t xml:space="preserve"> Properties that </w:t>
      </w:r>
      <w:r>
        <w:rPr>
          <w:i/>
        </w:rPr>
        <w:t>lost</w:t>
      </w:r>
      <w:r>
        <w:t xml:space="preserve"> the badge moved</w:t>
      </w:r>
    </w:p>
    <w:p>
      <w:pPr>
        <w:spacing w:after="160"/>
      </w:pPr>
      <w:r>
        <w:t xml:space="preserve">  identically — −$5.51 against −$5.69, both median $0.00. If losing it moves price the same as gaining it, neither move is a badge effect.</w:t>
      </w:r>
    </w:p>
    <w:p>
      <w:pPr>
        <w:spacing w:after="160"/>
      </w:pPr>
      <w:r>
        <w:rPr>
          <w:b/>
        </w:rPr>
        <w:t>Assign the disagreement:</w:t>
      </w:r>
      <w:r>
        <w:t xml:space="preserve"> one of you argue that this is a null result and nulls are weak findings. The other argue that a well-designed null is stronger than a correlation, and that this one changes the recommendation — it is why Q16 triggers on occupancy rather than on the badge.</w:t>
      </w:r>
    </w:p>
    <w:p>
      <w:pPr>
        <w:spacing w:after="160"/>
      </w:pPr>
      <w:r>
        <w:rPr>
          <w:b/>
        </w:rPr>
        <w:t>Also worth surfacing:</w:t>
      </w:r>
      <w:r>
        <w:t xml:space="preserve"> Q13 found Superhosts list </w:t>
      </w:r>
      <w:r>
        <w:rPr>
          <w:b/>
        </w:rPr>
        <w:t>11% below</w:t>
      </w:r>
      <w:r>
        <w:t xml:space="preserve"> comparable non-Superhosts, on </w:t>
      </w:r>
      <w:r>
        <w:rPr>
          <w:i/>
        </w:rPr>
        <w:t>larger</w:t>
      </w:r>
      <w:r>
        <w:t xml:space="preserve"> properties. That surprised us. The resolution is that they realise −9.2% against listed where non-Superhosts realise −16.2%: they price more accurately, not higher.</w:t>
      </w:r>
    </w:p>
    <w:p/>
    <w:p>
      <w:pPr>
        <w:pStyle w:val="Heading2"/>
      </w:pPr>
      <w:r>
        <w:t>8:00–11:00 · Two things the data was hiding</w:t>
      </w:r>
    </w:p>
    <w:p>
      <w:pPr>
        <w:pStyle w:val="Heading3"/>
      </w:pPr>
      <w:r>
        <w:t>The period-17 break</w:t>
      </w:r>
    </w:p>
    <w:p>
      <w:pPr>
        <w:pStyle w:val="ListBullet"/>
      </w:pPr>
      <w:r>
        <w:t xml:space="preserve">The market-wide median listed rate roughly </w:t>
      </w:r>
      <w:r>
        <w:rPr>
          <w:b/>
        </w:rPr>
        <w:t>halves</w:t>
      </w:r>
      <w:r>
        <w:t xml:space="preserve"> between periods 15 and 17 ($200 → $89 for</w:t>
      </w:r>
    </w:p>
    <w:p>
      <w:pPr>
        <w:spacing w:after="160"/>
      </w:pPr>
      <w:r>
        <w:t xml:space="preserve">  non-Superhost entire homes) and stays there.</w:t>
      </w:r>
    </w:p>
    <w:p>
      <w:pPr>
        <w:pStyle w:val="ListBullet"/>
      </w:pPr>
      <w:r>
        <w:t>We tested whether it was cheap new supply arriving. It is not: new listings are a stable share</w:t>
      </w:r>
    </w:p>
    <w:p>
      <w:pPr>
        <w:spacing w:after="160"/>
      </w:pPr>
      <w:r>
        <w:t xml:space="preserve">  either side (15.6% → 19.3%), and in period 16 new listings list at $99.00 against $133.50 for returning ones, while in period 17 </w:t>
      </w:r>
      <w:r>
        <w:rPr>
          <w:b/>
        </w:rPr>
        <w:t>new and returning both list at $85.00 — identical.</w:t>
      </w:r>
    </w:p>
    <w:p>
      <w:pPr>
        <w:pStyle w:val="ListBullet"/>
      </w:pPr>
      <w:r>
        <w:t>Same properties, halved price, converged with new supply, in one quarter. That is a measurement</w:t>
      </w:r>
    </w:p>
    <w:p>
      <w:pPr>
        <w:spacing w:after="160"/>
      </w:pPr>
      <w:r>
        <w:t xml:space="preserve">  change, not a market move.</w:t>
      </w:r>
    </w:p>
    <w:p>
      <w:pPr>
        <w:pStyle w:val="ListBullet"/>
      </w:pPr>
      <w:r>
        <w:rPr>
          <w:b/>
        </w:rPr>
        <w:t>Consequence to state:</w:t>
      </w:r>
      <w:r>
        <w:t xml:space="preserve"> any pooled figure spanning periods 5–20 averages two regimes. It is</w:t>
      </w:r>
    </w:p>
    <w:p>
      <w:pPr>
        <w:spacing w:after="160"/>
      </w:pPr>
      <w:r>
        <w:t xml:space="preserve">  why Q16's KPI baseline uses periods 17–20 only.</w:t>
      </w:r>
    </w:p>
    <w:p>
      <w:pPr>
        <w:pStyle w:val="Heading3"/>
      </w:pPr>
      <w:r>
        <w:t>The review columns are host-level</w:t>
      </w:r>
    </w:p>
    <w:p>
      <w:pPr>
        <w:pStyle w:val="ListBullet"/>
      </w:pPr>
      <w:r>
        <w:rPr>
          <w:rFonts w:ascii="Consolas" w:hAnsi="Consolas"/>
          <w:sz w:val="19"/>
        </w:rPr>
        <w:t>num_5_star_Rev_pastYear</w:t>
      </w:r>
      <w:r>
        <w:t xml:space="preserve"> is </w:t>
      </w:r>
      <w:r>
        <w:rPr>
          <w:b/>
        </w:rPr>
        <w:t>identical across every property a host owns</w:t>
      </w:r>
      <w:r>
        <w:t xml:space="preserve"> — 0 of 17,609</w:t>
      </w:r>
    </w:p>
    <w:p>
      <w:pPr>
        <w:spacing w:after="160"/>
      </w:pPr>
      <w:r>
        <w:t xml:space="preserve">  host-periods vary.</w:t>
      </w:r>
    </w:p>
    <w:p>
      <w:pPr>
        <w:pStyle w:val="ListBullet"/>
      </w:pPr>
      <w:r>
        <w:t>So it confounds listing quality with operator scale: median host portfolio runs 1, 2, 3, 13, 32</w:t>
      </w:r>
    </w:p>
    <w:p>
      <w:pPr>
        <w:spacing w:after="160"/>
      </w:pPr>
      <w:r>
        <w:t xml:space="preserve">  across the count quintiles.</w:t>
      </w:r>
    </w:p>
    <w:p>
      <w:pPr>
        <w:pStyle w:val="ListBullet"/>
      </w:pPr>
      <w:r>
        <w:t>Q5 hit this first (the mean/median contradiction), Q14 hit it again independently.</w:t>
      </w:r>
    </w:p>
    <w:p>
      <w:pPr>
        <w:pStyle w:val="ListBullet"/>
      </w:pPr>
      <w:r>
        <w:rPr>
          <w:b/>
        </w:rPr>
        <w:t>Good question for whoever did not find it:</w:t>
      </w:r>
      <w:r>
        <w:t xml:space="preserve"> how would you have caught this if the mean and</w:t>
      </w:r>
    </w:p>
    <w:p>
      <w:pPr>
        <w:spacing w:after="160"/>
      </w:pPr>
      <w:r>
        <w:t xml:space="preserve">  median had happened to agree?</w:t>
      </w:r>
    </w:p>
    <w:p/>
    <w:p>
      <w:pPr>
        <w:pStyle w:val="Heading2"/>
      </w:pPr>
      <w:r>
        <w:t>11:00–14:00 · The recommendation, and why there were two candidates</w:t>
      </w:r>
    </w:p>
    <w:p>
      <w:pPr>
        <w:spacing w:after="160"/>
      </w:pPr>
      <w:r>
        <w:t xml:space="preserve">The assignment asks for </w:t>
      </w:r>
      <w:r>
        <w:rPr>
          <w:b/>
        </w:rPr>
        <w:t>one</w:t>
      </w:r>
      <w:r>
        <w:t xml:space="preserve"> change. We had two defensible ones and had to choose.</w:t>
      </w:r>
    </w:p>
    <w:p>
      <w:pPr>
        <w:pStyle w:val="ListBullet"/>
      </w:pPr>
      <w:r>
        <w:rPr>
          <w:b/>
        </w:rPr>
        <w:t>Q15's version targets places:</w:t>
      </w:r>
      <w:r>
        <w:t xml:space="preserve"> six ZIPs running above-median occupancy at below-median</w:t>
      </w:r>
    </w:p>
    <w:p>
      <w:pPr>
        <w:spacing w:after="160"/>
      </w:pPr>
      <w:r>
        <w:t xml:space="preserve">  realised rate. Evidence: ZIP explains 13.5% of price variance but only </w:t>
      </w:r>
      <w:r>
        <w:rPr>
          <w:b/>
        </w:rPr>
        <w:t>1.0%</w:t>
      </w:r>
      <w:r>
        <w:t xml:space="preserve"> of occupancy variance. Location prices a night; it does not sell one.</w:t>
      </w:r>
    </w:p>
    <w:p>
      <w:pPr>
        <w:pStyle w:val="ListBullet"/>
      </w:pPr>
      <w:r>
        <w:rPr>
          <w:b/>
        </w:rPr>
        <w:t>Q16's version targets behaviour:</w:t>
      </w:r>
      <w:r>
        <w:t xml:space="preserve"> top-occupancy entire homes priced below their own ZIP's</w:t>
      </w:r>
    </w:p>
    <w:p>
      <w:pPr>
        <w:spacing w:after="160"/>
      </w:pPr>
      <w:r>
        <w:t xml:space="preserve">  comparable in the same quarter. 448 listings on the latest period.</w:t>
      </w:r>
    </w:p>
    <w:p>
      <w:pPr>
        <w:spacing w:after="160"/>
      </w:pPr>
      <w:r>
        <w:rPr>
          <w:b/>
        </w:rPr>
        <w:t>Argue it properly.</w:t>
      </w:r>
      <w:r>
        <w:t xml:space="preserve"> One of you take places (simpler to operationalise, a market manager already thinks in ZIPs). The other take behaviour (the ZIP version is confounded by inventory mix — entire-home share correlates +0.776 with ZIP revenue — so a place-based prompt partly targets what is listed, not where it is).</w:t>
      </w:r>
    </w:p>
    <w:p>
      <w:pPr>
        <w:spacing w:after="160"/>
      </w:pPr>
      <w:r>
        <w:rPr>
          <w:b/>
        </w:rPr>
        <w:t>The honest problem with the one we chose</w:t>
      </w:r>
      <w:r>
        <w:t xml:space="preserve">, and it should be said on camera: the Q16 cohort is </w:t>
      </w:r>
      <w:r>
        <w:rPr>
          <w:b/>
        </w:rPr>
        <w:t>defined on the outcome</w:t>
      </w:r>
      <w:r>
        <w:t xml:space="preserve">. These listings are in the top occupancy quintile </w:t>
      </w:r>
      <w:r>
        <w:rPr>
          <w:i/>
        </w:rPr>
        <w:t>because</w:t>
      </w:r>
      <w:r>
        <w:t xml:space="preserve"> they booked heavily, and they may book heavily </w:t>
      </w:r>
      <w:r>
        <w:rPr>
          <w:i/>
        </w:rPr>
        <w:t>because</w:t>
      </w:r>
      <w:r>
        <w:t xml:space="preserve"> they price low. Raising the rate might trade away exactly what put them in the cohort. That is why the deliverable is a randomised test with guardrails, not a rollout.</w:t>
      </w:r>
    </w:p>
    <w:p>
      <w:pPr>
        <w:spacing w:after="160"/>
      </w:pPr>
      <w:r>
        <w:rPr>
          <w:b/>
        </w:rPr>
        <w:t>KPI:</w:t>
      </w:r>
      <w:r>
        <w:t xml:space="preserve"> median realised nightly rate, $98.75 → target ≥$103.18. Realised and not listed, because Q13 showed the two diverge and post-break the listed column is broken — median listed ($89.00) sits </w:t>
      </w:r>
      <w:r>
        <w:rPr>
          <w:i/>
        </w:rPr>
        <w:t>below</w:t>
      </w:r>
      <w:r>
        <w:t xml:space="preserve"> median realised ($98.75), which is an artefact, not a behaviour.</w:t>
      </w:r>
    </w:p>
    <w:p/>
    <w:p>
      <w:pPr>
        <w:pStyle w:val="Heading2"/>
      </w:pPr>
      <w:r>
        <w:t>14:00–15:00 · What we would need to be sure</w:t>
      </w:r>
    </w:p>
    <w:p>
      <w:pPr>
        <w:spacing w:after="160"/>
      </w:pPr>
      <w:r>
        <w:t>Close on limits rather than a summary. It reads as judgement rather than as a wrap-up.</w:t>
      </w:r>
    </w:p>
    <w:p>
      <w:pPr>
        <w:pStyle w:val="ListBullet"/>
      </w:pPr>
      <w:r>
        <w:t xml:space="preserve">No exogenous price variation anywhere in the file, so </w:t>
      </w:r>
      <w:r>
        <w:rPr>
          <w:b/>
        </w:rPr>
        <w:t>no elasticity can be estimated</w:t>
      </w:r>
      <w:r>
        <w:t>. We can</w:t>
      </w:r>
    </w:p>
    <w:p>
      <w:pPr>
        <w:spacing w:after="160"/>
      </w:pPr>
      <w:r>
        <w:t xml:space="preserve">  say where the gap is; we cannot say what closing it costs.</w:t>
      </w:r>
    </w:p>
    <w:p>
      <w:pPr>
        <w:pStyle w:val="ListBullet"/>
      </w:pPr>
      <w:r>
        <w:t xml:space="preserve">Everything rests on property-periods that </w:t>
      </w:r>
      <w:r>
        <w:rPr>
          <w:b/>
        </w:rPr>
        <w:t>booked</w:t>
      </w:r>
      <w:r>
        <w:t>. A listing priced so high it never sold is</w:t>
      </w:r>
    </w:p>
    <w:p>
      <w:pPr>
        <w:spacing w:after="160"/>
      </w:pPr>
      <w:r>
        <w:t xml:space="preserve">  invisible in every price comparison we ran.</w:t>
      </w:r>
    </w:p>
    <w:p>
      <w:pPr>
        <w:pStyle w:val="ListBullet"/>
      </w:pPr>
      <w:r>
        <w:rPr>
          <w:rFonts w:ascii="Consolas" w:hAnsi="Consolas"/>
          <w:sz w:val="19"/>
        </w:rPr>
        <w:t>Integrated Property Manager</w:t>
      </w:r>
      <w:r>
        <w:t xml:space="preserve"> is </w:t>
      </w:r>
      <w:r>
        <w:rPr>
          <w:b/>
        </w:rPr>
        <w:t>100% null</w:t>
      </w:r>
      <w:r>
        <w:t>, so professional operators cannot be separated</w:t>
      </w:r>
    </w:p>
    <w:p>
      <w:pPr>
        <w:spacing w:after="160"/>
      </w:pPr>
      <w:r>
        <w:t xml:space="preserve">  from individual hosts. Portfolio size is the only proxy, and Q14 showed that proxy is entangled with review counts.</w:t>
      </w:r>
    </w:p>
    <w:p>
      <w:pPr>
        <w:pStyle w:val="ListBullet"/>
      </w:pPr>
      <w:r>
        <w:t>No data after period 20, so we cannot check whether the measurement break persisted.</w:t>
      </w:r>
    </w:p>
    <w:p/>
    <w:p>
      <w:pPr>
        <w:pStyle w:val="Heading2"/>
      </w:pPr>
      <w:r>
        <w:t>Numbers to have open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Figure</w:t>
            </w:r>
          </w:p>
        </w:tc>
      </w:tr>
      <w:tr>
        <w:tc>
          <w:tcPr>
            <w:tcW w:type="dxa" w:w="4320"/>
          </w:tcPr>
          <w:p>
            <w:r/>
            <w:r>
              <w:t>Q1</w:t>
            </w:r>
          </w:p>
        </w:tc>
        <w:tc>
          <w:tcPr>
            <w:tcW w:type="dxa" w:w="4320"/>
          </w:tcPr>
          <w:p>
            <w:r/>
            <w:r>
              <w:t>Range $1,899 · IQR $116.12 · median $107.50</w:t>
            </w:r>
          </w:p>
        </w:tc>
      </w:tr>
      <w:tr>
        <w:tc>
          <w:tcPr>
            <w:tcW w:type="dxa" w:w="4320"/>
          </w:tcPr>
          <w:p>
            <w:r/>
            <w:r>
              <w:t>Q2</w:t>
            </w:r>
          </w:p>
        </w:tc>
        <w:tc>
          <w:tcPr>
            <w:tcW w:type="dxa" w:w="4320"/>
          </w:tcPr>
          <w:p>
            <w:r/>
            <w:r>
              <w:t>23.1% of on-market inventory earns nothing (34.6% of all listed)</w:t>
            </w:r>
          </w:p>
        </w:tc>
      </w:tr>
      <w:tr>
        <w:tc>
          <w:tcPr>
            <w:tcW w:type="dxa" w:w="4320"/>
          </w:tcPr>
          <w:p>
            <w:r/>
            <w:r>
              <w:t>Q3</w:t>
            </w:r>
          </w:p>
        </w:tc>
        <w:tc>
          <w:tcPr>
            <w:tcW w:type="dxa" w:w="4320"/>
          </w:tcPr>
          <w:p>
            <w:r/>
            <w:r>
              <w:t>Idle periods: 42.1% non-Superhost vs 19.2% Superhost</w:t>
            </w:r>
          </w:p>
        </w:tc>
      </w:tr>
      <w:tr>
        <w:tc>
          <w:tcPr>
            <w:tcW w:type="dxa" w:w="4320"/>
          </w:tcPr>
          <w:p>
            <w:r/>
            <w:r>
              <w:t>Q4</w:t>
            </w:r>
          </w:p>
        </w:tc>
        <w:tc>
          <w:tcPr>
            <w:tcW w:type="dxa" w:w="4320"/>
          </w:tcPr>
          <w:p>
            <w:r/>
            <w:r>
              <w:t>Superhost lead 7.4 days in May vs 2.9 in August</w:t>
            </w:r>
          </w:p>
        </w:tc>
      </w:tr>
      <w:tr>
        <w:tc>
          <w:tcPr>
            <w:tcW w:type="dxa" w:w="4320"/>
          </w:tcPr>
          <w:p>
            <w:r/>
            <w:r>
              <w:t>Q5</w:t>
            </w:r>
          </w:p>
        </w:tc>
        <w:tc>
          <w:tcPr>
            <w:tcW w:type="dxa" w:w="4320"/>
          </w:tcPr>
          <w:p>
            <w:r/>
            <w:r>
              <w:t>Single-listing hosts: 5.6x median reviews</w:t>
            </w:r>
          </w:p>
        </w:tc>
      </w:tr>
      <w:tr>
        <w:tc>
          <w:tcPr>
            <w:tcW w:type="dxa" w:w="4320"/>
          </w:tcPr>
          <w:p>
            <w:r/>
            <w:r>
              <w:t>Q7</w:t>
            </w:r>
          </w:p>
        </w:tc>
        <w:tc>
          <w:tcPr>
            <w:tcW w:type="dxa" w:w="4320"/>
          </w:tcPr>
          <w:p>
            <w:r/>
            <w:r>
              <w:t>DiD −$148, CI [−$307, +$10]</w:t>
            </w:r>
          </w:p>
        </w:tc>
      </w:tr>
      <w:tr>
        <w:tc>
          <w:tcPr>
            <w:tcW w:type="dxa" w:w="4320"/>
          </w:tcPr>
          <w:p>
            <w:r/>
            <w:r>
              <w:t>Q9</w:t>
            </w:r>
          </w:p>
        </w:tc>
        <w:tc>
          <w:tcPr>
            <w:tcW w:type="dxa" w:w="4320"/>
          </w:tcPr>
          <w:p>
            <w:r/>
            <w:r>
              <w:t>r² = 0.006 · the 5.0 band has a median of 7 reviews</w:t>
            </w:r>
          </w:p>
        </w:tc>
      </w:tr>
      <w:tr>
        <w:tc>
          <w:tcPr>
            <w:tcW w:type="dxa" w:w="4320"/>
          </w:tcPr>
          <w:p>
            <w:r/>
            <w:r>
              <w:t>Q10</w:t>
            </w:r>
          </w:p>
        </w:tc>
        <w:tc>
          <w:tcPr>
            <w:tcW w:type="dxa" w:w="4320"/>
          </w:tcPr>
          <w:p>
            <w:r/>
            <w:r>
              <w:t>74.5% of nights, 89.1% of revenue</w:t>
            </w:r>
          </w:p>
        </w:tc>
      </w:tr>
      <w:tr>
        <w:tc>
          <w:tcPr>
            <w:tcW w:type="dxa" w:w="4320"/>
          </w:tcPr>
          <w:p>
            <w:r/>
            <w:r>
              <w:t>Q12</w:t>
            </w:r>
          </w:p>
        </w:tc>
        <w:tc>
          <w:tcPr>
            <w:tcW w:type="dxa" w:w="4320"/>
          </w:tcPr>
          <w:p>
            <w:r/>
            <w:r>
              <w:t>Entire-home share correlates +0.822 with neighbourhood revenue</w:t>
            </w:r>
          </w:p>
        </w:tc>
      </w:tr>
      <w:tr>
        <w:tc>
          <w:tcPr>
            <w:tcW w:type="dxa" w:w="4320"/>
          </w:tcPr>
          <w:p>
            <w:r/>
            <w:r>
              <w:t>Q13</w:t>
            </w:r>
          </w:p>
        </w:tc>
        <w:tc>
          <w:tcPr>
            <w:tcW w:type="dxa" w:w="4320"/>
          </w:tcPr>
          <w:p>
            <w:r/>
            <w:r>
              <w:t>$100.00 vs $112.50 listed · badge-gain change $0.00</w:t>
            </w:r>
          </w:p>
        </w:tc>
      </w:tr>
      <w:tr>
        <w:tc>
          <w:tcPr>
            <w:tcW w:type="dxa" w:w="4320"/>
          </w:tcPr>
          <w:p>
            <w:r/>
            <w:r>
              <w:t>Q14</w:t>
            </w:r>
          </w:p>
        </w:tc>
        <w:tc>
          <w:tcPr>
            <w:tcW w:type="dxa" w:w="4320"/>
          </w:tcPr>
          <w:p>
            <w:r/>
            <w:r>
              <w:t>Partial r = +0.023 controlling volume and nights</w:t>
            </w:r>
          </w:p>
        </w:tc>
      </w:tr>
      <w:tr>
        <w:tc>
          <w:tcPr>
            <w:tcW w:type="dxa" w:w="4320"/>
          </w:tcPr>
          <w:p>
            <w:r/>
            <w:r>
              <w:t>Q15</w:t>
            </w:r>
          </w:p>
        </w:tc>
        <w:tc>
          <w:tcPr>
            <w:tcW w:type="dxa" w:w="4320"/>
          </w:tcPr>
          <w:p>
            <w:r/>
            <w:r>
              <w:t>ZIP explains 13.5% of price, 1.0% of occupancy</w:t>
            </w:r>
          </w:p>
        </w:tc>
      </w:tr>
      <w:tr>
        <w:tc>
          <w:tcPr>
            <w:tcW w:type="dxa" w:w="4320"/>
          </w:tcPr>
          <w:p>
            <w:r/>
            <w:r>
              <w:t>Q16</w:t>
            </w:r>
          </w:p>
        </w:tc>
        <w:tc>
          <w:tcPr>
            <w:tcW w:type="dxa" w:w="4320"/>
          </w:tcPr>
          <w:p>
            <w:r/>
            <w:r>
              <w:t xml:space="preserve">Quintile 5: 1.74x the occupancy of quintile 4, $272 </w:t>
            </w:r>
            <w:r>
              <w:rPr>
                <w:i/>
              </w:rPr>
              <w:t>less</w:t>
            </w:r>
            <w:r>
              <w:t xml:space="preserve"> revenue</w:t>
            </w:r>
          </w:p>
        </w:tc>
      </w:tr>
    </w:tbl>
    <w:p/>
    <w:p/>
    <w:p>
      <w:pPr>
        <w:pStyle w:val="Heading2"/>
      </w:pPr>
      <w:r>
        <w:t>Afterwards</w:t>
      </w:r>
    </w:p>
    <w:p>
      <w:pPr>
        <w:pStyle w:val="ListNumber"/>
      </w:pPr>
      <w:r>
        <w:t xml:space="preserve">Download the Teams transcript as </w:t>
      </w:r>
      <w:r>
        <w:rPr>
          <w:rFonts w:ascii="Consolas" w:hAnsi="Consolas"/>
          <w:sz w:val="19"/>
        </w:rPr>
        <w:t>.docx</w:t>
      </w:r>
      <w:r>
        <w:t>.</w:t>
      </w:r>
    </w:p>
    <w:p>
      <w:pPr>
        <w:pStyle w:val="ListNumber"/>
      </w:pPr>
      <w:r>
        <w:t>Put the recording link and the full transcript in a separate document — that is the assignment's</w:t>
      </w:r>
    </w:p>
    <w:p>
      <w:pPr>
        <w:spacing w:after="160"/>
      </w:pPr>
      <w:r>
        <w:t xml:space="preserve">   second deliverable, not an optional extra.</w:t>
      </w:r>
    </w:p>
    <w:p>
      <w:pPr>
        <w:pStyle w:val="ListNumber"/>
      </w:pPr>
      <w:r>
        <w:t xml:space="preserve">Export the notebook to PDF from a </w:t>
      </w:r>
      <w:r>
        <w:rPr>
          <w:b/>
        </w:rPr>
        <w:t>fresh Colab session</w:t>
      </w:r>
      <w:r>
        <w:t xml:space="preserve"> (File → Print → Save as PDF), with</w:t>
      </w:r>
    </w:p>
    <w:p>
      <w:pPr>
        <w:spacing w:after="160"/>
      </w:pPr>
      <w:r>
        <w:t xml:space="preserve">   every question clearly labelled.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