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piece of code added in an R Markdown file that is used to process, visualize or analyze data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syntax for formatting plain text files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34343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